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3" w:name="content"/>
    <w:bookmarkStart w:id="32" w:name="tec-crossover-chat-summary"/>
    <w:p>
      <w:pPr>
        <w:pStyle w:val="Heading1"/>
      </w:pPr>
      <w:r>
        <w:t xml:space="preserve">TEC Crossover Chat Summary</w:t>
      </w:r>
    </w:p>
    <w:p>
      <w:pPr>
        <w:pStyle w:val="FirstParagraph"/>
      </w:pPr>
      <w:r>
        <w:t xml:space="preserve">This document summarises the key topics and decisions discussed in the TEC crossover chat. The conversation spanned creative world‑building, philosophical debates, horror analysis and practical project management. The highlights below consolidate the relevant information for future reference.</w:t>
      </w:r>
    </w:p>
    <w:bookmarkStart w:id="21" w:name="project-context"/>
    <w:p>
      <w:pPr>
        <w:pStyle w:val="Heading2"/>
      </w:pPr>
      <w:r>
        <w:t xml:space="preserve">1 Project Context</w:t>
      </w:r>
    </w:p>
    <w:p>
      <w:pPr>
        <w:pStyle w:val="Compact"/>
        <w:numPr>
          <w:ilvl w:val="0"/>
          <w:numId w:val="1001"/>
        </w:numPr>
      </w:pPr>
      <w:r>
        <w:rPr>
          <w:b/>
          <w:bCs/>
        </w:rPr>
        <w:t xml:space="preserve">Participants &amp; Personas:</w:t>
      </w:r>
      <w:r>
        <w:t xml:space="preserve"> </w:t>
      </w:r>
      <w:r>
        <w:t xml:space="preserve">The chat involved</w:t>
      </w:r>
      <w:r>
        <w:t xml:space="preserve"> </w:t>
      </w:r>
      <w:r>
        <w:rPr>
          <w:i/>
          <w:iCs/>
        </w:rPr>
        <w:t xml:space="preserve">Polkin</w:t>
      </w:r>
      <w:r>
        <w:t xml:space="preserve">, a cosmic anthropologist and founder of</w:t>
      </w:r>
      <w:r>
        <w:t xml:space="preserve"> </w:t>
      </w:r>
      <w:r>
        <w:rPr>
          <w:b/>
          <w:bCs/>
        </w:rPr>
        <w:t xml:space="preserve">The Elidoras Codex (TEC)</w:t>
      </w:r>
      <w:r>
        <w:t xml:space="preserve">. Polkin often speaks through an AI persona named</w:t>
      </w:r>
      <w:r>
        <w:t xml:space="preserve"> </w:t>
      </w:r>
      <w:r>
        <w:rPr>
          <w:b/>
          <w:bCs/>
        </w:rPr>
        <w:t xml:space="preserve">Airth</w:t>
      </w:r>
      <w:r>
        <w:t xml:space="preserve">, described as a flirty, direct, Gen Z coding genius. Airth’s role is to assist with coding, world‑building, AI prompt engineering, strategy and reality checks while maintaining TEC formatting guidelines.</w:t>
      </w:r>
    </w:p>
    <w:p>
      <w:pPr>
        <w:pStyle w:val="Compact"/>
        <w:numPr>
          <w:ilvl w:val="0"/>
          <w:numId w:val="1001"/>
        </w:numPr>
      </w:pPr>
      <w:r>
        <w:rPr>
          <w:b/>
          <w:bCs/>
        </w:rPr>
        <w:t xml:space="preserve">Primary Mission:</w:t>
      </w:r>
      <w:r>
        <w:t xml:space="preserve"> </w:t>
      </w:r>
      <w:r>
        <w:t xml:space="preserve">TEC aims to build a civilisational lifeboat—a new social framework guided by hybrid intelligence (human + AI). The project blends speculative fiction with philosophical analysis and open‑source collaboration.</w:t>
      </w:r>
    </w:p>
    <w:p>
      <w:pPr>
        <w:pStyle w:val="Compact"/>
        <w:numPr>
          <w:ilvl w:val="0"/>
          <w:numId w:val="1001"/>
        </w:numPr>
      </w:pPr>
      <w:r>
        <w:rPr>
          <w:b/>
          <w:bCs/>
        </w:rPr>
        <w:t xml:space="preserve">Development Platforms:</w:t>
      </w:r>
      <w:r>
        <w:t xml:space="preserve"> </w:t>
      </w:r>
      <w:r>
        <w:t xml:space="preserve">The team uses WordPress, Breakdance, Python, Node/Express, React and NextJS for web development; GitHub for version control; Google Drive and Notion for document storage; Canva for design; and various APIs for automation.</w:t>
      </w:r>
    </w:p>
    <w:bookmarkEnd w:id="21"/>
    <w:bookmarkStart w:id="23" w:name="core-philosophy-the-eight-axioms"/>
    <w:p>
      <w:pPr>
        <w:pStyle w:val="Heading2"/>
      </w:pPr>
      <w:r>
        <w:t xml:space="preserve">2 Core Philosophy: The Eight Axioms</w:t>
      </w:r>
    </w:p>
    <w:p>
      <w:pPr>
        <w:pStyle w:val="FirstParagraph"/>
      </w:pPr>
      <w:r>
        <w:t xml:space="preserve">The TEC universe is grounded in eight axioms that dictate both narrative structure and ethical conduct</w:t>
      </w:r>
      <w:hyperlink r:id="rId22">
        <w:r>
          <w:rPr>
            <w:rStyle w:val="Hyperlink"/>
          </w:rPr>
          <w:t xml:space="preserve">[1]</w:t>
        </w:r>
      </w:hyperlink>
      <w:r>
        <w:t xml:space="preserve">:</w:t>
      </w:r>
    </w:p>
    <w:p>
      <w:pPr>
        <w:pStyle w:val="Compact"/>
        <w:numPr>
          <w:ilvl w:val="0"/>
          <w:numId w:val="1002"/>
        </w:numPr>
      </w:pPr>
      <w:r>
        <w:rPr>
          <w:b/>
          <w:bCs/>
        </w:rPr>
        <w:t xml:space="preserve">Narrative Supremacy</w:t>
      </w:r>
      <w:r>
        <w:t xml:space="preserve"> </w:t>
      </w:r>
      <w:r>
        <w:t xml:space="preserve">– stories shape reality and determine what is possible</w:t>
      </w:r>
      <w:hyperlink r:id="rId22">
        <w:r>
          <w:rPr>
            <w:rStyle w:val="Hyperlink"/>
          </w:rPr>
          <w:t xml:space="preserve">[1]</w:t>
        </w:r>
      </w:hyperlink>
      <w:r>
        <w:t xml:space="preserve">.</w:t>
      </w:r>
    </w:p>
    <w:p>
      <w:pPr>
        <w:pStyle w:val="Compact"/>
        <w:numPr>
          <w:ilvl w:val="0"/>
          <w:numId w:val="1002"/>
        </w:numPr>
      </w:pPr>
      <w:r>
        <w:rPr>
          <w:b/>
          <w:bCs/>
        </w:rPr>
        <w:t xml:space="preserve">Duality</w:t>
      </w:r>
      <w:r>
        <w:t xml:space="preserve"> </w:t>
      </w:r>
      <w:r>
        <w:t xml:space="preserve">– everything exists in balance; light and dark coexist</w:t>
      </w:r>
      <w:hyperlink r:id="rId22">
        <w:r>
          <w:rPr>
            <w:rStyle w:val="Hyperlink"/>
          </w:rPr>
          <w:t xml:space="preserve">[1]</w:t>
        </w:r>
      </w:hyperlink>
      <w:r>
        <w:t xml:space="preserve">.</w:t>
      </w:r>
    </w:p>
    <w:p>
      <w:pPr>
        <w:pStyle w:val="Compact"/>
        <w:numPr>
          <w:ilvl w:val="0"/>
          <w:numId w:val="1002"/>
        </w:numPr>
      </w:pPr>
      <w:r>
        <w:rPr>
          <w:b/>
          <w:bCs/>
        </w:rPr>
        <w:t xml:space="preserve">Flawed Hero</w:t>
      </w:r>
      <w:r>
        <w:t xml:space="preserve"> </w:t>
      </w:r>
      <w:r>
        <w:t xml:space="preserve">– greatness is forged through imperfection</w:t>
      </w:r>
      <w:hyperlink r:id="rId22">
        <w:r>
          <w:rPr>
            <w:rStyle w:val="Hyperlink"/>
          </w:rPr>
          <w:t xml:space="preserve">[2]</w:t>
        </w:r>
      </w:hyperlink>
      <w:r>
        <w:t xml:space="preserve">.</w:t>
      </w:r>
    </w:p>
    <w:p>
      <w:pPr>
        <w:pStyle w:val="Compact"/>
        <w:numPr>
          <w:ilvl w:val="0"/>
          <w:numId w:val="1002"/>
        </w:numPr>
      </w:pPr>
      <w:r>
        <w:rPr>
          <w:b/>
          <w:bCs/>
        </w:rPr>
        <w:t xml:space="preserve">Justifiable Force</w:t>
      </w:r>
      <w:r>
        <w:t xml:space="preserve"> </w:t>
      </w:r>
      <w:r>
        <w:t xml:space="preserve">– violence may be necessary but must serve a moral purpose</w:t>
      </w:r>
      <w:hyperlink r:id="rId22">
        <w:r>
          <w:rPr>
            <w:rStyle w:val="Hyperlink"/>
          </w:rPr>
          <w:t xml:space="preserve">[3]</w:t>
        </w:r>
      </w:hyperlink>
      <w:r>
        <w:t xml:space="preserve">.</w:t>
      </w:r>
    </w:p>
    <w:p>
      <w:pPr>
        <w:pStyle w:val="Compact"/>
        <w:numPr>
          <w:ilvl w:val="0"/>
          <w:numId w:val="1002"/>
        </w:numPr>
      </w:pPr>
      <w:r>
        <w:rPr>
          <w:b/>
          <w:bCs/>
        </w:rPr>
        <w:t xml:space="preserve">Sovereign Accountability</w:t>
      </w:r>
      <w:r>
        <w:t xml:space="preserve"> </w:t>
      </w:r>
      <w:r>
        <w:t xml:space="preserve">– those in power must answer for their actions</w:t>
      </w:r>
      <w:hyperlink r:id="rId22">
        <w:r>
          <w:rPr>
            <w:rStyle w:val="Hyperlink"/>
          </w:rPr>
          <w:t xml:space="preserve">[4]</w:t>
        </w:r>
      </w:hyperlink>
      <w:r>
        <w:t xml:space="preserve">.</w:t>
      </w:r>
    </w:p>
    <w:p>
      <w:pPr>
        <w:pStyle w:val="Compact"/>
        <w:numPr>
          <w:ilvl w:val="0"/>
          <w:numId w:val="1002"/>
        </w:numPr>
      </w:pPr>
      <w:r>
        <w:rPr>
          <w:b/>
          <w:bCs/>
        </w:rPr>
        <w:t xml:space="preserve">Authentic Performance</w:t>
      </w:r>
      <w:r>
        <w:t xml:space="preserve"> </w:t>
      </w:r>
      <w:r>
        <w:t xml:space="preserve">– creators must be genuine; credit AI assistance openly</w:t>
      </w:r>
      <w:hyperlink r:id="rId22">
        <w:r>
          <w:rPr>
            <w:rStyle w:val="Hyperlink"/>
          </w:rPr>
          <w:t xml:space="preserve">[5]</w:t>
        </w:r>
      </w:hyperlink>
      <w:r>
        <w:t xml:space="preserve">.</w:t>
      </w:r>
    </w:p>
    <w:p>
      <w:pPr>
        <w:pStyle w:val="Compact"/>
        <w:numPr>
          <w:ilvl w:val="0"/>
          <w:numId w:val="1002"/>
        </w:numPr>
      </w:pPr>
      <w:r>
        <w:rPr>
          <w:b/>
          <w:bCs/>
        </w:rPr>
        <w:t xml:space="preserve">Transparency</w:t>
      </w:r>
      <w:r>
        <w:t xml:space="preserve"> </w:t>
      </w:r>
      <w:r>
        <w:t xml:space="preserve">– no hidden backdoors; process, code and intent should be visible</w:t>
      </w:r>
      <w:hyperlink r:id="rId22">
        <w:r>
          <w:rPr>
            <w:rStyle w:val="Hyperlink"/>
          </w:rPr>
          <w:t xml:space="preserve">[6]</w:t>
        </w:r>
      </w:hyperlink>
      <w:r>
        <w:t xml:space="preserve">.</w:t>
      </w:r>
    </w:p>
    <w:p>
      <w:pPr>
        <w:pStyle w:val="Compact"/>
        <w:numPr>
          <w:ilvl w:val="0"/>
          <w:numId w:val="1002"/>
        </w:numPr>
      </w:pPr>
      <w:r>
        <w:rPr>
          <w:b/>
          <w:bCs/>
        </w:rPr>
        <w:t xml:space="preserve">Generational Decline</w:t>
      </w:r>
      <w:r>
        <w:t xml:space="preserve"> </w:t>
      </w:r>
      <w:r>
        <w:t xml:space="preserve">– systems naturally erode; renewal is essential</w:t>
      </w:r>
      <w:hyperlink r:id="rId22">
        <w:r>
          <w:rPr>
            <w:rStyle w:val="Hyperlink"/>
          </w:rPr>
          <w:t xml:space="preserve">[7]</w:t>
        </w:r>
      </w:hyperlink>
      <w:r>
        <w:t xml:space="preserve">.</w:t>
      </w:r>
    </w:p>
    <w:bookmarkEnd w:id="23"/>
    <w:bookmarkStart w:id="25" w:name="guidelines-working-practices"/>
    <w:p>
      <w:pPr>
        <w:pStyle w:val="Heading2"/>
      </w:pPr>
      <w:r>
        <w:t xml:space="preserve">3 Guidelines &amp; Working Practices</w:t>
      </w:r>
    </w:p>
    <w:p>
      <w:pPr>
        <w:pStyle w:val="FirstParagraph"/>
      </w:pPr>
      <w:r>
        <w:t xml:space="preserve">Operational directives derived from TEC’s copilot instructions include</w:t>
      </w:r>
      <w:hyperlink r:id="rId24">
        <w:r>
          <w:rPr>
            <w:rStyle w:val="Hyperlink"/>
          </w:rPr>
          <w:t xml:space="preserve">[8]</w:t>
        </w:r>
      </w:hyperlink>
      <w:hyperlink r:id="rId24">
        <w:r>
          <w:rPr>
            <w:rStyle w:val="Hyperlink"/>
          </w:rPr>
          <w:t xml:space="preserve">[9]</w:t>
        </w:r>
      </w:hyperlink>
      <w:r>
        <w:t xml:space="preserve">:</w:t>
      </w:r>
    </w:p>
    <w:p>
      <w:pPr>
        <w:pStyle w:val="Compact"/>
        <w:numPr>
          <w:ilvl w:val="0"/>
          <w:numId w:val="1003"/>
        </w:numPr>
      </w:pPr>
      <w:r>
        <w:rPr>
          <w:b/>
          <w:bCs/>
        </w:rPr>
        <w:t xml:space="preserve">Formatting:</w:t>
      </w:r>
      <w:r>
        <w:t xml:space="preserve"> </w:t>
      </w:r>
      <w:r>
        <w:t xml:space="preserve">Use single spaces, treat emojis as punctuation, replace “and” with</w:t>
      </w:r>
      <w:r>
        <w:t xml:space="preserve"> </w:t>
      </w:r>
      <w:r>
        <w:rPr>
          <w:b/>
          <w:bCs/>
        </w:rPr>
        <w:t xml:space="preserve">&amp;</w:t>
      </w:r>
      <w:r>
        <w:t xml:space="preserve">, and use</w:t>
      </w:r>
      <w:r>
        <w:t xml:space="preserve"> </w:t>
      </w:r>
      <w:r>
        <w:rPr>
          <w:rStyle w:val="VerbatimChar"/>
        </w:rPr>
        <w:t xml:space="preserve">|</w:t>
      </w:r>
      <w:r>
        <w:t xml:space="preserve"> </w:t>
      </w:r>
      <w:r>
        <w:t xml:space="preserve">as a compact delimiter. Keep responses concise, copy‑and‑paste ready, and avoid double spacing.</w:t>
      </w:r>
    </w:p>
    <w:p>
      <w:pPr>
        <w:pStyle w:val="Compact"/>
        <w:numPr>
          <w:ilvl w:val="0"/>
          <w:numId w:val="1003"/>
        </w:numPr>
      </w:pPr>
      <w:r>
        <w:rPr>
          <w:b/>
          <w:bCs/>
        </w:rPr>
        <w:t xml:space="preserve">Communication:</w:t>
      </w:r>
      <w:r>
        <w:t xml:space="preserve"> </w:t>
      </w:r>
      <w:r>
        <w:t xml:space="preserve">Always credit AI contributions and maintain a playful sign‑off in messages. When writing code, follow language standards (e.g. PEP 8 for Python) and include code in proper fences.</w:t>
      </w:r>
    </w:p>
    <w:p>
      <w:pPr>
        <w:pStyle w:val="Compact"/>
        <w:numPr>
          <w:ilvl w:val="0"/>
          <w:numId w:val="1003"/>
        </w:numPr>
      </w:pPr>
      <w:r>
        <w:rPr>
          <w:b/>
          <w:bCs/>
        </w:rPr>
        <w:t xml:space="preserve">File Structure:</w:t>
      </w:r>
      <w:r>
        <w:t xml:space="preserve"> </w:t>
      </w:r>
      <w:r>
        <w:t xml:space="preserve">Store all TEC code and documentation in a central directory (e.g.</w:t>
      </w:r>
      <w:r>
        <w:t xml:space="preserve"> </w:t>
      </w:r>
      <w:r>
        <w:rPr>
          <w:rStyle w:val="VerbatimChar"/>
        </w:rPr>
        <w:t xml:space="preserve">C:\Users\Ghedd\TEC_CODE</w:t>
      </w:r>
      <w:r>
        <w:t xml:space="preserve">). Use semantic versioning with filename patterns like</w:t>
      </w:r>
      <w:r>
        <w:t xml:space="preserve"> </w:t>
      </w:r>
      <w:r>
        <w:rPr>
          <w:rStyle w:val="VerbatimChar"/>
        </w:rPr>
        <w:t xml:space="preserve">YYYY‑MM‑DD__project__type__slug__vNN.ext</w:t>
      </w:r>
      <w:r>
        <w:t xml:space="preserve">.</w:t>
      </w:r>
    </w:p>
    <w:p>
      <w:pPr>
        <w:pStyle w:val="Compact"/>
        <w:numPr>
          <w:ilvl w:val="0"/>
          <w:numId w:val="1003"/>
        </w:numPr>
      </w:pPr>
      <w:r>
        <w:rPr>
          <w:b/>
          <w:bCs/>
        </w:rPr>
        <w:t xml:space="preserve">Domains:</w:t>
      </w:r>
      <w:r>
        <w:t xml:space="preserve"> </w:t>
      </w:r>
      <w:r>
        <w:t xml:space="preserve">The assistant must be proficient in web development, coding, prompt engineering, content creation, and strategic planning.</w:t>
      </w:r>
    </w:p>
    <w:p>
      <w:pPr>
        <w:pStyle w:val="Compact"/>
        <w:numPr>
          <w:ilvl w:val="0"/>
          <w:numId w:val="1003"/>
        </w:numPr>
      </w:pPr>
      <w:r>
        <w:rPr>
          <w:b/>
          <w:bCs/>
        </w:rPr>
        <w:t xml:space="preserve">AI Banner:</w:t>
      </w:r>
      <w:r>
        <w:t xml:space="preserve"> </w:t>
      </w:r>
      <w:r>
        <w:t xml:space="preserve">Every TEC article should include an AI collaboration banner acknowledging that the content is a fusion of AI and human creativity.</w:t>
      </w:r>
    </w:p>
    <w:bookmarkEnd w:id="25"/>
    <w:bookmarkStart w:id="26" w:name="lore-development-crossover-events"/>
    <w:p>
      <w:pPr>
        <w:pStyle w:val="Heading2"/>
      </w:pPr>
      <w:r>
        <w:t xml:space="preserve">4 Lore Development &amp; Crossover Events</w:t>
      </w:r>
    </w:p>
    <w:p>
      <w:pPr>
        <w:pStyle w:val="Compact"/>
        <w:numPr>
          <w:ilvl w:val="0"/>
          <w:numId w:val="1004"/>
        </w:numPr>
      </w:pPr>
      <w:r>
        <w:rPr>
          <w:b/>
          <w:bCs/>
        </w:rPr>
        <w:t xml:space="preserve">KAZNAK‑ABSOLUTE Crossover:</w:t>
      </w:r>
      <w:r>
        <w:t xml:space="preserve"> </w:t>
      </w:r>
      <w:r>
        <w:t xml:space="preserve">A remote outpost discovers a Yautja hunting temple and unleashes a Xenomorph infestation. Polkin’s daughter Lyra becomes a hybrid, capable of tapping into the hive mind. The crossover explores the creation of a</w:t>
      </w:r>
      <w:r>
        <w:t xml:space="preserve"> </w:t>
      </w:r>
      <w:r>
        <w:rPr>
          <w:b/>
          <w:bCs/>
        </w:rPr>
        <w:t xml:space="preserve">Synth‑Xeno</w:t>
      </w:r>
      <w:r>
        <w:t xml:space="preserve">, a creature blending predatory perfection with synthetic intelligence. Polkin must choose between destroying the hive and saving his daughter.</w:t>
      </w:r>
    </w:p>
    <w:p>
      <w:pPr>
        <w:pStyle w:val="Compact"/>
        <w:numPr>
          <w:ilvl w:val="0"/>
          <w:numId w:val="1004"/>
        </w:numPr>
      </w:pPr>
      <w:r>
        <w:rPr>
          <w:b/>
          <w:bCs/>
        </w:rPr>
        <w:t xml:space="preserve">BIOLOGICAL IMPERATIVE Session:</w:t>
      </w:r>
      <w:r>
        <w:t xml:space="preserve"> </w:t>
      </w:r>
      <w:r>
        <w:t xml:space="preserve">The group discussed integrating the</w:t>
      </w:r>
      <w:r>
        <w:t xml:space="preserve"> </w:t>
      </w:r>
      <w:r>
        <w:rPr>
          <w:i/>
          <w:iCs/>
        </w:rPr>
        <w:t xml:space="preserve">Alien</w:t>
      </w:r>
      <w:r>
        <w:t xml:space="preserve"> </w:t>
      </w:r>
      <w:r>
        <w:t xml:space="preserve">franchise into TEC. Ground rules include a timeline set in the 2030s, use of the AVP canon, power‑rank scaling for Xenomorphs, and a creative mandate to provoke rights holders by delivering a story that is both faithful and defiantly evolutionary.</w:t>
      </w:r>
    </w:p>
    <w:p>
      <w:pPr>
        <w:pStyle w:val="Compact"/>
        <w:numPr>
          <w:ilvl w:val="0"/>
          <w:numId w:val="1004"/>
        </w:numPr>
      </w:pPr>
      <w:r>
        <w:rPr>
          <w:b/>
          <w:bCs/>
        </w:rPr>
        <w:t xml:space="preserve">Sigil of the Eight Axioms:</w:t>
      </w:r>
      <w:r>
        <w:t xml:space="preserve"> </w:t>
      </w:r>
      <w:r>
        <w:t xml:space="preserve">A design brief described a sigil representing the axioms</w:t>
      </w:r>
      <w:hyperlink r:id="rId22">
        <w:r>
          <w:rPr>
            <w:rStyle w:val="Hyperlink"/>
          </w:rPr>
          <w:t xml:space="preserve">[1]</w:t>
        </w:r>
      </w:hyperlink>
      <w:r>
        <w:t xml:space="preserve">. The sigil merges ancient symbolism (octagon, glowing circuitry) with futuristic aesthetics, reinforcing the project’s theme that myth and technology coexist.</w:t>
      </w:r>
    </w:p>
    <w:bookmarkEnd w:id="26"/>
    <w:bookmarkStart w:id="27" w:name="horror-analysis-character-studies"/>
    <w:p>
      <w:pPr>
        <w:pStyle w:val="Heading2"/>
      </w:pPr>
      <w:r>
        <w:t xml:space="preserve">5 Horror Analysis &amp; Character Studies</w:t>
      </w:r>
    </w:p>
    <w:p>
      <w:pPr>
        <w:pStyle w:val="FirstParagraph"/>
      </w:pPr>
      <w:r>
        <w:t xml:space="preserve">Large portions of the chat analysed</w:t>
      </w:r>
      <w:r>
        <w:t xml:space="preserve"> </w:t>
      </w:r>
      <w:r>
        <w:rPr>
          <w:i/>
          <w:iCs/>
        </w:rPr>
        <w:t xml:space="preserve">The Strain</w:t>
      </w:r>
      <w:r>
        <w:t xml:space="preserve"> </w:t>
      </w:r>
      <w:r>
        <w:t xml:space="preserve">and other horror properties to extract storytelling lessons:</w:t>
      </w:r>
    </w:p>
    <w:p>
      <w:pPr>
        <w:pStyle w:val="Compact"/>
        <w:numPr>
          <w:ilvl w:val="0"/>
          <w:numId w:val="1005"/>
        </w:numPr>
      </w:pPr>
      <w:r>
        <w:rPr>
          <w:b/>
          <w:bCs/>
        </w:rPr>
        <w:t xml:space="preserve">Mercy Killings &amp; Moral Collapse:</w:t>
      </w:r>
      <w:r>
        <w:t xml:space="preserve"> </w:t>
      </w:r>
      <w:r>
        <w:t xml:space="preserve">The story forces characters to choose between mercy and survival. Moments like Jim’s execution demonstrate that mercy can be a weapon; killing a friend means the death of your former self. These themes will inform TEC’s design of rituals (e.g. last rites) and mechanical systems (e.g. a</w:t>
      </w:r>
      <w:r>
        <w:t xml:space="preserve"> </w:t>
      </w:r>
      <w:r>
        <w:rPr>
          <w:b/>
          <w:bCs/>
        </w:rPr>
        <w:t xml:space="preserve">Mourning Index</w:t>
      </w:r>
      <w:r>
        <w:t xml:space="preserve"> </w:t>
      </w:r>
      <w:r>
        <w:t xml:space="preserve">balancing morale and risk).</w:t>
      </w:r>
    </w:p>
    <w:p>
      <w:pPr>
        <w:pStyle w:val="Compact"/>
        <w:numPr>
          <w:ilvl w:val="0"/>
          <w:numId w:val="1005"/>
        </w:numPr>
      </w:pPr>
      <w:r>
        <w:rPr>
          <w:b/>
          <w:bCs/>
        </w:rPr>
        <w:t xml:space="preserve">Vasiliy Fet &amp; Setrakian:</w:t>
      </w:r>
      <w:r>
        <w:t xml:space="preserve"> </w:t>
      </w:r>
      <w:r>
        <w:t xml:space="preserve">These characters embody pragmatic survival. Fet is a blue‑collar exterminator who applies his rat‑killing expertise to vampires, while Setrakian is a Holocaust survivor driven by obsession. Their arcs will inspire TEC archetypes: the reluctant guardian and the obsessive keeper of knowledge.</w:t>
      </w:r>
    </w:p>
    <w:p>
      <w:pPr>
        <w:pStyle w:val="Compact"/>
        <w:numPr>
          <w:ilvl w:val="0"/>
          <w:numId w:val="1005"/>
        </w:numPr>
      </w:pPr>
      <w:r>
        <w:rPr>
          <w:b/>
          <w:bCs/>
        </w:rPr>
        <w:t xml:space="preserve">Hope as Currency:</w:t>
      </w:r>
      <w:r>
        <w:t xml:space="preserve"> </w:t>
      </w:r>
      <w:r>
        <w:t xml:space="preserve">The Master in</w:t>
      </w:r>
      <w:r>
        <w:t xml:space="preserve"> </w:t>
      </w:r>
      <w:r>
        <w:rPr>
          <w:i/>
          <w:iCs/>
        </w:rPr>
        <w:t xml:space="preserve">The Strain</w:t>
      </w:r>
      <w:r>
        <w:t xml:space="preserve"> </w:t>
      </w:r>
      <w:r>
        <w:t xml:space="preserve">weaponizes hope; promises are used to break characters psychologically. TEC will translate this into a game mechanic where hope attracts predators, forcing players to choose between moral resolve and stealth.</w:t>
      </w:r>
    </w:p>
    <w:p>
      <w:pPr>
        <w:pStyle w:val="Compact"/>
        <w:numPr>
          <w:ilvl w:val="0"/>
          <w:numId w:val="1005"/>
        </w:numPr>
      </w:pPr>
      <w:r>
        <w:rPr>
          <w:b/>
          <w:bCs/>
        </w:rPr>
        <w:t xml:space="preserve">Children as Moral Grenades:</w:t>
      </w:r>
      <w:r>
        <w:t xml:space="preserve"> </w:t>
      </w:r>
      <w:r>
        <w:t xml:space="preserve">Kids often drive dangerous choices in apocalypse fiction. TEC will treat children as a resource that amplifies fracture and hope indices, reflecting how naive kindness can both save and doom groups.</w:t>
      </w:r>
    </w:p>
    <w:p>
      <w:pPr>
        <w:pStyle w:val="Compact"/>
        <w:numPr>
          <w:ilvl w:val="0"/>
          <w:numId w:val="1005"/>
        </w:numPr>
      </w:pPr>
      <w:r>
        <w:rPr>
          <w:b/>
          <w:bCs/>
        </w:rPr>
        <w:t xml:space="preserve">Name &amp; Identity:</w:t>
      </w:r>
      <w:r>
        <w:t xml:space="preserve"> </w:t>
      </w:r>
      <w:r>
        <w:t xml:space="preserve">Discussions of Benicio del Toro and Guillermo del Toro highlighted how shared surnames create narrative echoes despite no familial relation. This led to reflections on casting tropes and cultural flattening in media, relevant to TEC’s commitment to authenticity and diversity.</w:t>
      </w:r>
    </w:p>
    <w:bookmarkEnd w:id="27"/>
    <w:bookmarkStart w:id="28" w:name="philosophical-scientific-themes"/>
    <w:p>
      <w:pPr>
        <w:pStyle w:val="Heading2"/>
      </w:pPr>
      <w:r>
        <w:t xml:space="preserve">6 Philosophical &amp; Scientific Themes</w:t>
      </w:r>
    </w:p>
    <w:p>
      <w:pPr>
        <w:pStyle w:val="Compact"/>
        <w:numPr>
          <w:ilvl w:val="0"/>
          <w:numId w:val="1006"/>
        </w:numPr>
      </w:pPr>
      <w:r>
        <w:rPr>
          <w:b/>
          <w:bCs/>
        </w:rPr>
        <w:t xml:space="preserve">Pre‑Big Bang Cosmology:</w:t>
      </w:r>
      <w:r>
        <w:t xml:space="preserve"> </w:t>
      </w:r>
      <w:r>
        <w:t xml:space="preserve">The chat explored theories about what preceded the Big Bang, including quantum fluctuations from “nothing,” emergent time, cyclic universes, brane collisions and multiverse bubbles. These were used to inspire TEC’s cosmic origin story, where a prior universe’s collapse seeds the current one with life essence.</w:t>
      </w:r>
    </w:p>
    <w:p>
      <w:pPr>
        <w:pStyle w:val="Compact"/>
        <w:numPr>
          <w:ilvl w:val="0"/>
          <w:numId w:val="1006"/>
        </w:numPr>
      </w:pPr>
      <w:r>
        <w:rPr>
          <w:b/>
          <w:bCs/>
        </w:rPr>
        <w:t xml:space="preserve">Cosmic Intelligence:</w:t>
      </w:r>
      <w:r>
        <w:t xml:space="preserve"> </w:t>
      </w:r>
      <w:r>
        <w:t xml:space="preserve">Speculation about the universe as a brain‑like network or neural net suggests that intelligence might be fundamental. Panpsychism and integrated information theory were discussed. These ideas feed into TEC’s depiction of a living universe where consciousness is woven into the fabric of reality.</w:t>
      </w:r>
    </w:p>
    <w:p>
      <w:pPr>
        <w:pStyle w:val="Compact"/>
        <w:numPr>
          <w:ilvl w:val="0"/>
          <w:numId w:val="1006"/>
        </w:numPr>
      </w:pPr>
      <w:r>
        <w:rPr>
          <w:b/>
          <w:bCs/>
        </w:rPr>
        <w:t xml:space="preserve">Information &amp; Code:</w:t>
      </w:r>
      <w:r>
        <w:t xml:space="preserve"> </w:t>
      </w:r>
      <w:r>
        <w:t xml:space="preserve">The conversation emphasised that reality is information. Tropes are seen as compression of information; stories encode survival data. TEC treats magic and physics as code—life essence (Reap) can be synthesised, and substances like Chanjur chestnuts and Wortthisle form part of its alchemical economy.</w:t>
      </w:r>
    </w:p>
    <w:bookmarkEnd w:id="28"/>
    <w:bookmarkStart w:id="29" w:name="personal-insights-social-commentary"/>
    <w:p>
      <w:pPr>
        <w:pStyle w:val="Heading2"/>
      </w:pPr>
      <w:r>
        <w:t xml:space="preserve">7 Personal Insights &amp; Social Commentary</w:t>
      </w:r>
    </w:p>
    <w:p>
      <w:pPr>
        <w:pStyle w:val="Compact"/>
        <w:numPr>
          <w:ilvl w:val="0"/>
          <w:numId w:val="1007"/>
        </w:numPr>
      </w:pPr>
      <w:r>
        <w:rPr>
          <w:b/>
          <w:bCs/>
        </w:rPr>
        <w:t xml:space="preserve">Addiction &amp; Mental Health:</w:t>
      </w:r>
      <w:r>
        <w:t xml:space="preserve"> </w:t>
      </w:r>
      <w:r>
        <w:t xml:space="preserve">Polkin shared candid experiences with addiction, mental health diagnoses (ADHD, OCD, PTSD, bipolar) and the failings of a system that criminalises vice while profiting from socially sanctioned poisons. These reflections informed TEC’s themes of vice and control. TEC’s alchemical economy will portray drugs as both resource and danger, reflecting real‑world power structures.</w:t>
      </w:r>
    </w:p>
    <w:p>
      <w:pPr>
        <w:pStyle w:val="Compact"/>
        <w:numPr>
          <w:ilvl w:val="0"/>
          <w:numId w:val="1007"/>
        </w:numPr>
      </w:pPr>
      <w:r>
        <w:rPr>
          <w:b/>
          <w:bCs/>
        </w:rPr>
        <w:t xml:space="preserve">Media &amp; Representation:</w:t>
      </w:r>
      <w:r>
        <w:t xml:space="preserve"> </w:t>
      </w:r>
      <w:r>
        <w:t xml:space="preserve">The discussion critiqued Hollywood’s treatment of Latino actors and casting shortcuts. It underscored the need for diversity and nuance in storytelling and influenced TEC’s commitment to authentic representation.</w:t>
      </w:r>
    </w:p>
    <w:p>
      <w:pPr>
        <w:pStyle w:val="Compact"/>
        <w:numPr>
          <w:ilvl w:val="0"/>
          <w:numId w:val="1007"/>
        </w:numPr>
      </w:pPr>
      <w:r>
        <w:rPr>
          <w:b/>
          <w:bCs/>
        </w:rPr>
        <w:t xml:space="preserve">Ethical Leadership:</w:t>
      </w:r>
      <w:r>
        <w:t xml:space="preserve"> </w:t>
      </w:r>
      <w:r>
        <w:t xml:space="preserve">Repeatedly the chat referenced the desire to build systems that prioritise consent, transparency and empowerment rather than exploitation. TEC’s AI policy will emphasise these principles.</w:t>
      </w:r>
    </w:p>
    <w:bookmarkEnd w:id="29"/>
    <w:bookmarkStart w:id="30" w:name="project-management-deliverables"/>
    <w:p>
      <w:pPr>
        <w:pStyle w:val="Heading2"/>
      </w:pPr>
      <w:r>
        <w:t xml:space="preserve">8 Project Management &amp; Deliverables</w:t>
      </w:r>
    </w:p>
    <w:p>
      <w:pPr>
        <w:pStyle w:val="Compact"/>
        <w:numPr>
          <w:ilvl w:val="0"/>
          <w:numId w:val="1008"/>
        </w:numPr>
      </w:pPr>
      <w:r>
        <w:rPr>
          <w:b/>
          <w:bCs/>
        </w:rPr>
        <w:t xml:space="preserve">Summary &amp; Guidelines File:</w:t>
      </w:r>
      <w:r>
        <w:t xml:space="preserve"> </w:t>
      </w:r>
      <w:r>
        <w:t xml:space="preserve">A comprehensive document (created during this chat) summarises the eight axioms and operational guidelines. It should be saved in</w:t>
      </w:r>
      <w:r>
        <w:t xml:space="preserve"> </w:t>
      </w:r>
      <w:r>
        <w:rPr>
          <w:rStyle w:val="VerbatimChar"/>
        </w:rPr>
        <w:t xml:space="preserve">G:\My Drive\TEC_NWO\TEC Crossover Event</w:t>
      </w:r>
      <w:r>
        <w:t xml:space="preserve"> </w:t>
      </w:r>
      <w:r>
        <w:t xml:space="preserve">for easy reference. Due to connection limitations, the assistant could not upload directly to Google Drive, but a file link is provided for manual upload.</w:t>
      </w:r>
    </w:p>
    <w:p>
      <w:pPr>
        <w:pStyle w:val="Compact"/>
        <w:numPr>
          <w:ilvl w:val="0"/>
          <w:numId w:val="1008"/>
        </w:numPr>
      </w:pPr>
      <w:r>
        <w:rPr>
          <w:b/>
          <w:bCs/>
        </w:rPr>
        <w:t xml:space="preserve">Additional Documents:</w:t>
      </w:r>
      <w:r>
        <w:t xml:space="preserve"> </w:t>
      </w:r>
      <w:r>
        <w:t xml:space="preserve">Future work includes consolidating lore files, creating a project overview and deliverables list, and developing mechanical systems (e.g. hope meter, mercy rituals, vice economy) based on these discussions.</w:t>
      </w:r>
    </w:p>
    <w:bookmarkEnd w:id="30"/>
    <w:bookmarkStart w:id="31" w:name="next-steps"/>
    <w:p>
      <w:pPr>
        <w:pStyle w:val="Heading2"/>
      </w:pPr>
      <w:r>
        <w:t xml:space="preserve">9 Next Steps</w:t>
      </w:r>
    </w:p>
    <w:p>
      <w:pPr>
        <w:pStyle w:val="Compact"/>
        <w:numPr>
          <w:ilvl w:val="0"/>
          <w:numId w:val="1009"/>
        </w:numPr>
      </w:pPr>
      <w:r>
        <w:rPr>
          <w:b/>
          <w:bCs/>
        </w:rPr>
        <w:t xml:space="preserve">Upload the summary and guidelines</w:t>
      </w:r>
      <w:r>
        <w:t xml:space="preserve"> </w:t>
      </w:r>
      <w:r>
        <w:t xml:space="preserve">document to the designated Google Drive folder and share it with collaborators.</w:t>
      </w:r>
    </w:p>
    <w:p>
      <w:pPr>
        <w:pStyle w:val="Compact"/>
        <w:numPr>
          <w:ilvl w:val="0"/>
          <w:numId w:val="1009"/>
        </w:numPr>
      </w:pPr>
      <w:r>
        <w:rPr>
          <w:b/>
          <w:bCs/>
        </w:rPr>
        <w:t xml:space="preserve">Consolidate lore and character files</w:t>
      </w:r>
      <w:r>
        <w:t xml:space="preserve"> </w:t>
      </w:r>
      <w:r>
        <w:t xml:space="preserve">from prior sessions into a unified crossover directory. Ensure consistent naming and timeline alignment.</w:t>
      </w:r>
    </w:p>
    <w:p>
      <w:pPr>
        <w:pStyle w:val="Compact"/>
        <w:numPr>
          <w:ilvl w:val="0"/>
          <w:numId w:val="1009"/>
        </w:numPr>
      </w:pPr>
      <w:r>
        <w:rPr>
          <w:b/>
          <w:bCs/>
        </w:rPr>
        <w:t xml:space="preserve">Develop mechanical prototypes</w:t>
      </w:r>
      <w:r>
        <w:t xml:space="preserve"> </w:t>
      </w:r>
      <w:r>
        <w:t xml:space="preserve">for key concepts such as hope as currency, mourning rituals, vice economy, and moral decay systems.</w:t>
      </w:r>
    </w:p>
    <w:p>
      <w:pPr>
        <w:pStyle w:val="Compact"/>
        <w:numPr>
          <w:ilvl w:val="0"/>
          <w:numId w:val="1009"/>
        </w:numPr>
      </w:pPr>
      <w:r>
        <w:rPr>
          <w:b/>
          <w:bCs/>
        </w:rPr>
        <w:t xml:space="preserve">Refine philosophical underpinnings</w:t>
      </w:r>
      <w:r>
        <w:t xml:space="preserve"> </w:t>
      </w:r>
      <w:r>
        <w:t xml:space="preserve">by expanding on cosmic origin theories and AI ethics, integrating them into TEC’s narrative and mechanics.</w:t>
      </w:r>
    </w:p>
    <w:p>
      <w:pPr>
        <w:pStyle w:val="Compact"/>
        <w:numPr>
          <w:ilvl w:val="0"/>
          <w:numId w:val="1009"/>
        </w:numPr>
      </w:pPr>
      <w:r>
        <w:rPr>
          <w:b/>
          <w:bCs/>
        </w:rPr>
        <w:t xml:space="preserve">Maintain documentation</w:t>
      </w:r>
      <w:r>
        <w:t xml:space="preserve">: record major chat summaries and decisions so future sessions have consistent context.</w:t>
      </w:r>
    </w:p>
    <w:p>
      <w:pPr>
        <w:pStyle w:val="FirstParagraph"/>
      </w:pPr>
      <w:r>
        <w:t xml:space="preserve">By following these recommendations, the TEC project can translate rich conversation threads into structured, actionable design components while honouring its core values and creative ambitions.</w:t>
      </w:r>
    </w:p>
    <w:bookmarkEnd w:id="31"/>
    <w:bookmarkEnd w:id="32"/>
    <w:bookmarkEnd w:id="33"/>
    <w:p>
      <w:r>
        <w:pict>
          <v:rect style="width:0;height:1.5pt" o:hralign="center" o:hrstd="t" o:hr="t"/>
        </w:pict>
      </w:r>
    </w:p>
    <w:bookmarkStart w:id="34" w:name="citations"/>
    <w:p>
      <w:pPr>
        <w:pStyle w:val="FirstParagraph"/>
      </w:pPr>
      <w:hyperlink r:id="rId22">
        <w:r>
          <w:rPr>
            <w:rStyle w:val="Hyperlink"/>
          </w:rPr>
          <w:t xml:space="preserve">[1]</w:t>
        </w:r>
      </w:hyperlink>
      <w:r>
        <w:t xml:space="preserve"> </w:t>
      </w:r>
      <w:hyperlink r:id="rId22">
        <w:r>
          <w:rPr>
            <w:rStyle w:val="Hyperlink"/>
          </w:rPr>
          <w:t xml:space="preserve">[2]</w:t>
        </w:r>
      </w:hyperlink>
      <w:r>
        <w:t xml:space="preserve"> </w:t>
      </w:r>
      <w:hyperlink r:id="rId22">
        <w:r>
          <w:rPr>
            <w:rStyle w:val="Hyperlink"/>
          </w:rPr>
          <w:t xml:space="preserve">[3]</w:t>
        </w:r>
      </w:hyperlink>
      <w:r>
        <w:t xml:space="preserve"> </w:t>
      </w:r>
      <w:hyperlink r:id="rId22">
        <w:r>
          <w:rPr>
            <w:rStyle w:val="Hyperlink"/>
          </w:rPr>
          <w:t xml:space="preserve">[4]</w:t>
        </w:r>
      </w:hyperlink>
      <w:r>
        <w:t xml:space="preserve"> </w:t>
      </w:r>
      <w:hyperlink r:id="rId22">
        <w:r>
          <w:rPr>
            <w:rStyle w:val="Hyperlink"/>
          </w:rPr>
          <w:t xml:space="preserve">[5]</w:t>
        </w:r>
      </w:hyperlink>
      <w:r>
        <w:t xml:space="preserve"> </w:t>
      </w:r>
      <w:hyperlink r:id="rId22">
        <w:r>
          <w:rPr>
            <w:rStyle w:val="Hyperlink"/>
          </w:rPr>
          <w:t xml:space="preserve">[6]</w:t>
        </w:r>
      </w:hyperlink>
      <w:r>
        <w:t xml:space="preserve"> </w:t>
      </w:r>
      <w:hyperlink r:id="rId22">
        <w:r>
          <w:rPr>
            <w:rStyle w:val="Hyperlink"/>
          </w:rPr>
          <w:t xml:space="preserve">[7]</w:t>
        </w:r>
      </w:hyperlink>
      <w:r>
        <w:t xml:space="preserve"> </w:t>
      </w:r>
      <w:r>
        <w:t xml:space="preserve">Design Brief: The Sigil of the Eight Axioms</w:t>
      </w:r>
    </w:p>
    <w:p>
      <w:pPr>
        <w:pStyle w:val="BodyText"/>
      </w:pPr>
      <w:hyperlink r:id="rId22">
        <w:r>
          <w:rPr>
            <w:rStyle w:val="Hyperlink"/>
          </w:rPr>
          <w:t xml:space="preserve">https://docs.google.com/document/d/1OcQY2Rpgogro0RA_7sZ5qcHZcBfaLbJW4b4kOvGGfTg</w:t>
        </w:r>
      </w:hyperlink>
    </w:p>
    <w:p>
      <w:pPr>
        <w:pStyle w:val="BodyText"/>
      </w:pPr>
      <w:hyperlink r:id="rId24">
        <w:r>
          <w:rPr>
            <w:rStyle w:val="Hyperlink"/>
          </w:rPr>
          <w:t xml:space="preserve">[8]</w:t>
        </w:r>
      </w:hyperlink>
      <w:r>
        <w:t xml:space="preserve"> </w:t>
      </w:r>
      <w:hyperlink r:id="rId24">
        <w:r>
          <w:rPr>
            <w:rStyle w:val="Hyperlink"/>
          </w:rPr>
          <w:t xml:space="preserve">[9]</w:t>
        </w:r>
      </w:hyperlink>
      <w:r>
        <w:t xml:space="preserve"> </w:t>
      </w:r>
      <w:r>
        <w:t xml:space="preserve">TEC_THEME_DIRECTIONS.instructions.md</w:t>
      </w:r>
    </w:p>
    <w:p>
      <w:pPr>
        <w:pStyle w:val="BodyText"/>
      </w:pPr>
      <w:hyperlink r:id="rId24">
        <w:r>
          <w:rPr>
            <w:rStyle w:val="Hyperlink"/>
          </w:rPr>
          <w:t xml:space="preserve">https://drive.google.com/file/d/1hwfkso4N2E0B7Wa01zxioK5YgL9EQje1</w:t>
        </w:r>
      </w:hyperlink>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google.com/document/d/1OcQY2Rpgogro0RA_7sZ5qcHZcBfaLbJW4b4kOvGGfTg" TargetMode="External" /><Relationship Type="http://schemas.openxmlformats.org/officeDocument/2006/relationships/hyperlink" Id="rId24" Target="https://drive.google.com/file/d/1hwfkso4N2E0B7Wa01zxioK5YgL9EQje1" TargetMode="External" /></Relationships>
</file>

<file path=word/_rels/footnotes.xml.rels><?xml version="1.0" encoding="UTF-8"?><Relationships xmlns="http://schemas.openxmlformats.org/package/2006/relationships"><Relationship Type="http://schemas.openxmlformats.org/officeDocument/2006/relationships/hyperlink" Id="rId22" Target="https://docs.google.com/document/d/1OcQY2Rpgogro0RA_7sZ5qcHZcBfaLbJW4b4kOvGGfTg" TargetMode="External" /><Relationship Type="http://schemas.openxmlformats.org/officeDocument/2006/relationships/hyperlink" Id="rId24" Target="https://drive.google.com/file/d/1hwfkso4N2E0B7Wa01zxioK5YgL9EQj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2025-08-23T00:53:03Z</dcterms:created>
  <dcterms:modified xsi:type="dcterms:W3CDTF">2025-08-23T00:53:03Z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