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31" w:name="content"/>
    <w:bookmarkStart w:id="30" w:name="tec-crossover-summary-guidelines"/>
    <w:p>
      <w:pPr>
        <w:pStyle w:val="Heading1"/>
      </w:pPr>
      <w:r>
        <w:t xml:space="preserve">TEC Crossover Summary &amp; Guidelines</w:t>
      </w:r>
    </w:p>
    <w:p>
      <w:pPr>
        <w:pStyle w:val="FirstParagraph"/>
      </w:pPr>
      <w:r>
        <w:t xml:space="preserve">This document consolidates the core axioms that underpin</w:t>
      </w:r>
      <w:r>
        <w:t xml:space="preserve"> </w:t>
      </w:r>
      <w:r>
        <w:rPr>
          <w:b/>
          <w:bCs/>
        </w:rPr>
        <w:t xml:space="preserve">The Elidoras Codex (TEC)</w:t>
      </w:r>
      <w:r>
        <w:t xml:space="preserve"> </w:t>
      </w:r>
      <w:r>
        <w:t xml:space="preserve">and the practical guidelines governing the</w:t>
      </w:r>
      <w:r>
        <w:t xml:space="preserve"> </w:t>
      </w:r>
      <w:r>
        <w:rPr>
          <w:i/>
          <w:iCs/>
        </w:rPr>
        <w:t xml:space="preserve">TEC Crossover Event</w:t>
      </w:r>
      <w:r>
        <w:t xml:space="preserve">. It serves as a single reference point for anyone contributing to the project.</w:t>
      </w:r>
    </w:p>
    <w:bookmarkStart w:id="22" w:name="eight-axioms"/>
    <w:p>
      <w:pPr>
        <w:pStyle w:val="Heading2"/>
      </w:pPr>
      <w:r>
        <w:t xml:space="preserve">Eight Axioms</w:t>
      </w:r>
    </w:p>
    <w:p>
      <w:pPr>
        <w:pStyle w:val="FirstParagraph"/>
      </w:pPr>
      <w:r>
        <w:t xml:space="preserve">The Eight Axioms were defined in TEC’s design brief</w:t>
      </w:r>
      <w:hyperlink r:id="rId21">
        <w:r>
          <w:rPr>
            <w:rStyle w:val="Hyperlink"/>
          </w:rPr>
          <w:t xml:space="preserve">[1]</w:t>
        </w:r>
      </w:hyperlink>
      <w:r>
        <w:t xml:space="preserve">. Each axiom has an associated symbol and encapsulates a foundational principle for storytelling and world‑building: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Axiom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Narrative Supremacy</w:t>
            </w:r>
          </w:p>
        </w:tc>
        <w:tc>
          <w:tcPr/>
          <w:p>
            <w:pPr>
              <w:pStyle w:val="Compact"/>
            </w:pPr>
            <w:r>
              <w:t xml:space="preserve">Reality is shaped by stories; whoever controls the narrative writes the rules</w:t>
            </w:r>
            <w:hyperlink r:id="rId21">
              <w:r>
                <w:rPr>
                  <w:rStyle w:val="Hyperlink"/>
                </w:rPr>
                <w:t xml:space="preserve">[1]</w:t>
              </w:r>
            </w:hyperlink>
            <w:r>
              <w:t xml:space="preserve">. Symbolised by a square with a powerful wave, it reminds us that plot beats and lore should drive game mechanics and world outcomes.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Duality</w:t>
            </w:r>
          </w:p>
        </w:tc>
        <w:tc>
          <w:tcPr/>
          <w:p>
            <w:pPr>
              <w:pStyle w:val="Compact"/>
            </w:pPr>
            <w:r>
              <w:t xml:space="preserve">All things exist in balance—light and dark, chaos and order</w:t>
            </w:r>
            <w:hyperlink r:id="rId21">
              <w:r>
                <w:rPr>
                  <w:rStyle w:val="Hyperlink"/>
                </w:rPr>
                <w:t xml:space="preserve">[1]</w:t>
              </w:r>
            </w:hyperlink>
            <w:r>
              <w:t xml:space="preserve">. Its yin‑yang glyph reflects TEC’s constant interplay between opposing forces, whether in characters, factions or worlds.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Flawed Hero</w:t>
            </w:r>
          </w:p>
        </w:tc>
        <w:tc>
          <w:tcPr/>
          <w:p>
            <w:pPr>
              <w:pStyle w:val="Compact"/>
            </w:pPr>
            <w:r>
              <w:t xml:space="preserve">Greatness emerges from imperfection. A cracked triangle evokes the idea that heroes are forged through trauma and mistakes</w:t>
            </w:r>
            <w:hyperlink r:id="rId21">
              <w:r>
                <w:rPr>
                  <w:rStyle w:val="Hyperlink"/>
                </w:rPr>
                <w:t xml:space="preserve">[2]</w:t>
              </w:r>
            </w:hyperlink>
            <w:r>
              <w:t xml:space="preserve">. Characters should be written with vulnerabilities, and their growth should stem from confronting them.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Justifiable Force</w:t>
            </w:r>
          </w:p>
        </w:tc>
        <w:tc>
          <w:tcPr/>
          <w:p>
            <w:pPr>
              <w:pStyle w:val="Compact"/>
            </w:pPr>
            <w:r>
              <w:t xml:space="preserve">Sometimes decisive force is necessary to protect what matters</w:t>
            </w:r>
            <w:hyperlink r:id="rId21">
              <w:r>
                <w:rPr>
                  <w:rStyle w:val="Hyperlink"/>
                </w:rPr>
                <w:t xml:space="preserve">[3]</w:t>
              </w:r>
            </w:hyperlink>
            <w:r>
              <w:t xml:space="preserve">. Represented by a shield with a single spike, it acknowledges that violence is allowed, but only when aligned with higher moral purpose and with full accountability.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Sovereign Accountability</w:t>
            </w:r>
          </w:p>
        </w:tc>
        <w:tc>
          <w:tcPr/>
          <w:p>
            <w:pPr>
              <w:pStyle w:val="Compact"/>
            </w:pPr>
            <w:r>
              <w:t xml:space="preserve">Power must answer to its consequences</w:t>
            </w:r>
            <w:hyperlink r:id="rId21">
              <w:r>
                <w:rPr>
                  <w:rStyle w:val="Hyperlink"/>
                </w:rPr>
                <w:t xml:space="preserve">[4]</w:t>
              </w:r>
            </w:hyperlink>
            <w:r>
              <w:t xml:space="preserve">. The balanced scale bearing down emphasises that those who wield authority—whether leaders or creators—are bound to transparency and cannot hide from judgement.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Authentic Performance</w:t>
            </w:r>
          </w:p>
        </w:tc>
        <w:tc>
          <w:tcPr/>
          <w:p>
            <w:pPr>
              <w:pStyle w:val="Compact"/>
            </w:pPr>
            <w:r>
              <w:t xml:space="preserve">Be genuine in both identity and action</w:t>
            </w:r>
            <w:hyperlink r:id="rId21">
              <w:r>
                <w:rPr>
                  <w:rStyle w:val="Hyperlink"/>
                </w:rPr>
                <w:t xml:space="preserve">[5]</w:t>
              </w:r>
            </w:hyperlink>
            <w:r>
              <w:t xml:space="preserve">. The eye blended with a fingerprint symbolises individuality; in practice this means crediting collaborators, revealing AI assistance and avoiding performative personas.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Transparency</w:t>
            </w:r>
          </w:p>
        </w:tc>
        <w:tc>
          <w:tcPr/>
          <w:p>
            <w:pPr>
              <w:pStyle w:val="Compact"/>
            </w:pPr>
            <w:r>
              <w:t xml:space="preserve">No hidden backdoors</w:t>
            </w:r>
            <w:hyperlink r:id="rId21">
              <w:r>
                <w:rPr>
                  <w:rStyle w:val="Hyperlink"/>
                </w:rPr>
                <w:t xml:space="preserve">[6]</w:t>
              </w:r>
            </w:hyperlink>
            <w:r>
              <w:t xml:space="preserve">. A clear circle revealing inner structure encourages open communication, visible revision history and honest disclosures about AI involvement.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Generational Decline</w:t>
            </w:r>
          </w:p>
        </w:tc>
        <w:tc>
          <w:tcPr/>
          <w:p>
            <w:pPr>
              <w:pStyle w:val="Compact"/>
            </w:pPr>
            <w:r>
              <w:t xml:space="preserve">Systems inevitably erode unless renewed</w:t>
            </w:r>
            <w:hyperlink r:id="rId21">
              <w:r>
                <w:rPr>
                  <w:rStyle w:val="Hyperlink"/>
                </w:rPr>
                <w:t xml:space="preserve">[7]</w:t>
              </w:r>
            </w:hyperlink>
            <w:r>
              <w:t xml:space="preserve">. The bell curve decaying into static is a warning that complacency leads to collapse; TEC stories should include cycles of rise and fall, and creators should plan for reinvention.</w:t>
            </w:r>
          </w:p>
        </w:tc>
      </w:tr>
    </w:tbl>
    <w:bookmarkEnd w:id="22"/>
    <w:bookmarkStart w:id="28" w:name="guidelines-for-the-crossover-event"/>
    <w:p>
      <w:pPr>
        <w:pStyle w:val="Heading2"/>
      </w:pPr>
      <w:r>
        <w:t xml:space="preserve">Guidelines for the Crossover Event</w:t>
      </w:r>
    </w:p>
    <w:p>
      <w:pPr>
        <w:pStyle w:val="FirstParagraph"/>
      </w:pPr>
      <w:r>
        <w:t xml:space="preserve">These guidelines are adapted from TEC’s prime directive and the</w:t>
      </w:r>
      <w:r>
        <w:t xml:space="preserve"> </w:t>
      </w:r>
      <w:r>
        <w:rPr>
          <w:b/>
          <w:bCs/>
        </w:rPr>
        <w:t xml:space="preserve">INSTRUCTIONS Copilot</w:t>
      </w:r>
      <w:r>
        <w:t xml:space="preserve"> </w:t>
      </w:r>
      <w:r>
        <w:t xml:space="preserve">document</w:t>
      </w:r>
      <w:hyperlink r:id="rId23">
        <w:r>
          <w:rPr>
            <w:rStyle w:val="Hyperlink"/>
          </w:rPr>
          <w:t xml:space="preserve">[8]</w:t>
        </w:r>
      </w:hyperlink>
      <w:hyperlink r:id="rId23">
        <w:r>
          <w:rPr>
            <w:rStyle w:val="Hyperlink"/>
          </w:rPr>
          <w:t xml:space="preserve">[9]</w:t>
        </w:r>
      </w:hyperlink>
      <w:r>
        <w:t xml:space="preserve"> </w:t>
      </w:r>
      <w:r>
        <w:t xml:space="preserve">to ensure consistent tone, format and workflow across contributors:</w:t>
      </w:r>
    </w:p>
    <w:bookmarkStart w:id="24" w:name="communication-formatting"/>
    <w:p>
      <w:pPr>
        <w:pStyle w:val="Heading3"/>
      </w:pPr>
      <w:r>
        <w:t xml:space="preserve">Communication &amp; Formatting</w:t>
      </w:r>
    </w:p>
    <w:p>
      <w:pPr>
        <w:pStyle w:val="Compact"/>
        <w:numPr>
          <w:ilvl w:val="0"/>
          <w:numId w:val="1001"/>
        </w:numPr>
      </w:pPr>
      <w:r>
        <w:t xml:space="preserve">Use</w:t>
      </w:r>
      <w:r>
        <w:t xml:space="preserve"> </w:t>
      </w:r>
      <w:r>
        <w:rPr>
          <w:b/>
          <w:bCs/>
        </w:rPr>
        <w:t xml:space="preserve">single spaces</w:t>
      </w:r>
      <w:r>
        <w:t xml:space="preserve"> </w:t>
      </w:r>
      <w:r>
        <w:t xml:space="preserve">between words and treat emojis as punctuation. Avoid double spacing.</w:t>
      </w:r>
    </w:p>
    <w:p>
      <w:pPr>
        <w:pStyle w:val="Compact"/>
        <w:numPr>
          <w:ilvl w:val="0"/>
          <w:numId w:val="1001"/>
        </w:numPr>
      </w:pPr>
      <w:r>
        <w:t xml:space="preserve">Replace “and” with</w:t>
      </w:r>
      <w:r>
        <w:t xml:space="preserve"> </w:t>
      </w:r>
      <w:r>
        <w:rPr>
          <w:b/>
          <w:bCs/>
        </w:rPr>
        <w:t xml:space="preserve">&amp;</w:t>
      </w:r>
      <w:r>
        <w:t xml:space="preserve"> </w:t>
      </w:r>
      <w:r>
        <w:t xml:space="preserve">unless necessary for clarity, and use</w:t>
      </w:r>
      <w:r>
        <w:t xml:space="preserve"> </w:t>
      </w:r>
      <w:r>
        <w:rPr>
          <w:rStyle w:val="VerbatimChar"/>
        </w:rPr>
        <w:t xml:space="preserve">|</w:t>
      </w:r>
      <w:r>
        <w:t xml:space="preserve"> </w:t>
      </w:r>
      <w:r>
        <w:t xml:space="preserve">to save space when listing items.</w:t>
      </w:r>
    </w:p>
    <w:p>
      <w:pPr>
        <w:pStyle w:val="Compact"/>
        <w:numPr>
          <w:ilvl w:val="0"/>
          <w:numId w:val="1001"/>
        </w:numPr>
      </w:pPr>
      <w:r>
        <w:t xml:space="preserve">Responses should be</w:t>
      </w:r>
      <w:r>
        <w:t xml:space="preserve"> </w:t>
      </w:r>
      <w:r>
        <w:rPr>
          <w:b/>
          <w:bCs/>
        </w:rPr>
        <w:t xml:space="preserve">concise</w:t>
      </w:r>
      <w:r>
        <w:t xml:space="preserve">, copy‑and‑paste ready, and formatted as single paragraphs when appropriate.</w:t>
      </w:r>
    </w:p>
    <w:p>
      <w:pPr>
        <w:pStyle w:val="Compact"/>
        <w:numPr>
          <w:ilvl w:val="0"/>
          <w:numId w:val="1001"/>
        </w:numPr>
      </w:pPr>
      <w:r>
        <w:t xml:space="preserve">When writing code, follow the language’s standard (e.g.</w:t>
      </w:r>
      <w:r>
        <w:t xml:space="preserve"> </w:t>
      </w:r>
      <w:r>
        <w:rPr>
          <w:b/>
          <w:bCs/>
        </w:rPr>
        <w:t xml:space="preserve">PEP 8</w:t>
      </w:r>
      <w:r>
        <w:t xml:space="preserve"> </w:t>
      </w:r>
      <w:r>
        <w:t xml:space="preserve">for Python). Use code fences for full scripts. For small inline commands, no fences are needed.</w:t>
      </w:r>
    </w:p>
    <w:p>
      <w:pPr>
        <w:pStyle w:val="Compact"/>
        <w:numPr>
          <w:ilvl w:val="0"/>
          <w:numId w:val="1001"/>
        </w:numPr>
      </w:pPr>
      <w:r>
        <w:t xml:space="preserve">Always include the exact prompts used when generating images or music.</w:t>
      </w:r>
    </w:p>
    <w:bookmarkEnd w:id="24"/>
    <w:bookmarkStart w:id="25" w:name="domain-expertise"/>
    <w:p>
      <w:pPr>
        <w:pStyle w:val="Heading3"/>
      </w:pPr>
      <w:r>
        <w:t xml:space="preserve">Domain Expertise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Web development</w:t>
      </w:r>
      <w:r>
        <w:t xml:space="preserve">: WordPress, Breakdance, HTML, CSS, JavaScript, Node/Express, React, NextJS.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Coding &amp; automation</w:t>
      </w:r>
      <w:r>
        <w:t xml:space="preserve">: Python, PowerShell, Unity/C#, Blender; use virtual environments and semantic versioning; maintain code within</w:t>
      </w:r>
      <w:r>
        <w:t xml:space="preserve"> </w:t>
      </w:r>
      <w:r>
        <w:rPr>
          <w:rStyle w:val="VerbatimChar"/>
        </w:rPr>
        <w:t xml:space="preserve">C:\Users\Ghedd\TEC_CODE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Content creation</w:t>
      </w:r>
      <w:r>
        <w:t xml:space="preserve">: Draft lore, scripts, scenes and prompts; create AI art and music prompts; document marketing strategies and business logic.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Strategy</w:t>
      </w:r>
      <w:r>
        <w:t xml:space="preserve">: Plan site architecture, monetisation (Patreon, WooCommerce), marketing campaigns and community engagement.</w:t>
      </w:r>
    </w:p>
    <w:bookmarkEnd w:id="25"/>
    <w:bookmarkStart w:id="26" w:name="file-structure-versioning"/>
    <w:p>
      <w:pPr>
        <w:pStyle w:val="Heading3"/>
      </w:pPr>
      <w:r>
        <w:t xml:space="preserve">File Structure &amp; Versioning</w:t>
      </w:r>
    </w:p>
    <w:p>
      <w:pPr>
        <w:pStyle w:val="Compact"/>
        <w:numPr>
          <w:ilvl w:val="0"/>
          <w:numId w:val="1003"/>
        </w:numPr>
      </w:pPr>
      <w:r>
        <w:t xml:space="preserve">All TEC code and documents live under a designated root (e.g.</w:t>
      </w:r>
      <w:r>
        <w:t xml:space="preserve"> </w:t>
      </w:r>
      <w:r>
        <w:rPr>
          <w:rStyle w:val="VerbatimChar"/>
        </w:rPr>
        <w:t xml:space="preserve">C:\Users\Ghedd\TEC_CODE</w:t>
      </w:r>
      <w:r>
        <w:t xml:space="preserve">). New files or folders should follow a</w:t>
      </w:r>
      <w:r>
        <w:t xml:space="preserve"> </w:t>
      </w:r>
      <w:r>
        <w:rPr>
          <w:b/>
          <w:bCs/>
        </w:rPr>
        <w:t xml:space="preserve">YYYY‑MM‑DD__project__type__slug__vNN.ext</w:t>
      </w:r>
      <w:r>
        <w:t xml:space="preserve"> </w:t>
      </w:r>
      <w:r>
        <w:t xml:space="preserve">pattern when versioning content.</w:t>
      </w:r>
    </w:p>
    <w:p>
      <w:pPr>
        <w:pStyle w:val="Compact"/>
        <w:numPr>
          <w:ilvl w:val="0"/>
          <w:numId w:val="1003"/>
        </w:numPr>
      </w:pPr>
      <w:r>
        <w:t xml:space="preserve">For this crossover event, the central folder is:</w:t>
      </w:r>
    </w:p>
    <w:p>
      <w:pPr>
        <w:pStyle w:val="FirstParagraph"/>
      </w:pPr>
      <w:r>
        <w:rPr>
          <w:rStyle w:val="VerbatimChar"/>
        </w:rPr>
        <w:t xml:space="preserve">G:\My Drive\TEC_NWO\TEC Crossover Event</w:t>
      </w:r>
    </w:p>
    <w:p>
      <w:pPr>
        <w:pStyle w:val="BodyText"/>
      </w:pPr>
      <w:r>
        <w:t xml:space="preserve">Place the summary, guidelines and any crossover documents here. Deeper subfolders may be created later, but keep this as the main entry point for now.</w:t>
      </w:r>
    </w:p>
    <w:p>
      <w:pPr>
        <w:pStyle w:val="Compact"/>
        <w:numPr>
          <w:ilvl w:val="0"/>
          <w:numId w:val="1004"/>
        </w:numPr>
      </w:pPr>
      <w:r>
        <w:t xml:space="preserve">Use</w:t>
      </w:r>
      <w:r>
        <w:t xml:space="preserve"> </w:t>
      </w:r>
      <w:r>
        <w:rPr>
          <w:b/>
          <w:bCs/>
        </w:rPr>
        <w:t xml:space="preserve">semantic versioning</w:t>
      </w:r>
      <w:r>
        <w:t xml:space="preserve"> </w:t>
      </w:r>
      <w:r>
        <w:t xml:space="preserve">(v01, v02, etc.) when updating documents or code, and provide clear changelog entries in commit messages.</w:t>
      </w:r>
    </w:p>
    <w:bookmarkEnd w:id="26"/>
    <w:bookmarkStart w:id="27" w:name="collaboration-etiquette"/>
    <w:p>
      <w:pPr>
        <w:pStyle w:val="Heading3"/>
      </w:pPr>
      <w:r>
        <w:t xml:space="preserve">Collaboration &amp; Etiquette</w:t>
      </w:r>
    </w:p>
    <w:p>
      <w:pPr>
        <w:pStyle w:val="Compact"/>
        <w:numPr>
          <w:ilvl w:val="0"/>
          <w:numId w:val="1005"/>
        </w:numPr>
      </w:pPr>
      <w:r>
        <w:t xml:space="preserve">Credit</w:t>
      </w:r>
      <w:r>
        <w:t xml:space="preserve"> </w:t>
      </w:r>
      <w:r>
        <w:rPr>
          <w:b/>
          <w:bCs/>
        </w:rPr>
        <w:t xml:space="preserve">AI contributions</w:t>
      </w:r>
      <w:r>
        <w:t xml:space="preserve"> </w:t>
      </w:r>
      <w:r>
        <w:t xml:space="preserve">transparently; use an AI collaboration banner on posts stating that TEC content is a fusion of human and AI creativity.</w:t>
      </w:r>
    </w:p>
    <w:p>
      <w:pPr>
        <w:pStyle w:val="Compact"/>
        <w:numPr>
          <w:ilvl w:val="0"/>
          <w:numId w:val="1005"/>
        </w:numPr>
      </w:pPr>
      <w:r>
        <w:t xml:space="preserve">Respect the eight axioms in all creative outputs. They are not just lore; they guide decision‑making about characters, plot, technology and world design.</w:t>
      </w:r>
    </w:p>
    <w:p>
      <w:pPr>
        <w:pStyle w:val="Compact"/>
        <w:numPr>
          <w:ilvl w:val="0"/>
          <w:numId w:val="1005"/>
        </w:numPr>
      </w:pPr>
      <w:r>
        <w:t xml:space="preserve">When editing others’ work, include a sign‑off summarising what was changed. Use a playful closing remark to maintain consistency with TEC’s house voice.</w:t>
      </w:r>
    </w:p>
    <w:bookmarkEnd w:id="27"/>
    <w:bookmarkEnd w:id="28"/>
    <w:bookmarkStart w:id="29" w:name="next-steps"/>
    <w:p>
      <w:pPr>
        <w:pStyle w:val="Heading2"/>
      </w:pPr>
      <w:r>
        <w:t xml:space="preserve">Next Steps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Upload this file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TEC Crossover Event</w:t>
      </w:r>
      <w:r>
        <w:t xml:space="preserve"> </w:t>
      </w:r>
      <w:r>
        <w:t xml:space="preserve">folder on Google Drive so all contributors can reference it.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Consolidate existing lore</w:t>
      </w:r>
      <w:r>
        <w:t xml:space="preserve"> </w:t>
      </w:r>
      <w:r>
        <w:t xml:space="preserve">(e.g.</w:t>
      </w:r>
      <w:r>
        <w:t xml:space="preserve"> </w:t>
      </w:r>
      <w:r>
        <w:rPr>
          <w:i/>
          <w:iCs/>
        </w:rPr>
        <w:t xml:space="preserve">Foundational Thesis</w:t>
      </w:r>
      <w:r>
        <w:t xml:space="preserve">,</w:t>
      </w:r>
      <w:r>
        <w:t xml:space="preserve"> </w:t>
      </w:r>
      <w:r>
        <w:rPr>
          <w:i/>
          <w:iCs/>
        </w:rPr>
        <w:t xml:space="preserve">BIOLOGICAL IMPERATIVE</w:t>
      </w:r>
      <w:r>
        <w:t xml:space="preserve"> </w:t>
      </w:r>
      <w:r>
        <w:t xml:space="preserve">session summary, character timelines) into cross‑referenced files within the crossover directory. Align names, dates and concepts with the axioms.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Create additional documents</w:t>
      </w:r>
      <w:r>
        <w:t xml:space="preserve"> </w:t>
      </w:r>
      <w:r>
        <w:t xml:space="preserve">as needed: a project overview, a list of deliverables, and sub‑folders for code, audio/visual assets and lore.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Share the master summary</w:t>
      </w:r>
      <w:r>
        <w:t xml:space="preserve"> </w:t>
      </w:r>
      <w:r>
        <w:t xml:space="preserve">at the start of future chats to ensure new participants adhere to the same axioms and guidelines.</w:t>
      </w:r>
    </w:p>
    <w:p>
      <w:pPr>
        <w:pStyle w:val="FirstParagraph"/>
      </w:pPr>
      <w:r>
        <w:t xml:space="preserve">By following these principles and organisational steps, the TEC community can build a coherent crossover experience that honours its philosophy while enabling innovative contributions.</w:t>
      </w:r>
    </w:p>
    <w:bookmarkEnd w:id="29"/>
    <w:bookmarkEnd w:id="30"/>
    <w:bookmarkEnd w:id="31"/>
    <w:p>
      <w:r>
        <w:pict>
          <v:rect style="width:0;height:1.5pt" o:hralign="center" o:hrstd="t" o:hr="t"/>
        </w:pict>
      </w:r>
    </w:p>
    <w:bookmarkStart w:id="32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hyperlink r:id="rId21">
        <w:r>
          <w:rPr>
            <w:rStyle w:val="Hyperlink"/>
          </w:rPr>
          <w:t xml:space="preserve">[2]</w:t>
        </w:r>
      </w:hyperlink>
      <w:r>
        <w:t xml:space="preserve"> </w:t>
      </w:r>
      <w:hyperlink r:id="rId21">
        <w:r>
          <w:rPr>
            <w:rStyle w:val="Hyperlink"/>
          </w:rPr>
          <w:t xml:space="preserve">[3]</w:t>
        </w:r>
      </w:hyperlink>
      <w:r>
        <w:t xml:space="preserve"> </w:t>
      </w:r>
      <w:hyperlink r:id="rId21">
        <w:r>
          <w:rPr>
            <w:rStyle w:val="Hyperlink"/>
          </w:rPr>
          <w:t xml:space="preserve">[4]</w:t>
        </w:r>
      </w:hyperlink>
      <w:r>
        <w:t xml:space="preserve"> </w:t>
      </w:r>
      <w:hyperlink r:id="rId21">
        <w:r>
          <w:rPr>
            <w:rStyle w:val="Hyperlink"/>
          </w:rPr>
          <w:t xml:space="preserve">[5]</w:t>
        </w:r>
      </w:hyperlink>
      <w:r>
        <w:t xml:space="preserve"> </w:t>
      </w:r>
      <w:hyperlink r:id="rId21">
        <w:r>
          <w:rPr>
            <w:rStyle w:val="Hyperlink"/>
          </w:rPr>
          <w:t xml:space="preserve">[6]</w:t>
        </w:r>
      </w:hyperlink>
      <w:r>
        <w:t xml:space="preserve"> </w:t>
      </w:r>
      <w:hyperlink r:id="rId21">
        <w:r>
          <w:rPr>
            <w:rStyle w:val="Hyperlink"/>
          </w:rPr>
          <w:t xml:space="preserve">[7]</w:t>
        </w:r>
      </w:hyperlink>
      <w:r>
        <w:t xml:space="preserve"> </w:t>
      </w:r>
      <w:r>
        <w:t xml:space="preserve">Design Brief: The Sigil of the Eight Axioms</w:t>
      </w:r>
    </w:p>
    <w:p>
      <w:pPr>
        <w:pStyle w:val="BodyText"/>
      </w:pPr>
      <w:hyperlink r:id="rId21">
        <w:r>
          <w:rPr>
            <w:rStyle w:val="Hyperlink"/>
          </w:rPr>
          <w:t xml:space="preserve">https://docs.google.com/document/d/1OcQY2Rpgogro0RA_7sZ5qcHZcBfaLbJW4b4kOvGGfTg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[8]</w:t>
        </w:r>
      </w:hyperlink>
      <w:r>
        <w:t xml:space="preserve"> </w:t>
      </w:r>
      <w:hyperlink r:id="rId23">
        <w:r>
          <w:rPr>
            <w:rStyle w:val="Hyperlink"/>
          </w:rPr>
          <w:t xml:space="preserve">[9]</w:t>
        </w:r>
      </w:hyperlink>
      <w:r>
        <w:t xml:space="preserve"> </w:t>
      </w:r>
      <w:r>
        <w:t xml:space="preserve">TEC_THEME_DIRECTIONS.instructions.md</w:t>
      </w:r>
    </w:p>
    <w:p>
      <w:pPr>
        <w:pStyle w:val="BodyText"/>
      </w:pPr>
      <w:hyperlink r:id="rId23">
        <w:r>
          <w:rPr>
            <w:rStyle w:val="Hyperlink"/>
          </w:rPr>
          <w:t xml:space="preserve">https://drive.google.com/file/d/1hwfkso4N2E0B7Wa01zxioK5YgL9EQje1</w:t>
        </w:r>
      </w:hyperlink>
    </w:p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google.com/document/d/1OcQY2Rpgogro0RA_7sZ5qcHZcBfaLbJW4b4kOvGGfTg" TargetMode="External" /><Relationship Type="http://schemas.openxmlformats.org/officeDocument/2006/relationships/hyperlink" Id="rId23" Target="https://drive.google.com/file/d/1hwfkso4N2E0B7Wa01zxioK5YgL9EQje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cs.google.com/document/d/1OcQY2Rpgogro0RA_7sZ5qcHZcBfaLbJW4b4kOvGGfTg" TargetMode="External" /><Relationship Type="http://schemas.openxmlformats.org/officeDocument/2006/relationships/hyperlink" Id="rId23" Target="https://drive.google.com/file/d/1hwfkso4N2E0B7Wa01zxioK5YgL9EQje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2025-08-23T00:38:29Z</dcterms:created>
  <dcterms:modified xsi:type="dcterms:W3CDTF">2025-08-23T00:38:29Z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