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Guía de estudio – FastExpress</w:t>
      </w:r>
    </w:p>
    <w:p>
      <w:pPr/>
      <w:r>
        <w:t xml:space="preserve">Oct 14, 2026</w:t>
      </w:r>
      <w:r>
        <w:t xml:space="preserve"> · </w:t>
      </w:r>
      <w:r>
        <w:t xml:space="preserve">@GAMS</w:t>
      </w:r>
    </w:p>
    <w:p>
      <w:pPr>
        <w:pStyle w:val="Heading2"/>
      </w:pPr>
      <w:r>
        <w:t xml:space="preserve">1. Qué es FastExpress y sus 4 reglas</w:t>
      </w:r>
    </w:p>
    <w:p>
      <w:pPr/>
      <w:r>
        <w:t xml:space="preserve">FastExpress es una página web que le dice a un cliente </w:t>
      </w:r>
      <w:r>
        <w:rPr>
          <w:b/>
        </w:rPr>
        <w:t xml:space="preserve">cuánto cuesta enviar un paquete</w:t>
      </w:r>
      <w:r>
        <w:t xml:space="preserve">. El usuario escribe tres datos (peso, tipo de cliente y tipo de envío) y el sistema calcula el precio con cuatro reglas de negocio.</w:t>
      </w:r>
    </w:p>
    <w:p>
      <w:pPr/>
      <w:r>
        <w:t xml:space="preserve">El proyecto tiene dos partes que se califican por igual: </w:t>
      </w:r>
      <w:r>
        <w:rPr>
          <w:b/>
        </w:rPr>
        <w:t xml:space="preserve">construir</w:t>
      </w:r>
      <w:r>
        <w:t xml:space="preserve"> el módulo y </w:t>
      </w:r>
      <w:r>
        <w:rPr>
          <w:b/>
        </w:rPr>
        <w:t xml:space="preserve">demostrar con pruebas</w:t>
      </w:r>
      <w:r>
        <w:t xml:space="preserve"> que calcula bien. Por eso la mayor parte del trabajo es de calidad de software.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Regla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Qué dice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En palabras simples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BR-01 Tarifa base</w:t>
            </w:r>
          </w:p>
        </w:tc>
        <w:tc>
          <w:tcPr>
            <w:tcW w:w="3120" w:type="dxa"/>
          </w:tcPr>
          <w:p>
            <w:pPr/>
            <w:r>
              <w:t xml:space="preserve">$5.00 por cada orden</w:t>
            </w:r>
          </w:p>
        </w:tc>
        <w:tc>
          <w:tcPr>
            <w:tcW w:w="3120" w:type="dxa"/>
          </w:tcPr>
          <w:p>
            <w:pPr/>
            <w:r>
              <w:t xml:space="preserve">Todo envío cuesta al menos $5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BR-02 Peso</w:t>
            </w:r>
          </w:p>
        </w:tc>
        <w:tc>
          <w:tcPr>
            <w:tcW w:w="3120" w:type="dxa"/>
          </w:tcPr>
          <w:p>
            <w:pPr/>
            <w:r>
              <w:t xml:space="preserve">0.01 a 5.00 kg: $2.00 por kg. 5.01 a 20.00 kg: $4.00 por kg. Más de 20 kg: se rechaza</w:t>
            </w:r>
          </w:p>
        </w:tc>
        <w:tc>
          <w:tcPr>
            <w:tcW w:w="3120" w:type="dxa"/>
          </w:tcPr>
          <w:p>
            <w:pPr/>
            <w:r>
              <w:t xml:space="preserve">Paquetes livianos pagan menos por kilo; más de 20 kg no se aceptan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BR-03 Tipo de cliente</w:t>
            </w:r>
          </w:p>
        </w:tc>
        <w:tc>
          <w:tcPr>
            <w:tcW w:w="3120" w:type="dxa"/>
          </w:tcPr>
          <w:p>
            <w:pPr/>
            <w:r>
              <w:t xml:space="preserve">Nuevo 0 %, Frecuente 10 %, VIP 20 % de descuento</w:t>
            </w:r>
          </w:p>
        </w:tc>
        <w:tc>
          <w:tcPr>
            <w:tcW w:w="3120" w:type="dxa"/>
          </w:tcPr>
          <w:p>
            <w:pPr/>
            <w:r>
              <w:t xml:space="preserve">Los clientes fieles pagan menos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BR-04 Tipo de envío</w:t>
            </w:r>
          </w:p>
        </w:tc>
        <w:tc>
          <w:tcPr>
            <w:tcW w:w="3120" w:type="dxa"/>
          </w:tcPr>
          <w:p>
            <w:pPr/>
            <w:r>
              <w:t xml:space="preserve">Estándar 0 %, Express +25 % de recargo</w:t>
            </w:r>
          </w:p>
        </w:tc>
        <w:tc>
          <w:tcPr>
            <w:tcW w:w="3120" w:type="dxa"/>
          </w:tcPr>
          <w:p>
            <w:pPr/>
            <w:r>
              <w:t xml:space="preserve">El envío rápido cuesta más</w:t>
            </w:r>
          </w:p>
        </w:tc>
      </w:tr>
    </w:tbl>
    <w:p>
      <w:pPr>
        <w:pStyle w:val="Heading3"/>
      </w:pPr>
      <w:r>
        <w:t xml:space="preserve">La fórmula, paso a paso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Subtotal</w:t>
      </w:r>
      <w:r>
        <w:t xml:space="preserve"> = $5.00 + peso × tarifa por kg.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Recargo</w:t>
      </w:r>
      <w:r>
        <w:t xml:space="preserve"> = subtotal × 25 % si es Express (si no, $0).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Descuento</w:t>
      </w:r>
      <w:r>
        <w:t xml:space="preserve"> = (subtotal + recargo) × porcentaje del cliente.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Total</w:t>
      </w:r>
      <w:r>
        <w:t xml:space="preserve"> = subtotal + recargo − descuento.</w:t>
      </w:r>
    </w:p>
    <w:p>
      <w:pPr/>
      <w:r>
        <w:t xml:space="preserve">Cada monto se redondea a centavos (0.005 sube a 0.01).</w:t>
      </w:r>
    </w:p>
    <w:p>
      <w:pPr>
        <w:pStyle w:val="Heading3"/>
      </w:pPr>
      <w:r>
        <w:t xml:space="preserve">Tres ejemplos para practicar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Caso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Cálculo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Total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 kg, Nuevo, Estándar</w:t>
            </w:r>
          </w:p>
        </w:tc>
        <w:tc>
          <w:tcPr>
            <w:tcW w:w="3120" w:type="dxa"/>
          </w:tcPr>
          <w:p>
            <w:pPr/>
            <w:r>
              <w:t xml:space="preserve">5 + 3 × 2 = 11; sin recargo ni descuento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$11.00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10 kg, Frecuente, Express</w:t>
            </w:r>
          </w:p>
        </w:tc>
        <w:tc>
          <w:tcPr>
            <w:tcW w:w="3120" w:type="dxa"/>
          </w:tcPr>
          <w:p>
            <w:pPr/>
            <w:r>
              <w:t xml:space="preserve">5 + 10 × 4 = 45; recargo 45 × 0.25 = 11.25; descuento (45 + 11.25) × 0.10 = 5.63; 45 + 11.25 − 5.63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$50.62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20 kg, Nuevo, Express (el más caro posible)</w:t>
            </w:r>
          </w:p>
        </w:tc>
        <w:tc>
          <w:tcPr>
            <w:tcW w:w="3120" w:type="dxa"/>
          </w:tcPr>
          <w:p>
            <w:pPr/>
            <w:r>
              <w:t xml:space="preserve">5 + 20 × 4 = 85; recargo 21.25; sin descuento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$106.25</w:t>
            </w:r>
          </w:p>
        </w:tc>
      </w:tr>
    </w:tbl>
    <w:p>
      <w:pPr/>
      <w:r>
        <w:t xml:space="preserve">El envío más barato posible es 0.01 kg, VIP, Estándar: 5 + 0.02 = 5.02, menos 20 % = </w:t>
      </w:r>
      <w:r>
        <w:rPr>
          <w:b/>
        </w:rPr>
        <w:t xml:space="preserve">$4.02</w:t>
      </w:r>
      <w:r>
        <w:t xml:space="preserve">.</w:t>
      </w:r>
    </w:p>
    <w:p>
      <w:pPr>
        <w:pStyle w:val="Heading3"/>
      </w:pPr>
      <w:r>
        <w:t xml:space="preserve">Supuestos que decidió el equipo</w:t>
      </w:r>
    </w:p>
    <w:p>
      <w:pPr/>
      <w:r>
        <w:t xml:space="preserve">El enunciado no aclaraba algunos puntos, así que el equipo los decidió y los escribió en el informe (sección 1.2):</w:t>
      </w:r>
    </w:p>
    <w:p>
      <w:pPr>
        <w:pStyle w:val="ListParagraph"/>
        <w:numPr>
          <w:ilvl w:val="0"/>
          <w:numId w:val="3"/>
        </w:numPr>
      </w:pPr>
      <w:r>
        <w:t xml:space="preserve">Todo el peso se cobra con la tarifa de su tramo: 10 kg = 10 × $4, no "5 kg a $2 y 5 kg a $4".</w:t>
      </w:r>
    </w:p>
    <w:p>
      <w:pPr>
        <w:pStyle w:val="ListParagraph"/>
        <w:numPr>
          <w:ilvl w:val="0"/>
          <w:numId w:val="3"/>
        </w:numPr>
      </w:pPr>
      <w:r>
        <w:t xml:space="preserve">El descuento se aplica después del recargo. Como ambos son porcentajes, el total sale igual en cualquier orden.</w:t>
      </w:r>
    </w:p>
    <w:p>
      <w:pPr>
        <w:pStyle w:val="ListParagraph"/>
        <w:numPr>
          <w:ilvl w:val="0"/>
          <w:numId w:val="3"/>
        </w:numPr>
      </w:pPr>
      <w:r>
        <w:t xml:space="preserve">"Monto" se entiende como el total cotizado, porque ninguna regla define un monto de entrada.</w:t>
      </w:r>
    </w:p>
    <w:p>
      <w:pPr>
        <w:pStyle w:val="ListParagraph"/>
        <w:numPr>
          <w:ilvl w:val="0"/>
          <w:numId w:val="3"/>
        </w:numPr>
      </w:pPr>
      <w:r>
        <w:t xml:space="preserve">Un peso de 0, negativo o con letras es un error de entrada.</w:t>
      </w:r>
    </w:p>
    <w:p>
      <w:pPr>
        <w:pStyle w:val="Heading2"/>
      </w:pPr>
      <w:r>
        <w:t xml:space="preserve">2. Cómo funciona por dentro</w:t>
      </w:r>
    </w:p>
    <w:p>
      <w:pPr/>
      <w:r>
        <w:t xml:space="preserve">El programa tiene tres partes que se pasan el trabajo como una cadena: la página pide, la API recibe y el cálculo resuelve. Debajo de cada parte está el archivo de pruebas que la vigila.</w:t>
      </w:r>
    </w:p>
    <w:p>
      <w:pPr/>
      <w:r>
        <w:drawing>
          <wp:inline distT="0" distB="0" distL="0" distR="0">
            <wp:extent cx="5486400" cy="1943100"/>
            <wp:docPr id="1" name="image1" descr="arquitectura de FastExpress · 3 partes y sus prueba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quitectura de FastExpress · 3 partes y sus prueba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arquitectura de FastExpress · 3 partes y sus pruebas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Frontend (lo que ve el usuario).</w:t>
      </w:r>
      <w:r>
        <w:t xml:space="preserve"> El usuario llena el formulario y pulsa Cotizar. </w:t>
      </w:r>
      <w:r>
        <w:rPr>
          <w:rStyle w:val="CodeChar"/>
        </w:rPr>
        <w:t xml:space="preserve">app.js</w:t>
      </w:r>
      <w:r>
        <w:t xml:space="preserve"> revisa primero lo básico (que el peso sea un número entre 0.01 y 20 y que los dos tipos estén elegidos). Si algo falta, muestra el mensaje en rojo y no envía nada.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API (el mensajero).</w:t>
      </w:r>
      <w:r>
        <w:t xml:space="preserve"> Si todo está bien, </w:t>
      </w:r>
      <w:r>
        <w:rPr>
          <w:rStyle w:val="CodeChar"/>
        </w:rPr>
        <w:t xml:space="preserve">app.js</w:t>
      </w:r>
      <w:r>
        <w:t xml:space="preserve"> envía los datos en formato JSON a </w:t>
      </w:r>
      <w:r>
        <w:rPr>
          <w:rStyle w:val="CodeChar"/>
        </w:rPr>
        <w:t xml:space="preserve">POST /api/cotizaciones</w:t>
      </w:r>
      <w:r>
        <w:t xml:space="preserve">. </w:t>
      </w:r>
      <w:r>
        <w:rPr>
          <w:rStyle w:val="CodeChar"/>
        </w:rPr>
        <w:t xml:space="preserve">api.py</w:t>
      </w:r>
      <w:r>
        <w:t xml:space="preserve"> los recibe y llama a la función de cálculo.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Cálculo (el cerebro).</w:t>
      </w:r>
      <w:r>
        <w:t xml:space="preserve"> </w:t>
      </w:r>
      <w:r>
        <w:rPr>
          <w:rStyle w:val="CodeChar"/>
        </w:rPr>
        <w:t xml:space="preserve">calcular_cotizacion()</w:t>
      </w:r>
      <w:r>
        <w:t xml:space="preserve"> en </w:t>
      </w:r>
      <w:r>
        <w:rPr>
          <w:rStyle w:val="CodeChar"/>
        </w:rPr>
        <w:t xml:space="preserve">cotizador.py</w:t>
      </w:r>
      <w:r>
        <w:t xml:space="preserve"> valida otra vez, aplica las 4 reglas y devuelve el desglose. Si hay un error, lanza una excepción con un código, como </w:t>
      </w:r>
      <w:r>
        <w:rPr>
          <w:rStyle w:val="CodeChar"/>
        </w:rPr>
        <w:t xml:space="preserve">LIMITE_EXCEDIDO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Respuesta.</w:t>
      </w:r>
      <w:r>
        <w:t xml:space="preserve"> La API traduce el resultado a un código HTTP y el frontend pinta la tabla o el mensaje.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Código HTTP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Significa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Ejemplo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200</w:t>
            </w:r>
          </w:p>
        </w:tc>
        <w:tc>
          <w:tcPr>
            <w:tcW w:w="3120" w:type="dxa"/>
          </w:tcPr>
          <w:p>
            <w:pPr/>
            <w:r>
              <w:t xml:space="preserve">Todo bien, aquí está la cotización</w:t>
            </w:r>
          </w:p>
        </w:tc>
        <w:tc>
          <w:tcPr>
            <w:tcW w:w="3120" w:type="dxa"/>
          </w:tcPr>
          <w:p>
            <w:pPr/>
            <w:r>
              <w:t xml:space="preserve">10 kg, VIP, Express → $45.00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400</w:t>
            </w:r>
          </w:p>
        </w:tc>
        <w:tc>
          <w:tcPr>
            <w:tcW w:w="3120" w:type="dxa"/>
          </w:tcPr>
          <w:p>
            <w:pPr/>
            <w:r>
              <w:t xml:space="preserve">Dato mal escrito o faltante</w:t>
            </w:r>
          </w:p>
        </w:tc>
        <w:tc>
          <w:tcPr>
            <w:tcW w:w="3120" w:type="dxa"/>
          </w:tcPr>
          <w:p>
            <w:pPr/>
            <w:r>
              <w:t xml:space="preserve">peso "abc" → </w:t>
            </w:r>
            <w:r>
              <w:rPr>
                <w:rStyle w:val="CodeChar"/>
              </w:rPr>
              <w:t xml:space="preserve">PESO_INVALIDO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422</w:t>
            </w:r>
          </w:p>
        </w:tc>
        <w:tc>
          <w:tcPr>
            <w:tcW w:w="3120" w:type="dxa"/>
          </w:tcPr>
          <w:p>
            <w:pPr/>
            <w:r>
              <w:t xml:space="preserve">Dato válido pero fuera del límite</w:t>
            </w:r>
          </w:p>
        </w:tc>
        <w:tc>
          <w:tcPr>
            <w:tcW w:w="3120" w:type="dxa"/>
          </w:tcPr>
          <w:p>
            <w:pPr/>
            <w:r>
              <w:t xml:space="preserve">25 kg → </w:t>
            </w:r>
            <w:r>
              <w:rPr>
                <w:rStyle w:val="CodeChar"/>
              </w:rPr>
              <w:t xml:space="preserve">LIMITE_EXCEDIDO</w:t>
            </w:r>
          </w:p>
        </w:tc>
      </w:tr>
    </w:tbl>
    <w:p>
      <w:pPr/>
      <w:r>
        <w:rPr>
          <w:b/>
        </w:rPr>
        <w:t xml:space="preserve">¿Por qué se valida dos veces?</w:t>
      </w:r>
      <w:r>
        <w:t xml:space="preserve"> El frontend valida para dar una respuesta rápida al usuario. El backend valida porque cualquiera podría llamar a la API sin pasar por la página; la regla real vive en el servidor.</w:t>
      </w:r>
    </w:p>
    <w:p>
      <w:pPr/>
      <w:r>
        <w:rPr>
          <w:b/>
        </w:rPr>
        <w:t xml:space="preserve">¿Por qué se usa </w:t>
      </w:r>
      <w:r>
        <w:rPr>
          <w:rStyle w:val="CodeChar"/>
          <w:b/>
        </w:rPr>
        <w:t xml:space="preserve">Decimal</w:t>
      </w:r>
      <w:r>
        <w:rPr>
          <w:b/>
        </w:rPr>
        <w:t xml:space="preserve"> y no números normales?</w:t>
      </w:r>
      <w:r>
        <w:t xml:space="preserve"> Con números normales, 0.1 + 0.2 da 0.30000000000000004. En dinero eso produce centavos erróneos, así que todo el cálculo usa </w:t>
      </w:r>
      <w:r>
        <w:rPr>
          <w:rStyle w:val="CodeChar"/>
        </w:rPr>
        <w:t xml:space="preserve">Decimal</w:t>
      </w:r>
      <w:r>
        <w:t xml:space="preserve"> con redondeo comercial.</w:t>
      </w:r>
    </w:p>
    <w:p>
      <w:pPr>
        <w:pStyle w:val="Heading2"/>
      </w:pPr>
      <w:r>
        <w:t xml:space="preserve">3. Pruebas de caja negra</w:t>
      </w:r>
    </w:p>
    <w:p>
      <w:pPr/>
      <w:r>
        <w:t xml:space="preserve">En caja negra se prueba </w:t>
      </w:r>
      <w:r>
        <w:rPr>
          <w:b/>
        </w:rPr>
        <w:t xml:space="preserve">sin mirar el código</w:t>
      </w:r>
      <w:r>
        <w:t xml:space="preserve">: solo se usan las reglas para decidir qué datos meter y qué resultado esperar. Es como probar una calculadora sin abrirla. Se usaron tres técnicas y salieron 34 casos automatizados y 20 casos manuales.</w:t>
      </w:r>
    </w:p>
    <w:p>
      <w:pPr>
        <w:pStyle w:val="Heading3"/>
      </w:pPr>
      <w:r>
        <w:t xml:space="preserve">3.1 Particiones de equivalencia (EP)</w:t>
      </w:r>
    </w:p>
    <w:p>
      <w:pPr/>
      <w:r>
        <w:rPr>
          <w:b/>
        </w:rPr>
        <w:t xml:space="preserve">Idea:</w:t>
      </w:r>
      <w:r>
        <w:t xml:space="preserve"> si el programa trata igual a todos los valores de un grupo, basta probar uno de cada grupo. Así no hay que probar 2, 3, 4, 5… kg uno por uno.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Grupo (partición)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Rango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¿Válido?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Representante usado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Resultado esperado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Tramo 1</w:t>
            </w:r>
          </w:p>
        </w:tc>
        <w:tc>
          <w:tcPr>
            <w:tcW w:w="1872" w:type="dxa"/>
          </w:tcPr>
          <w:p>
            <w:pPr/>
            <w:r>
              <w:t xml:space="preserve">0.01 a 5.00 kg</w:t>
            </w:r>
          </w:p>
        </w:tc>
        <w:tc>
          <w:tcPr>
            <w:tcW w:w="1872" w:type="dxa"/>
          </w:tcPr>
          <w:p>
            <w:pPr/>
            <w:r>
              <w:t xml:space="preserve">Sí</w:t>
            </w:r>
          </w:p>
        </w:tc>
        <w:tc>
          <w:tcPr>
            <w:tcW w:w="1872" w:type="dxa"/>
          </w:tcPr>
          <w:p>
            <w:pPr/>
            <w:r>
              <w:t xml:space="preserve">2.50 kg</w:t>
            </w:r>
          </w:p>
        </w:tc>
        <w:tc>
          <w:tcPr>
            <w:tcW w:w="1872" w:type="dxa"/>
          </w:tcPr>
          <w:p>
            <w:pPr/>
            <w:r>
              <w:t xml:space="preserve">$10.00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Tramo 2</w:t>
            </w:r>
          </w:p>
        </w:tc>
        <w:tc>
          <w:tcPr>
            <w:tcW w:w="1872" w:type="dxa"/>
          </w:tcPr>
          <w:p>
            <w:pPr/>
            <w:r>
              <w:t xml:space="preserve">más de 5.00 hasta 20.00 kg</w:t>
            </w:r>
          </w:p>
        </w:tc>
        <w:tc>
          <w:tcPr>
            <w:tcW w:w="1872" w:type="dxa"/>
          </w:tcPr>
          <w:p>
            <w:pPr/>
            <w:r>
              <w:t xml:space="preserve">Sí</w:t>
            </w:r>
          </w:p>
        </w:tc>
        <w:tc>
          <w:tcPr>
            <w:tcW w:w="1872" w:type="dxa"/>
          </w:tcPr>
          <w:p>
            <w:pPr/>
            <w:r>
              <w:t xml:space="preserve">12.00 kg</w:t>
            </w:r>
          </w:p>
        </w:tc>
        <w:tc>
          <w:tcPr>
            <w:tcW w:w="1872" w:type="dxa"/>
          </w:tcPr>
          <w:p>
            <w:pPr/>
            <w:r>
              <w:t xml:space="preserve">$53.00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Bajo el mínimo</w:t>
            </w:r>
          </w:p>
        </w:tc>
        <w:tc>
          <w:tcPr>
            <w:tcW w:w="1872" w:type="dxa"/>
          </w:tcPr>
          <w:p>
            <w:pPr/>
            <w:r>
              <w:t xml:space="preserve">menos de 0.01 (0 o negativo)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  <w:tc>
          <w:tcPr>
            <w:tcW w:w="1872" w:type="dxa"/>
          </w:tcPr>
          <w:p>
            <w:pPr/>
            <w:r>
              <w:t xml:space="preserve">−5 kg</w:t>
            </w:r>
          </w:p>
        </w:tc>
        <w:tc>
          <w:tcPr>
            <w:tcW w:w="1872" w:type="dxa"/>
          </w:tcPr>
          <w:p>
            <w:pPr/>
            <w:r>
              <w:t xml:space="preserve">Error </w:t>
            </w:r>
            <w:r>
              <w:rPr>
                <w:rStyle w:val="CodeChar"/>
              </w:rPr>
              <w:t xml:space="preserve">PESO_INVALIDO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Sobre el límite</w:t>
            </w:r>
          </w:p>
        </w:tc>
        <w:tc>
          <w:tcPr>
            <w:tcW w:w="1872" w:type="dxa"/>
          </w:tcPr>
          <w:p>
            <w:pPr/>
            <w:r>
              <w:t xml:space="preserve">más de 20.00 kg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  <w:tc>
          <w:tcPr>
            <w:tcW w:w="1872" w:type="dxa"/>
          </w:tcPr>
          <w:p>
            <w:pPr/>
            <w:r>
              <w:t xml:space="preserve">25 kg</w:t>
            </w:r>
          </w:p>
        </w:tc>
        <w:tc>
          <w:tcPr>
            <w:tcW w:w="1872" w:type="dxa"/>
          </w:tcPr>
          <w:p>
            <w:pPr/>
            <w:r>
              <w:t xml:space="preserve">Error </w:t>
            </w:r>
            <w:r>
              <w:rPr>
                <w:rStyle w:val="CodeChar"/>
              </w:rPr>
              <w:t xml:space="preserve">LIMITE_EXCEDIDO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No numérico</w:t>
            </w:r>
          </w:p>
        </w:tc>
        <w:tc>
          <w:tcPr>
            <w:tcW w:w="1872" w:type="dxa"/>
          </w:tcPr>
          <w:p>
            <w:pPr/>
            <w:r>
              <w:t xml:space="preserve">texto, vacío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  <w:tc>
          <w:tcPr>
            <w:tcW w:w="1872" w:type="dxa"/>
          </w:tcPr>
          <w:p>
            <w:pPr/>
            <w:r>
              <w:t xml:space="preserve">"abc"</w:t>
            </w:r>
          </w:p>
        </w:tc>
        <w:tc>
          <w:tcPr>
            <w:tcW w:w="1872" w:type="dxa"/>
          </w:tcPr>
          <w:p>
            <w:pPr/>
            <w:r>
              <w:t xml:space="preserve">Error </w:t>
            </w:r>
            <w:r>
              <w:rPr>
                <w:rStyle w:val="CodeChar"/>
              </w:rPr>
              <w:t xml:space="preserve">PESO_INVALIDO</w:t>
            </w:r>
          </w:p>
        </w:tc>
      </w:tr>
    </w:tbl>
    <w:p>
      <w:pPr>
        <w:pStyle w:val="Heading3"/>
      </w:pPr>
      <w:r>
        <w:t xml:space="preserve">3.2 Análisis de valores límite (BVA)</w:t>
      </w:r>
    </w:p>
    <w:p>
      <w:pPr/>
      <w:r>
        <w:rPr>
          <w:b/>
        </w:rPr>
        <w:t xml:space="preserve">Idea:</w:t>
      </w:r>
      <w:r>
        <w:t xml:space="preserve"> los errores de programación se esconden en los bordes. Un programador puede escribir </w:t>
      </w:r>
      <w:r>
        <w:rPr>
          <w:rStyle w:val="CodeChar"/>
        </w:rPr>
        <w:t xml:space="preserve">&lt;</w:t>
      </w:r>
      <w:r>
        <w:t xml:space="preserve"> donde iba </w:t>
      </w:r>
      <w:r>
        <w:rPr>
          <w:rStyle w:val="CodeChar"/>
        </w:rPr>
        <w:t xml:space="preserve">&lt;=</w:t>
      </w:r>
      <w:r>
        <w:t xml:space="preserve">. Por eso se prueba </w:t>
      </w:r>
      <w:r>
        <w:rPr>
          <w:b/>
        </w:rPr>
        <w:t xml:space="preserve">cada borde, un paso antes y un paso después</w:t>
      </w:r>
      <w:r>
        <w:t xml:space="preserve"> (BVA de tres valores, paso de 0.01 kg).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Borde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Un paso antes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El borde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Un paso después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Mínimo 0.01 kg</w:t>
            </w:r>
          </w:p>
        </w:tc>
        <w:tc>
          <w:tcPr>
            <w:tcW w:w="2340" w:type="dxa"/>
          </w:tcPr>
          <w:p>
            <w:pPr/>
            <w:r>
              <w:t xml:space="preserve">0.00 → error</w:t>
            </w:r>
          </w:p>
        </w:tc>
        <w:tc>
          <w:tcPr>
            <w:tcW w:w="2340" w:type="dxa"/>
          </w:tcPr>
          <w:p>
            <w:pPr/>
            <w:r>
              <w:t xml:space="preserve">0.01 → $5.02</w:t>
            </w:r>
          </w:p>
        </w:tc>
        <w:tc>
          <w:tcPr>
            <w:tcW w:w="2340" w:type="dxa"/>
          </w:tcPr>
          <w:p>
            <w:pPr/>
            <w:r>
              <w:t xml:space="preserve">0.02 → $5.04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Cambio de tarifa 5.00 kg</w:t>
            </w:r>
          </w:p>
        </w:tc>
        <w:tc>
          <w:tcPr>
            <w:tcW w:w="2340" w:type="dxa"/>
          </w:tcPr>
          <w:p>
            <w:pPr/>
            <w:r>
              <w:t xml:space="preserve">4.99 → $14.98</w:t>
            </w:r>
          </w:p>
        </w:tc>
        <w:tc>
          <w:tcPr>
            <w:tcW w:w="2340" w:type="dxa"/>
          </w:tcPr>
          <w:p>
            <w:pPr/>
            <w:r>
              <w:t xml:space="preserve">5.00 → $15.00</w:t>
            </w:r>
          </w:p>
        </w:tc>
        <w:tc>
          <w:tcPr>
            <w:tcW w:w="2340" w:type="dxa"/>
          </w:tcPr>
          <w:p>
            <w:pPr/>
            <w:r>
              <w:t xml:space="preserve">5.01 → $25.04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Máximo 20.00 kg</w:t>
            </w:r>
          </w:p>
        </w:tc>
        <w:tc>
          <w:tcPr>
            <w:tcW w:w="2340" w:type="dxa"/>
          </w:tcPr>
          <w:p>
            <w:pPr/>
            <w:r>
              <w:t xml:space="preserve">19.99 → $84.96</w:t>
            </w:r>
          </w:p>
        </w:tc>
        <w:tc>
          <w:tcPr>
            <w:tcW w:w="2340" w:type="dxa"/>
          </w:tcPr>
          <w:p>
            <w:pPr/>
            <w:r>
              <w:t xml:space="preserve">20.00 → $85.00</w:t>
            </w:r>
          </w:p>
        </w:tc>
        <w:tc>
          <w:tcPr>
            <w:tcW w:w="2340" w:type="dxa"/>
          </w:tcPr>
          <w:p>
            <w:pPr/>
            <w:r>
              <w:t xml:space="preserve">20.01 → error</w:t>
            </w:r>
          </w:p>
        </w:tc>
      </w:tr>
    </w:tbl>
    <w:p>
      <w:pPr/>
      <w:r>
        <w:t xml:space="preserve">Fíjate en el salto de 5.00 a 5.01 kg: el precio sube de $15.00 a $25.04 porque cambia la tarifa por kilo. Ese salto es justo lo que el BVA busca confirmar.</w:t>
      </w:r>
    </w:p>
    <w:p>
      <w:pPr/>
      <w:r>
        <w:rPr>
          <w:b/>
        </w:rPr>
        <w:t xml:space="preserve">Monto:</w:t>
      </w:r>
      <w:r>
        <w:t xml:space="preserve"> el monto no es un dato que se escribe, es el total que sale. Por eso sus límites se buscan con las entradas que lo producen: el mínimo posible es $4.02 (0.01 kg, VIP, Estándar) y el máximo $106.25 (20 kg, Nuevo, Express). Se probaron 8 valores alrededor de esos bordes y del salto de tarifa.</w:t>
      </w:r>
    </w:p>
    <w:p>
      <w:pPr>
        <w:pStyle w:val="Heading3"/>
      </w:pPr>
      <w:r>
        <w:t xml:space="preserve">3.3 Tabla de decisión</w:t>
      </w:r>
    </w:p>
    <w:p>
      <w:pPr/>
      <w:r>
        <w:rPr>
          <w:b/>
        </w:rPr>
        <w:t xml:space="preserve">Idea:</w:t>
      </w:r>
      <w:r>
        <w:t xml:space="preserve"> cuando el resultado depende de </w:t>
      </w:r>
      <w:r>
        <w:rPr>
          <w:b/>
        </w:rPr>
        <w:t xml:space="preserve">combinar</w:t>
      </w:r>
      <w:r>
        <w:t xml:space="preserve"> condiciones, se arma una tabla con todas las combinaciones. Hay 3 tipos de cliente × 2 tipos de envío = </w:t>
      </w:r>
      <w:r>
        <w:rPr>
          <w:b/>
        </w:rPr>
        <w:t xml:space="preserve">6 reglas</w:t>
      </w:r>
      <w:r>
        <w:t xml:space="preserve">. Con 10 kg el subtotal siempre es $45.00, así solo cambia lo que se quiere observar.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Regla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Cliente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Envío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Recargo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Descuento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Total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R1</w:t>
            </w:r>
          </w:p>
        </w:tc>
        <w:tc>
          <w:tcPr>
            <w:tcW w:w="1560" w:type="dxa"/>
          </w:tcPr>
          <w:p>
            <w:pPr/>
            <w:r>
              <w:t xml:space="preserve">Nuevo</w:t>
            </w:r>
          </w:p>
        </w:tc>
        <w:tc>
          <w:tcPr>
            <w:tcW w:w="1560" w:type="dxa"/>
          </w:tcPr>
          <w:p>
            <w:pPr/>
            <w:r>
              <w:t xml:space="preserve">Estándar</w:t>
            </w:r>
          </w:p>
        </w:tc>
        <w:tc>
          <w:tcPr>
            <w:tcW w:w="1560" w:type="dxa"/>
          </w:tcPr>
          <w:p>
            <w:pPr/>
            <w:r>
              <w:t xml:space="preserve">$0.00</w:t>
            </w:r>
          </w:p>
        </w:tc>
        <w:tc>
          <w:tcPr>
            <w:tcW w:w="1560" w:type="dxa"/>
          </w:tcPr>
          <w:p>
            <w:pPr/>
            <w:r>
              <w:t xml:space="preserve">$0.00</w:t>
            </w:r>
          </w:p>
        </w:tc>
        <w:tc>
          <w:tcPr>
            <w:tcW w:w="1560" w:type="dxa"/>
          </w:tcPr>
          <w:p>
            <w:pPr/>
            <w:r>
              <w:t xml:space="preserve">$45.00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R2</w:t>
            </w:r>
          </w:p>
        </w:tc>
        <w:tc>
          <w:tcPr>
            <w:tcW w:w="1560" w:type="dxa"/>
          </w:tcPr>
          <w:p>
            <w:pPr/>
            <w:r>
              <w:t xml:space="preserve">Nuevo</w:t>
            </w:r>
          </w:p>
        </w:tc>
        <w:tc>
          <w:tcPr>
            <w:tcW w:w="1560" w:type="dxa"/>
          </w:tcPr>
          <w:p>
            <w:pPr/>
            <w:r>
              <w:t xml:space="preserve">Express</w:t>
            </w:r>
          </w:p>
        </w:tc>
        <w:tc>
          <w:tcPr>
            <w:tcW w:w="1560" w:type="dxa"/>
          </w:tcPr>
          <w:p>
            <w:pPr/>
            <w:r>
              <w:t xml:space="preserve">$11.25</w:t>
            </w:r>
          </w:p>
        </w:tc>
        <w:tc>
          <w:tcPr>
            <w:tcW w:w="1560" w:type="dxa"/>
          </w:tcPr>
          <w:p>
            <w:pPr/>
            <w:r>
              <w:t xml:space="preserve">$0.00</w:t>
            </w:r>
          </w:p>
        </w:tc>
        <w:tc>
          <w:tcPr>
            <w:tcW w:w="1560" w:type="dxa"/>
          </w:tcPr>
          <w:p>
            <w:pPr/>
            <w:r>
              <w:t xml:space="preserve">$56.25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R3</w:t>
            </w:r>
          </w:p>
        </w:tc>
        <w:tc>
          <w:tcPr>
            <w:tcW w:w="1560" w:type="dxa"/>
          </w:tcPr>
          <w:p>
            <w:pPr/>
            <w:r>
              <w:t xml:space="preserve">Frecuente</w:t>
            </w:r>
          </w:p>
        </w:tc>
        <w:tc>
          <w:tcPr>
            <w:tcW w:w="1560" w:type="dxa"/>
          </w:tcPr>
          <w:p>
            <w:pPr/>
            <w:r>
              <w:t xml:space="preserve">Estándar</w:t>
            </w:r>
          </w:p>
        </w:tc>
        <w:tc>
          <w:tcPr>
            <w:tcW w:w="1560" w:type="dxa"/>
          </w:tcPr>
          <w:p>
            <w:pPr/>
            <w:r>
              <w:t xml:space="preserve">$0.00</w:t>
            </w:r>
          </w:p>
        </w:tc>
        <w:tc>
          <w:tcPr>
            <w:tcW w:w="1560" w:type="dxa"/>
          </w:tcPr>
          <w:p>
            <w:pPr/>
            <w:r>
              <w:t xml:space="preserve">$4.50</w:t>
            </w:r>
          </w:p>
        </w:tc>
        <w:tc>
          <w:tcPr>
            <w:tcW w:w="1560" w:type="dxa"/>
          </w:tcPr>
          <w:p>
            <w:pPr/>
            <w:r>
              <w:t xml:space="preserve">$40.50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R4</w:t>
            </w:r>
          </w:p>
        </w:tc>
        <w:tc>
          <w:tcPr>
            <w:tcW w:w="1560" w:type="dxa"/>
          </w:tcPr>
          <w:p>
            <w:pPr/>
            <w:r>
              <w:t xml:space="preserve">Frecuente</w:t>
            </w:r>
          </w:p>
        </w:tc>
        <w:tc>
          <w:tcPr>
            <w:tcW w:w="1560" w:type="dxa"/>
          </w:tcPr>
          <w:p>
            <w:pPr/>
            <w:r>
              <w:t xml:space="preserve">Express</w:t>
            </w:r>
          </w:p>
        </w:tc>
        <w:tc>
          <w:tcPr>
            <w:tcW w:w="1560" w:type="dxa"/>
          </w:tcPr>
          <w:p>
            <w:pPr/>
            <w:r>
              <w:t xml:space="preserve">$11.25</w:t>
            </w:r>
          </w:p>
        </w:tc>
        <w:tc>
          <w:tcPr>
            <w:tcW w:w="1560" w:type="dxa"/>
          </w:tcPr>
          <w:p>
            <w:pPr/>
            <w:r>
              <w:t xml:space="preserve">$5.63</w:t>
            </w:r>
          </w:p>
        </w:tc>
        <w:tc>
          <w:tcPr>
            <w:tcW w:w="1560" w:type="dxa"/>
          </w:tcPr>
          <w:p>
            <w:pPr/>
            <w:r>
              <w:t xml:space="preserve">$50.62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R5</w:t>
            </w:r>
          </w:p>
        </w:tc>
        <w:tc>
          <w:tcPr>
            <w:tcW w:w="1560" w:type="dxa"/>
          </w:tcPr>
          <w:p>
            <w:pPr/>
            <w:r>
              <w:t xml:space="preserve">VIP</w:t>
            </w:r>
          </w:p>
        </w:tc>
        <w:tc>
          <w:tcPr>
            <w:tcW w:w="1560" w:type="dxa"/>
          </w:tcPr>
          <w:p>
            <w:pPr/>
            <w:r>
              <w:t xml:space="preserve">Estándar</w:t>
            </w:r>
          </w:p>
        </w:tc>
        <w:tc>
          <w:tcPr>
            <w:tcW w:w="1560" w:type="dxa"/>
          </w:tcPr>
          <w:p>
            <w:pPr/>
            <w:r>
              <w:t xml:space="preserve">$0.00</w:t>
            </w:r>
          </w:p>
        </w:tc>
        <w:tc>
          <w:tcPr>
            <w:tcW w:w="1560" w:type="dxa"/>
          </w:tcPr>
          <w:p>
            <w:pPr/>
            <w:r>
              <w:t xml:space="preserve">$9.00</w:t>
            </w:r>
          </w:p>
        </w:tc>
        <w:tc>
          <w:tcPr>
            <w:tcW w:w="1560" w:type="dxa"/>
          </w:tcPr>
          <w:p>
            <w:pPr/>
            <w:r>
              <w:t xml:space="preserve">$36.00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R6</w:t>
            </w:r>
          </w:p>
        </w:tc>
        <w:tc>
          <w:tcPr>
            <w:tcW w:w="1560" w:type="dxa"/>
          </w:tcPr>
          <w:p>
            <w:pPr/>
            <w:r>
              <w:t xml:space="preserve">VIP</w:t>
            </w:r>
          </w:p>
        </w:tc>
        <w:tc>
          <w:tcPr>
            <w:tcW w:w="1560" w:type="dxa"/>
          </w:tcPr>
          <w:p>
            <w:pPr/>
            <w:r>
              <w:t xml:space="preserve">Express</w:t>
            </w:r>
          </w:p>
        </w:tc>
        <w:tc>
          <w:tcPr>
            <w:tcW w:w="1560" w:type="dxa"/>
          </w:tcPr>
          <w:p>
            <w:pPr/>
            <w:r>
              <w:t xml:space="preserve">$11.25</w:t>
            </w:r>
          </w:p>
        </w:tc>
        <w:tc>
          <w:tcPr>
            <w:tcW w:w="1560" w:type="dxa"/>
          </w:tcPr>
          <w:p>
            <w:pPr/>
            <w:r>
              <w:t xml:space="preserve">$11.25</w:t>
            </w:r>
          </w:p>
        </w:tc>
        <w:tc>
          <w:tcPr>
            <w:tcW w:w="1560" w:type="dxa"/>
          </w:tcPr>
          <w:p>
            <w:pPr/>
            <w:r>
              <w:t xml:space="preserve">$45.00</w:t>
            </w:r>
          </w:p>
        </w:tc>
      </w:tr>
    </w:tbl>
    <w:p>
      <w:pPr>
        <w:pStyle w:val="Heading3"/>
      </w:pPr>
      <w:r>
        <w:t xml:space="preserve">3.4 Ejecución manual en la página</w:t>
      </w:r>
    </w:p>
    <w:p>
      <w:pPr/>
      <w:r>
        <w:t xml:space="preserve">Además de automatizarlos, el equipo probó 20 casos a mano en la página (CN-01 a CN-20) y guardó una captura de cada uno. </w:t>
      </w:r>
      <w:r>
        <w:rPr>
          <w:b/>
        </w:rPr>
        <w:t xml:space="preserve">Los 20 pasaron.</w:t>
      </w:r>
      <w:r>
        <w:t xml:space="preserve"> Esta ronda manual encontró el defecto DEF-03, que se explica en la sección 5.</w:t>
      </w:r>
    </w:p>
    <w:p>
      <w:pPr>
        <w:pStyle w:val="Heading2"/>
      </w:pPr>
      <w:r>
        <w:t xml:space="preserve">4. Pruebas de caja blanca y cobertura</w:t>
      </w:r>
    </w:p>
    <w:p>
      <w:pPr/>
      <w:r>
        <w:t xml:space="preserve">En caja blanca sí se mira el código: el objetivo es </w:t>
      </w:r>
      <w:r>
        <w:rPr>
          <w:b/>
        </w:rPr>
        <w:t xml:space="preserve">recorrer todos los caminos posibles</w:t>
      </w:r>
      <w:r>
        <w:t xml:space="preserve"> de la función </w:t>
      </w:r>
      <w:r>
        <w:rPr>
          <w:rStyle w:val="CodeChar"/>
        </w:rPr>
        <w:t xml:space="preserve">calcular_cotizacion()</w:t>
      </w:r>
      <w:r>
        <w:t xml:space="preserve">. El resultado clave es </w:t>
      </w:r>
      <w:r>
        <w:rPr>
          <w:b/>
        </w:rPr>
        <w:t xml:space="preserve">V(G) = 9</w:t>
      </w:r>
      <w:r>
        <w:t xml:space="preserve">: hacen falta 9 casos para cubrir todos los caminos independientes, y los 9 están probados.</w:t>
      </w:r>
    </w:p>
    <w:p>
      <w:pPr>
        <w:pStyle w:val="Heading3"/>
      </w:pPr>
      <w:r>
        <w:t xml:space="preserve">4.1 El grafo de flujo de control (CFG)</w:t>
      </w:r>
    </w:p>
    <w:p>
      <w:pPr/>
      <w:r>
        <w:t xml:space="preserve">El grafo es un dibujo del código. Cada </w:t>
      </w:r>
      <w:r>
        <w:rPr>
          <w:b/>
        </w:rPr>
        <w:t xml:space="preserve">nodo</w:t>
      </w:r>
      <w:r>
        <w:t xml:space="preserve"> (círculo) es una instrucción o una pregunta, y cada </w:t>
      </w:r>
      <w:r>
        <w:rPr>
          <w:b/>
        </w:rPr>
        <w:t xml:space="preserve">arista</w:t>
      </w:r>
      <w:r>
        <w:t xml:space="preserve"> (flecha) es un paso posible de una a otra. Las preguntas del código (cada </w:t>
      </w:r>
      <w:r>
        <w:rPr>
          <w:rStyle w:val="CodeChar"/>
        </w:rPr>
        <w:t xml:space="preserve">if</w:t>
      </w:r>
      <w:r>
        <w:t xml:space="preserve"> o </w:t>
      </w:r>
      <w:r>
        <w:rPr>
          <w:rStyle w:val="CodeChar"/>
        </w:rPr>
        <w:t xml:space="preserve">elif</w:t>
      </w:r>
      <w:r>
        <w:t xml:space="preserve">) son </w:t>
      </w:r>
      <w:r>
        <w:rPr>
          <w:b/>
        </w:rPr>
        <w:t xml:space="preserve">nodos predicado</w:t>
      </w:r>
      <w:r>
        <w:t xml:space="preserve">: de ellos salen dos flechas, una por "sí" y otra por "no".</w:t>
      </w:r>
    </w:p>
    <w:p>
      <w:pPr/>
      <w:r>
        <w:drawing>
          <wp:inline distT="0" distB="0" distL="0" distR="0">
            <wp:extent cx="5486400" cy="5535385"/>
            <wp:docPr id="2" name="image2" descr="Grafo de flujo de control de calcular_cotizacion(): 22 nodos, 29 aristas, V(G) =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Grafo de flujo de control de calcular_cotizacion(): 22 nodos, 29 aristas, V(G) =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La función hace 8 preguntas en orden:</w:t>
      </w:r>
    </w:p>
    <w:p>
      <w:pPr>
        <w:pStyle w:val="ListParagraph"/>
        <w:numPr>
          <w:ilvl w:val="0"/>
          <w:numId w:val="5"/>
        </w:numPr>
      </w:pPr>
      <w:r>
        <w:t xml:space="preserve">¿Peso menor que 0.01? ¿Peso hasta 5? ¿Peso hasta 20? (3 preguntas sobre el peso)</w:t>
      </w:r>
    </w:p>
    <w:p>
      <w:pPr>
        <w:pStyle w:val="ListParagraph"/>
        <w:numPr>
          <w:ilvl w:val="0"/>
          <w:numId w:val="5"/>
        </w:numPr>
      </w:pPr>
      <w:r>
        <w:t xml:space="preserve">¿Es Nuevo? ¿Es Frecuente? ¿Es VIP? (3 sobre el cliente)</w:t>
      </w:r>
    </w:p>
    <w:p>
      <w:pPr>
        <w:pStyle w:val="ListParagraph"/>
        <w:numPr>
          <w:ilvl w:val="0"/>
          <w:numId w:val="5"/>
        </w:numPr>
      </w:pPr>
      <w:r>
        <w:t xml:space="preserve">¿Es Estándar? ¿Es Express? (2 sobre el envío)</w:t>
      </w:r>
    </w:p>
    <w:p>
      <w:pPr>
        <w:pStyle w:val="Heading3"/>
      </w:pPr>
      <w:r>
        <w:t xml:space="preserve">4.2 La complejidad ciclomática V(G)</w:t>
      </w:r>
    </w:p>
    <w:p>
      <w:pPr/>
      <w:r>
        <w:t xml:space="preserve">V(G) dice </w:t>
      </w:r>
      <w:r>
        <w:rPr>
          <w:b/>
        </w:rPr>
        <w:t xml:space="preserve">cuántos caminos independientes</w:t>
      </w:r>
      <w:r>
        <w:t xml:space="preserve"> tiene el código, o sea, el número mínimo de pruebas para pasar al menos una vez por cada flecha. Se calcula de tres formas y las tres deben coincidir: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Método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Fórmula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Cálculo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Resultado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Aristas y nodos</w:t>
            </w:r>
          </w:p>
        </w:tc>
        <w:tc>
          <w:tcPr>
            <w:tcW w:w="2340" w:type="dxa"/>
          </w:tcPr>
          <w:p>
            <w:pPr/>
            <w:r>
              <w:t xml:space="preserve">E − N + 2</w:t>
            </w:r>
          </w:p>
        </w:tc>
        <w:tc>
          <w:tcPr>
            <w:tcW w:w="2340" w:type="dxa"/>
          </w:tcPr>
          <w:p>
            <w:pPr/>
            <w:r>
              <w:t xml:space="preserve">29 − 22 + 2</w:t>
            </w:r>
          </w:p>
        </w:tc>
        <w:tc>
          <w:tcPr>
            <w:tcW w:w="2340" w:type="dxa"/>
          </w:tcPr>
          <w:p>
            <w:pPr/>
            <w:r>
              <w:t xml:space="preserve">9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Nodos predicado</w:t>
            </w:r>
          </w:p>
        </w:tc>
        <w:tc>
          <w:tcPr>
            <w:tcW w:w="2340" w:type="dxa"/>
          </w:tcPr>
          <w:p>
            <w:pPr/>
            <w:r>
              <w:t xml:space="preserve">P + 1</w:t>
            </w:r>
          </w:p>
        </w:tc>
        <w:tc>
          <w:tcPr>
            <w:tcW w:w="2340" w:type="dxa"/>
          </w:tcPr>
          <w:p>
            <w:pPr/>
            <w:r>
              <w:t xml:space="preserve">8 + 1</w:t>
            </w:r>
          </w:p>
        </w:tc>
        <w:tc>
          <w:tcPr>
            <w:tcW w:w="2340" w:type="dxa"/>
          </w:tcPr>
          <w:p>
            <w:pPr/>
            <w:r>
              <w:t xml:space="preserve">9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Regiones</w:t>
            </w:r>
          </w:p>
        </w:tc>
        <w:tc>
          <w:tcPr>
            <w:tcW w:w="2340" w:type="dxa"/>
          </w:tcPr>
          <w:p>
            <w:pPr/>
            <w:r>
              <w:t xml:space="preserve">regiones cerradas + 1</w:t>
            </w:r>
          </w:p>
        </w:tc>
        <w:tc>
          <w:tcPr>
            <w:tcW w:w="2340" w:type="dxa"/>
          </w:tcPr>
          <w:p>
            <w:pPr/>
            <w:r>
              <w:t xml:space="preserve">8 + 1</w:t>
            </w:r>
          </w:p>
        </w:tc>
        <w:tc>
          <w:tcPr>
            <w:tcW w:w="2340" w:type="dxa"/>
          </w:tcPr>
          <w:p>
            <w:pPr/>
            <w:r>
              <w:t xml:space="preserve">9</w:t>
            </w:r>
          </w:p>
        </w:tc>
      </w:tr>
    </w:tbl>
    <w:p>
      <w:pPr/>
      <w:r>
        <w:t xml:space="preserve">Un V(G) entre 1 y 10 se considera de </w:t>
      </w:r>
      <w:r>
        <w:rPr>
          <w:b/>
        </w:rPr>
        <w:t xml:space="preserve">riesgo bajo</w:t>
      </w:r>
      <w:r>
        <w:t xml:space="preserve">: el código es simple y fácil de probar.</w:t>
      </w:r>
    </w:p>
    <w:p>
      <w:pPr>
        <w:pStyle w:val="Heading3"/>
      </w:pPr>
      <w:r>
        <w:t xml:space="preserve">4.3 Los 9 caminos y sus pruebas</w:t>
      </w:r>
    </w:p>
    <w:p>
      <w:pPr/>
      <w:r>
        <w:t xml:space="preserve">Cada camino agrega al menos una flecha nueva. La prueba </w:t>
      </w:r>
      <w:r>
        <w:rPr>
          <w:rStyle w:val="CodeChar"/>
        </w:rPr>
        <w:t xml:space="preserve">test_caminos_independientes_cfg</w:t>
      </w:r>
      <w:r>
        <w:t xml:space="preserve"> los recorre todos.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Camino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Qué recorre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Datos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Resultado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C1</w:t>
            </w:r>
          </w:p>
        </w:tc>
        <w:tc>
          <w:tcPr>
            <w:tcW w:w="2340" w:type="dxa"/>
          </w:tcPr>
          <w:p>
            <w:pPr/>
            <w:r>
              <w:t xml:space="preserve">Peso inválido</w:t>
            </w:r>
          </w:p>
        </w:tc>
        <w:tc>
          <w:tcPr>
            <w:tcW w:w="2340" w:type="dxa"/>
          </w:tcPr>
          <w:p>
            <w:pPr/>
            <w:r>
              <w:t xml:space="preserve">0 kg, Nuevo, Estándar</w:t>
            </w:r>
          </w:p>
        </w:tc>
        <w:tc>
          <w:tcPr>
            <w:tcW w:w="2340" w:type="dxa"/>
          </w:tcPr>
          <w:p>
            <w:pPr/>
            <w:r>
              <w:t xml:space="preserve">Error de peso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C2</w:t>
            </w:r>
          </w:p>
        </w:tc>
        <w:tc>
          <w:tcPr>
            <w:tcW w:w="2340" w:type="dxa"/>
          </w:tcPr>
          <w:p>
            <w:pPr/>
            <w:r>
              <w:t xml:space="preserve">Peso sobre el límite</w:t>
            </w:r>
          </w:p>
        </w:tc>
        <w:tc>
          <w:tcPr>
            <w:tcW w:w="2340" w:type="dxa"/>
          </w:tcPr>
          <w:p>
            <w:pPr/>
            <w:r>
              <w:t xml:space="preserve">25 kg, Nuevo, Estándar</w:t>
            </w:r>
          </w:p>
        </w:tc>
        <w:tc>
          <w:tcPr>
            <w:tcW w:w="2340" w:type="dxa"/>
          </w:tcPr>
          <w:p>
            <w:pPr/>
            <w:r>
              <w:t xml:space="preserve">Error de límite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C3</w:t>
            </w:r>
          </w:p>
        </w:tc>
        <w:tc>
          <w:tcPr>
            <w:tcW w:w="2340" w:type="dxa"/>
          </w:tcPr>
          <w:p>
            <w:pPr/>
            <w:r>
              <w:t xml:space="preserve">Tramo 1, Nuevo, Estándar</w:t>
            </w:r>
          </w:p>
        </w:tc>
        <w:tc>
          <w:tcPr>
            <w:tcW w:w="2340" w:type="dxa"/>
          </w:tcPr>
          <w:p>
            <w:pPr/>
            <w:r>
              <w:t xml:space="preserve">2.5 kg</w:t>
            </w:r>
          </w:p>
        </w:tc>
        <w:tc>
          <w:tcPr>
            <w:tcW w:w="2340" w:type="dxa"/>
          </w:tcPr>
          <w:p>
            <w:pPr/>
            <w:r>
              <w:t xml:space="preserve">$10.00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C4</w:t>
            </w:r>
          </w:p>
        </w:tc>
        <w:tc>
          <w:tcPr>
            <w:tcW w:w="2340" w:type="dxa"/>
          </w:tcPr>
          <w:p>
            <w:pPr/>
            <w:r>
              <w:t xml:space="preserve">Tramo 2, Nuevo, Estándar</w:t>
            </w:r>
          </w:p>
        </w:tc>
        <w:tc>
          <w:tcPr>
            <w:tcW w:w="2340" w:type="dxa"/>
          </w:tcPr>
          <w:p>
            <w:pPr/>
            <w:r>
              <w:t xml:space="preserve">12 kg</w:t>
            </w:r>
          </w:p>
        </w:tc>
        <w:tc>
          <w:tcPr>
            <w:tcW w:w="2340" w:type="dxa"/>
          </w:tcPr>
          <w:p>
            <w:pPr/>
            <w:r>
              <w:t xml:space="preserve">$53.00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C5</w:t>
            </w:r>
          </w:p>
        </w:tc>
        <w:tc>
          <w:tcPr>
            <w:tcW w:w="2340" w:type="dxa"/>
          </w:tcPr>
          <w:p>
            <w:pPr/>
            <w:r>
              <w:t xml:space="preserve">Cliente Frecuente</w:t>
            </w:r>
          </w:p>
        </w:tc>
        <w:tc>
          <w:tcPr>
            <w:tcW w:w="2340" w:type="dxa"/>
          </w:tcPr>
          <w:p>
            <w:pPr/>
            <w:r>
              <w:t xml:space="preserve">1 kg, Estándar</w:t>
            </w:r>
          </w:p>
        </w:tc>
        <w:tc>
          <w:tcPr>
            <w:tcW w:w="2340" w:type="dxa"/>
          </w:tcPr>
          <w:p>
            <w:pPr/>
            <w:r>
              <w:t xml:space="preserve">$6.30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C6</w:t>
            </w:r>
          </w:p>
        </w:tc>
        <w:tc>
          <w:tcPr>
            <w:tcW w:w="2340" w:type="dxa"/>
          </w:tcPr>
          <w:p>
            <w:pPr/>
            <w:r>
              <w:t xml:space="preserve">Cliente VIP</w:t>
            </w:r>
          </w:p>
        </w:tc>
        <w:tc>
          <w:tcPr>
            <w:tcW w:w="2340" w:type="dxa"/>
          </w:tcPr>
          <w:p>
            <w:pPr/>
            <w:r>
              <w:t xml:space="preserve">1 kg, Estándar</w:t>
            </w:r>
          </w:p>
        </w:tc>
        <w:tc>
          <w:tcPr>
            <w:tcW w:w="2340" w:type="dxa"/>
          </w:tcPr>
          <w:p>
            <w:pPr/>
            <w:r>
              <w:t xml:space="preserve">$5.60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C7</w:t>
            </w:r>
          </w:p>
        </w:tc>
        <w:tc>
          <w:tcPr>
            <w:tcW w:w="2340" w:type="dxa"/>
          </w:tcPr>
          <w:p>
            <w:pPr/>
            <w:r>
              <w:t xml:space="preserve">Cliente desconocido</w:t>
            </w:r>
          </w:p>
        </w:tc>
        <w:tc>
          <w:tcPr>
            <w:tcW w:w="2340" w:type="dxa"/>
          </w:tcPr>
          <w:p>
            <w:pPr/>
            <w:r>
              <w:t xml:space="preserve">1 kg, PREMIUM</w:t>
            </w:r>
          </w:p>
        </w:tc>
        <w:tc>
          <w:tcPr>
            <w:tcW w:w="2340" w:type="dxa"/>
          </w:tcPr>
          <w:p>
            <w:pPr/>
            <w:r>
              <w:t xml:space="preserve">Error de cliente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C8</w:t>
            </w:r>
          </w:p>
        </w:tc>
        <w:tc>
          <w:tcPr>
            <w:tcW w:w="2340" w:type="dxa"/>
          </w:tcPr>
          <w:p>
            <w:pPr/>
            <w:r>
              <w:t xml:space="preserve">Envío Express</w:t>
            </w:r>
          </w:p>
        </w:tc>
        <w:tc>
          <w:tcPr>
            <w:tcW w:w="2340" w:type="dxa"/>
          </w:tcPr>
          <w:p>
            <w:pPr/>
            <w:r>
              <w:t xml:space="preserve">1 kg, Nuevo</w:t>
            </w:r>
          </w:p>
        </w:tc>
        <w:tc>
          <w:tcPr>
            <w:tcW w:w="2340" w:type="dxa"/>
          </w:tcPr>
          <w:p>
            <w:pPr/>
            <w:r>
              <w:t xml:space="preserve">$8.75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C9</w:t>
            </w:r>
          </w:p>
        </w:tc>
        <w:tc>
          <w:tcPr>
            <w:tcW w:w="2340" w:type="dxa"/>
          </w:tcPr>
          <w:p>
            <w:pPr/>
            <w:r>
              <w:t xml:space="preserve">Envío desconocido</w:t>
            </w:r>
          </w:p>
        </w:tc>
        <w:tc>
          <w:tcPr>
            <w:tcW w:w="2340" w:type="dxa"/>
          </w:tcPr>
          <w:p>
            <w:pPr/>
            <w:r>
              <w:t xml:space="preserve">1 kg, URGENTE</w:t>
            </w:r>
          </w:p>
        </w:tc>
        <w:tc>
          <w:tcPr>
            <w:tcW w:w="2340" w:type="dxa"/>
          </w:tcPr>
          <w:p>
            <w:pPr/>
            <w:r>
              <w:t xml:space="preserve">Error de envío</w:t>
            </w:r>
          </w:p>
        </w:tc>
      </w:tr>
    </w:tbl>
    <w:p>
      <w:pPr>
        <w:pStyle w:val="Heading3"/>
      </w:pPr>
      <w:r>
        <w:t xml:space="preserve">4.4 Cobertura de código</w:t>
      </w:r>
    </w:p>
    <w:p>
      <w:pPr/>
      <w:r>
        <w:t xml:space="preserve">La cobertura mide </w:t>
      </w:r>
      <w:r>
        <w:rPr>
          <w:b/>
        </w:rPr>
        <w:t xml:space="preserve">qué porcentaje del código se ejecutó</w:t>
      </w:r>
      <w:r>
        <w:t xml:space="preserve"> durante las pruebas. La herramienta es pytest-cov y mide dos cosas: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Líneas:</w:t>
      </w:r>
      <w:r>
        <w:t xml:space="preserve"> ¿se ejecutó cada línea al menos una vez? Resultado: 150 de 150.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Ramas:</w:t>
      </w:r>
      <w:r>
        <w:t xml:space="preserve"> ¿cada </w:t>
      </w:r>
      <w:r>
        <w:rPr>
          <w:rStyle w:val="CodeChar"/>
        </w:rPr>
        <w:t xml:space="preserve">if</w:t>
      </w:r>
      <w:r>
        <w:t xml:space="preserve"> se probó por el "sí" y por el "no"? Resultado: 26 de 26.</w:t>
      </w:r>
    </w:p>
    <w:p>
      <w:pPr/>
      <w:r>
        <w:t xml:space="preserve">El proyecto pedía un mínimo de 85 % y se logró </w:t>
      </w:r>
      <w:r>
        <w:rPr>
          <w:b/>
        </w:rPr>
        <w:t xml:space="preserve">100 %</w:t>
      </w:r>
      <w:r>
        <w:t xml:space="preserve">. Ese mínimo está escrito en </w:t>
      </w:r>
      <w:r>
        <w:rPr>
          <w:rStyle w:val="CodeChar"/>
        </w:rPr>
        <w:t xml:space="preserve">pytest.ini</w:t>
      </w:r>
      <w:r>
        <w:t xml:space="preserve"> (</w:t>
      </w:r>
      <w:r>
        <w:rPr>
          <w:rStyle w:val="CodeChar"/>
        </w:rPr>
        <w:t xml:space="preserve">--cov-fail-under=85</w:t>
      </w:r>
      <w:r>
        <w:t xml:space="preserve">), así que si alguien quita pruebas y la cobertura baja, pytest marca la ejecución como fallida.</w:t>
      </w:r>
    </w:p>
    <w:p>
      <w:pPr/>
      <w:r>
        <w:rPr>
          <w:b/>
        </w:rPr>
        <w:t xml:space="preserve">Ojo, limitación importante:</w:t>
      </w:r>
      <w:r>
        <w:t xml:space="preserve"> 100 % de cobertura significa que todo el código se ejecutó, no que todo esté bien. Por eso cada prueba también verifica el monto exacto esperado. Y por eso la prueba manual encontró DEF-03 aun con 100 % de cobertura: ese error estaba en la página, que la cobertura de Python no mide.</w:t>
      </w:r>
    </w:p>
    <w:p>
      <w:pPr>
        <w:pStyle w:val="Heading2"/>
      </w:pPr>
      <w:r>
        <w:t xml:space="preserve">5. Defectos encontrados y por qué importan</w:t>
      </w:r>
    </w:p>
    <w:p>
      <w:pPr/>
      <w:r>
        <w:t xml:space="preserve">Las pruebas encontraron </w:t>
      </w:r>
      <w:r>
        <w:rPr>
          <w:b/>
        </w:rPr>
        <w:t xml:space="preserve">3 defectos</w:t>
      </w:r>
      <w:r>
        <w:t xml:space="preserve"> y los tres están corregidos. Cada uno lo encontró un tipo de prueba distinto, y esa es la lección principal del proyecto: ningún tipo de prueba alcanza por sí solo.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Defecto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Qué pasaba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Quién lo encontró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Cómo se corrigió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DEF-01 (severidad media)</w:t>
            </w:r>
          </w:p>
        </w:tc>
        <w:tc>
          <w:tcPr>
            <w:tcW w:w="2340" w:type="dxa"/>
          </w:tcPr>
          <w:p>
            <w:pPr/>
            <w:r>
              <w:t xml:space="preserve">Si se le pasaba el tipo VIP como objeto </w:t>
            </w:r>
            <w:r>
              <w:rPr>
                <w:rStyle w:val="CodeChar"/>
              </w:rPr>
              <w:t xml:space="preserve">Enum</w:t>
            </w:r>
            <w:r>
              <w:t xml:space="preserve">, el cálculo lo rechazaba. Desde Python 3.11, </w:t>
            </w:r>
            <w:r>
              <w:rPr>
                <w:rStyle w:val="CodeChar"/>
              </w:rPr>
              <w:t xml:space="preserve">str()</w:t>
            </w:r>
            <w:r>
              <w:t xml:space="preserve"> de un Enum devuelve "TipoCliente.VIP" y no "VIP"</w:t>
            </w:r>
          </w:p>
        </w:tc>
        <w:tc>
          <w:tcPr>
            <w:tcW w:w="2340" w:type="dxa"/>
          </w:tcPr>
          <w:p>
            <w:pPr/>
            <w:r>
              <w:t xml:space="preserve">Una prueba unitaria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normalizar_texto()</w:t>
            </w:r>
            <w:r>
              <w:t xml:space="preserve"> ahora usa </w:t>
            </w:r>
            <w:r>
              <w:rPr>
                <w:rStyle w:val="CodeChar"/>
              </w:rPr>
              <w:t xml:space="preserve">.value</w:t>
            </w:r>
            <w:r>
              <w:t xml:space="preserve"> del Enum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DEF-02 (severidad alta)</w:t>
            </w:r>
          </w:p>
        </w:tc>
        <w:tc>
          <w:tcPr>
            <w:tcW w:w="2340" w:type="dxa"/>
          </w:tcPr>
          <w:p>
            <w:pPr/>
            <w:r>
              <w:t xml:space="preserve">Abriendo la página con Live Server (puerto 5500), la página no podía hablar con la API (puerto 5000)</w:t>
            </w:r>
          </w:p>
        </w:tc>
        <w:tc>
          <w:tcPr>
            <w:tcW w:w="2340" w:type="dxa"/>
          </w:tcPr>
          <w:p>
            <w:pPr/>
            <w:r>
              <w:t xml:space="preserve">Prueba de integración manual</w:t>
            </w:r>
          </w:p>
        </w:tc>
        <w:tc>
          <w:tcPr>
            <w:tcW w:w="2340" w:type="dxa"/>
          </w:tcPr>
          <w:p>
            <w:pPr/>
            <w:r>
              <w:t xml:space="preserve">La página usa la dirección completa del servidor y la API envía permisos CORS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DEF-03 (severidad media)</w:t>
            </w:r>
          </w:p>
        </w:tc>
        <w:tc>
          <w:tcPr>
            <w:tcW w:w="2340" w:type="dxa"/>
          </w:tcPr>
          <w:p>
            <w:pPr/>
            <w:r>
              <w:t xml:space="preserve">Al escribir un dato inválido después de una cotización buena, salía el mensaje de error pero seguía visible el precio anterior. El usuario podía creer que ese precio era el nuevo</w:t>
            </w:r>
          </w:p>
        </w:tc>
        <w:tc>
          <w:tcPr>
            <w:tcW w:w="2340" w:type="dxa"/>
          </w:tcPr>
          <w:p>
            <w:pPr/>
            <w:r>
              <w:t xml:space="preserve">Prueba manual de caja negra (CN-10, CN-19 y CN-20)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app.js</w:t>
            </w:r>
            <w:r>
              <w:t xml:space="preserve"> oculta la cotización anterior cada vez que se pulsa Cotizar</w:t>
            </w:r>
          </w:p>
        </w:tc>
      </w:tr>
    </w:tbl>
    <w:p>
      <w:pPr/>
      <w:r>
        <w:rPr>
          <w:b/>
        </w:rPr>
        <w:t xml:space="preserve">Por qué importan: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DEF-01</w:t>
      </w:r>
      <w:r>
        <w:t xml:space="preserve"> muestra que el código puede romperse al cambiar de versión de Python; las pruebas unitarias lo detectan al instante.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DEF-02</w:t>
      </w:r>
      <w:r>
        <w:t xml:space="preserve"> muestra que dos partes pueden funcionar bien solas y fallar juntas; para eso están las pruebas de integración. </w:t>
      </w:r>
      <w:r>
        <w:rPr>
          <w:b/>
        </w:rPr>
        <w:t xml:space="preserve">CORS</w:t>
      </w:r>
      <w:r>
        <w:t xml:space="preserve"> es una protección del navegador que bloquea llamadas entre puertos distintos si el servidor no las autoriza.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DEF-03</w:t>
      </w:r>
      <w:r>
        <w:t xml:space="preserve"> tuvo 100 % de cobertura y aun así existía, porque era un problema de lo que ve el usuario. Solo una persona probando la página lo vio.</w:t>
      </w:r>
    </w:p>
    <w:p>
      <w:pPr/>
      <w:r>
        <w:t xml:space="preserve">Cada corrección tiene una </w:t>
      </w:r>
      <w:r>
        <w:rPr>
          <w:b/>
        </w:rPr>
        <w:t xml:space="preserve">prueba de regresión</w:t>
      </w:r>
      <w:r>
        <w:t xml:space="preserve">: una prueba automática que falla si el defecto vuelve a aparecer. Por ejemplo, </w:t>
      </w:r>
      <w:r>
        <w:rPr>
          <w:rStyle w:val="CodeChar"/>
        </w:rPr>
        <w:t xml:space="preserve">test_error_de_validacion_oculta_la_cotizacion_anterior</w:t>
      </w:r>
      <w:r>
        <w:t xml:space="preserve"> abre un navegador real, cotiza 20 kg, escribe 20.01 y comprueba que el precio anterior ya no se ve.</w:t>
      </w:r>
    </w:p>
    <w:p>
      <w:pPr>
        <w:pStyle w:val="Heading2"/>
      </w:pPr>
      <w:r>
        <w:t xml:space="preserve">6. Cómo ejecutar todo</w:t>
      </w:r>
    </w:p>
    <w:p>
      <w:pPr/>
      <w:r>
        <w:t xml:space="preserve">Con Python instalado, todo se hace en cuatro pasos desde la carpeta del proyecto (la que tiene </w:t>
      </w:r>
      <w:r>
        <w:rPr>
          <w:rStyle w:val="CodeChar"/>
        </w:rPr>
        <w:t xml:space="preserve">requirements.txt</w:t>
      </w:r>
      <w:r>
        <w:t xml:space="preserve">). Los comandos son para Windows; en Mac o Linux, el paso 1 usa </w:t>
      </w:r>
      <w:r>
        <w:rPr>
          <w:rStyle w:val="CodeChar"/>
        </w:rPr>
        <w:t xml:space="preserve">source .venv/bin/activate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Crear y activar el entorno virtual</w:t>
      </w:r>
      <w:r>
        <w:t xml:space="preserve"> (una caja aislada para las librerías del proyecto):</w:t>
      </w:r>
    </w:p>
    <w:p>
      <w:pPr>
        <w:pStyle w:val="Code"/>
      </w:pPr>
      <w:bookmarkStart w:id="1" w:name="bongo_lang_bash_1"/>
      <w:bookmarkEnd w:id="1"/>
      <w:r>
        <w:t xml:space="preserve">python -m venv .venv</w:t>
        <w:br/>
        <w:t xml:space="preserve">.venv\Scripts\activate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Instalar las librerías</w:t>
      </w:r>
      <w:r>
        <w:t xml:space="preserve"> (Flask, pytest y pytest-cov):</w:t>
      </w:r>
    </w:p>
    <w:p>
      <w:pPr>
        <w:pStyle w:val="Code"/>
      </w:pPr>
      <w:bookmarkStart w:id="2" w:name="bongo_lang_bash_2"/>
      <w:bookmarkEnd w:id="2"/>
      <w:r>
        <w:t xml:space="preserve">pip install -r requirements.txt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Correr las pruebas.</w:t>
      </w:r>
      <w:r>
        <w:t xml:space="preserve"> Debe decir </w:t>
      </w:r>
      <w:r>
        <w:rPr>
          <w:rStyle w:val="CodeChar"/>
        </w:rPr>
        <w:t xml:space="preserve">82 passed</w:t>
      </w:r>
      <w:r>
        <w:t xml:space="preserve"> (o </w:t>
      </w:r>
      <w:r>
        <w:rPr>
          <w:rStyle w:val="CodeChar"/>
        </w:rPr>
        <w:t xml:space="preserve">80 passed, 1 skipped</w:t>
      </w:r>
      <w:r>
        <w:t xml:space="preserve"> si no instalaste Playwright, porque el archivo con las 2 pruebas de navegador se salta entero) y </w:t>
      </w:r>
      <w:r>
        <w:rPr>
          <w:rStyle w:val="CodeChar"/>
        </w:rPr>
        <w:t xml:space="preserve">Total coverage: 100.00%</w:t>
      </w:r>
      <w:r>
        <w:t xml:space="preserve">:</w:t>
      </w:r>
    </w:p>
    <w:p>
      <w:pPr>
        <w:pStyle w:val="Code"/>
      </w:pPr>
      <w:bookmarkStart w:id="3" w:name="bongo_lang_bash_3"/>
      <w:bookmarkEnd w:id="3"/>
      <w:r>
        <w:t xml:space="preserve">pytest</w:t>
      </w:r>
    </w:p>
    <w:p>
      <w:pPr/>
      <w:r>
        <w:t xml:space="preserve">El reporte de cobertura queda en </w:t>
      </w:r>
      <w:r>
        <w:rPr>
          <w:rStyle w:val="CodeChar"/>
        </w:rPr>
        <w:t xml:space="preserve">reportes/cobertura/index.html</w:t>
      </w:r>
      <w:r>
        <w:t xml:space="preserve">; ábrelo con el navegador.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Levantar la aplicación</w:t>
      </w:r>
      <w:r>
        <w:t xml:space="preserve"> y abrir http://127.0.0.1:5000:</w:t>
      </w:r>
    </w:p>
    <w:p>
      <w:pPr>
        <w:pStyle w:val="Code"/>
      </w:pPr>
      <w:bookmarkStart w:id="4" w:name="bongo_lang_bash_4"/>
      <w:bookmarkEnd w:id="4"/>
      <w:r>
        <w:t xml:space="preserve">cd backend</w:t>
        <w:br/>
        <w:t xml:space="preserve">python -m fastexpress.api</w:t>
      </w:r>
    </w:p>
    <w:p>
      <w:pPr/>
      <w:r>
        <w:t xml:space="preserve">La terminal debe quedar abierta mientras usas la página. Para detenerla, pulsa Ctrl + C.</w:t>
      </w:r>
    </w:p>
    <w:p>
      <w:pPr>
        <w:pStyle w:val="Heading3"/>
      </w:pPr>
      <w:r>
        <w:t xml:space="preserve">Mapa de archivos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Archivo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Para qué sirve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backend/fastexpress/reglas.py</w:t>
            </w:r>
          </w:p>
        </w:tc>
        <w:tc>
          <w:tcPr>
            <w:tcW w:w="4680" w:type="dxa"/>
          </w:tcPr>
          <w:p>
            <w:pPr/>
            <w:r>
              <w:t xml:space="preserve">Los números de las reglas: tarifas, límites, porcentajes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backend/fastexpress/errores.py</w:t>
            </w:r>
          </w:p>
        </w:tc>
        <w:tc>
          <w:tcPr>
            <w:tcW w:w="4680" w:type="dxa"/>
          </w:tcPr>
          <w:p>
            <w:pPr/>
            <w:r>
              <w:t xml:space="preserve">Los tipos de error y sus códigos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backend/fastexpress/cotizador.py</w:t>
            </w:r>
          </w:p>
        </w:tc>
        <w:tc>
          <w:tcPr>
            <w:tcW w:w="4680" w:type="dxa"/>
          </w:tcPr>
          <w:p>
            <w:pPr/>
            <w:r>
              <w:t xml:space="preserve">El cálculo: </w:t>
            </w:r>
            <w:r>
              <w:rPr>
                <w:rStyle w:val="CodeChar"/>
              </w:rPr>
              <w:t xml:space="preserve">calcular_cotizacion()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backend/fastexpress/api.py</w:t>
            </w:r>
          </w:p>
        </w:tc>
        <w:tc>
          <w:tcPr>
            <w:tcW w:w="4680" w:type="dxa"/>
          </w:tcPr>
          <w:p>
            <w:pPr/>
            <w:r>
              <w:t xml:space="preserve">La API y el servidor de la página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frontend/</w:t>
            </w:r>
          </w:p>
        </w:tc>
        <w:tc>
          <w:tcPr>
            <w:tcW w:w="4680" w:type="dxa"/>
          </w:tcPr>
          <w:p>
            <w:pPr/>
            <w:r>
              <w:t xml:space="preserve">La página: </w:t>
            </w:r>
            <w:r>
              <w:rPr>
                <w:rStyle w:val="CodeChar"/>
              </w:rPr>
              <w:t xml:space="preserve">index.html</w:t>
            </w:r>
            <w:r>
              <w:t xml:space="preserve">, </w:t>
            </w:r>
            <w:r>
              <w:rPr>
                <w:rStyle w:val="CodeChar"/>
              </w:rPr>
              <w:t xml:space="preserve">app.js</w:t>
            </w:r>
            <w:r>
              <w:t xml:space="preserve">, </w:t>
            </w:r>
            <w:r>
              <w:rPr>
                <w:rStyle w:val="CodeChar"/>
              </w:rPr>
              <w:t xml:space="preserve">styles.css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tests/test_cotizador.py</w:t>
            </w:r>
          </w:p>
        </w:tc>
        <w:tc>
          <w:tcPr>
            <w:tcW w:w="4680" w:type="dxa"/>
          </w:tcPr>
          <w:p>
            <w:pPr/>
            <w:r>
              <w:t xml:space="preserve">Pruebas del cálculo: particiones, límites, tabla de decisión y caminos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tests/test_api.py</w:t>
            </w:r>
          </w:p>
        </w:tc>
        <w:tc>
          <w:tcPr>
            <w:tcW w:w="4680" w:type="dxa"/>
          </w:tcPr>
          <w:p>
            <w:pPr/>
            <w:r>
              <w:t xml:space="preserve">Pruebas de la API: códigos 200, 400 y 422, y CORS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tests/test_frontend_e2e.py</w:t>
            </w:r>
          </w:p>
        </w:tc>
        <w:tc>
          <w:tcPr>
            <w:tcW w:w="4680" w:type="dxa"/>
          </w:tcPr>
          <w:p>
            <w:pPr/>
            <w:r>
              <w:t xml:space="preserve">Pruebas en un navegador real (opcionales)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pytest.ini</w:t>
            </w:r>
          </w:p>
        </w:tc>
        <w:tc>
          <w:tcPr>
            <w:tcW w:w="4680" w:type="dxa"/>
          </w:tcPr>
          <w:p>
            <w:pPr/>
            <w:r>
              <w:t xml:space="preserve">Configuración de pruebas y mínimo de cobertura del 85 %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docs/</w:t>
            </w:r>
          </w:p>
        </w:tc>
        <w:tc>
          <w:tcPr>
            <w:tcW w:w="4680" w:type="dxa"/>
          </w:tcPr>
          <w:p>
            <w:pPr/>
            <w:r>
              <w:t xml:space="preserve">Informe técnico, casos manuales y las 20 capturas</w:t>
            </w:r>
          </w:p>
        </w:tc>
      </w:tr>
    </w:tbl>
    <w:p>
      <w:pPr>
        <w:pStyle w:val="Heading2"/>
      </w:pPr>
      <w:r>
        <w:t xml:space="preserve">7. Preguntas probables del docente</w:t>
      </w:r>
    </w:p>
    <w:p>
      <w:pPr/>
      <w:r>
        <w:t xml:space="preserve">Respuestas cortas para practicar en voz alta. Si puedes explicarlas con tus palabras, dominas el proyecto.</w:t>
      </w:r>
    </w:p>
    <w:p>
      <w:pPr/>
      <w:r>
        <w:rPr>
          <w:b/>
        </w:rPr>
        <w:t xml:space="preserve">¿Cuál es la diferencia entre caja negra y caja blanca?</w:t>
      </w:r>
      <w:r>
        <w:t xml:space="preserve"> Caja negra prueba lo que el sistema hace según las reglas, sin ver el código. Caja blanca prueba cómo lo hace, recorriendo los caminos del código.</w:t>
      </w:r>
    </w:p>
    <w:p>
      <w:pPr/>
      <w:r>
        <w:rPr>
          <w:b/>
        </w:rPr>
        <w:t xml:space="preserve">¿Por qué usaron particiones de equivalencia?</w:t>
      </w:r>
      <w:r>
        <w:t xml:space="preserve"> Porque todos los valores de un grupo se comportan igual; probar uno representa al grupo y ahorra cientos de casos.</w:t>
      </w:r>
    </w:p>
    <w:p>
      <w:pPr/>
      <w:r>
        <w:rPr>
          <w:b/>
        </w:rPr>
        <w:t xml:space="preserve">¿Por qué probaron 4.99, 5.00 y 5.01?</w:t>
      </w:r>
      <w:r>
        <w:t xml:space="preserve"> Porque 5.00 es el borde donde cambia la tarifa, y los errores suelen estar en los bordes (por ejemplo, poner </w:t>
      </w:r>
      <w:r>
        <w:rPr>
          <w:rStyle w:val="CodeChar"/>
        </w:rPr>
        <w:t xml:space="preserve">&lt;</w:t>
      </w:r>
      <w:r>
        <w:t xml:space="preserve"> en vez de </w:t>
      </w:r>
      <w:r>
        <w:rPr>
          <w:rStyle w:val="CodeChar"/>
        </w:rPr>
        <w:t xml:space="preserve">&lt;=</w:t>
      </w:r>
      <w:r>
        <w:t xml:space="preserve">).</w:t>
      </w:r>
    </w:p>
    <w:p>
      <w:pPr/>
      <w:r>
        <w:rPr>
          <w:b/>
        </w:rPr>
        <w:t xml:space="preserve">¿Qué es V(G) y cuánto vale aquí?</w:t>
      </w:r>
      <w:r>
        <w:t xml:space="preserve"> Es la complejidad ciclomática: el número de caminos independientes. Vale 9, calculado con E − N + 2 = 29 − 22 + 2 y con P + 1 = 8 + 1.</w:t>
      </w:r>
    </w:p>
    <w:p>
      <w:pPr/>
      <w:r>
        <w:rPr>
          <w:b/>
        </w:rPr>
        <w:t xml:space="preserve">¿Qué es un nodo predicado?</w:t>
      </w:r>
      <w:r>
        <w:t xml:space="preserve"> Un punto del código donde se toma una decisión (un </w:t>
      </w:r>
      <w:r>
        <w:rPr>
          <w:rStyle w:val="CodeChar"/>
        </w:rPr>
        <w:t xml:space="preserve">if</w:t>
      </w:r>
      <w:r>
        <w:t xml:space="preserve">), del que salen dos caminos. Aquí hay 8.</w:t>
      </w:r>
    </w:p>
    <w:p>
      <w:pPr/>
      <w:r>
        <w:rPr>
          <w:b/>
        </w:rPr>
        <w:t xml:space="preserve">¿Cuánta cobertura lograron y cuánto pedían?</w:t>
      </w:r>
      <w:r>
        <w:t xml:space="preserve"> 100 % de líneas y de ramas; el mínimo era 85 %.</w:t>
      </w:r>
    </w:p>
    <w:p>
      <w:pPr/>
      <w:r>
        <w:rPr>
          <w:b/>
        </w:rPr>
        <w:t xml:space="preserve">Si tienen 100 % de cobertura, ¿el programa no tiene errores?</w:t>
      </w:r>
      <w:r>
        <w:t xml:space="preserve"> No. La cobertura dice que el código se ejecutó, no que el resultado sea correcto. DEF-03 lo demuestra: existía con 100 % de cobertura.</w:t>
      </w:r>
    </w:p>
    <w:p>
      <w:pPr/>
      <w:r>
        <w:rPr>
          <w:b/>
        </w:rPr>
        <w:t xml:space="preserve">¿Qué diferencia hay entre cobertura de líneas y de ramas?</w:t>
      </w:r>
      <w:r>
        <w:t xml:space="preserve"> Líneas: cada línea se ejecutó una vez. Ramas: cada </w:t>
      </w:r>
      <w:r>
        <w:rPr>
          <w:rStyle w:val="CodeChar"/>
        </w:rPr>
        <w:t xml:space="preserve">if</w:t>
      </w:r>
      <w:r>
        <w:t xml:space="preserve"> se probó por el lado verdadero y por el falso. La de ramas es más exigente.</w:t>
      </w:r>
    </w:p>
    <w:p>
      <w:pPr/>
      <w:r>
        <w:rPr>
          <w:b/>
        </w:rPr>
        <w:t xml:space="preserve">¿Por qué la tabla de decisión tiene 6 reglas?</w:t>
      </w:r>
      <w:r>
        <w:t xml:space="preserve"> Porque hay 3 tipos de cliente por 2 tipos de envío: 3 × 2 = 6 combinaciones.</w:t>
      </w:r>
    </w:p>
    <w:p>
      <w:pPr/>
      <w:r>
        <w:rPr>
          <w:b/>
        </w:rPr>
        <w:t xml:space="preserve">¿Por qué el descuento se calcula después del recargo?</w:t>
      </w:r>
      <w:r>
        <w:t xml:space="preserve"> Fue un supuesto del equipo porque el enunciado no lo decía. Como ambos son porcentajes, el total es el mismo en cualquier orden.</w:t>
      </w:r>
    </w:p>
    <w:p>
      <w:pPr/>
      <w:r>
        <w:rPr>
          <w:b/>
        </w:rPr>
        <w:t xml:space="preserve">¿Qué pasa si alguien pide 25 kg?</w:t>
      </w:r>
      <w:r>
        <w:t xml:space="preserve"> El sistema lo rechaza con el error </w:t>
      </w:r>
      <w:r>
        <w:rPr>
          <w:rStyle w:val="CodeChar"/>
        </w:rPr>
        <w:t xml:space="preserve">LIMITE_EXCEDIDO</w:t>
      </w:r>
      <w:r>
        <w:t xml:space="preserve"> y el código HTTP 422.</w:t>
      </w:r>
    </w:p>
    <w:p>
      <w:pPr/>
      <w:r>
        <w:rPr>
          <w:b/>
        </w:rPr>
        <w:t xml:space="preserve">¿Qué diferencia hay entre el error 400 y el 422?</w:t>
      </w:r>
      <w:r>
        <w:t xml:space="preserve"> 400: el dato está mal escrito o falta (peso "abc"). 422: el dato es válido pero viola una regla de negocio (25 kg).</w:t>
      </w:r>
    </w:p>
    <w:p>
      <w:pPr/>
      <w:r>
        <w:rPr>
          <w:b/>
        </w:rPr>
        <w:t xml:space="preserve">¿Qué es una prueba de regresión?</w:t>
      </w:r>
      <w:r>
        <w:t xml:space="preserve"> Una prueba que se agrega al corregir un defecto para que, si el defecto vuelve, la suite lo detecte.</w:t>
      </w:r>
    </w:p>
    <w:p>
      <w:pPr/>
      <w:r>
        <w:rPr>
          <w:b/>
        </w:rPr>
        <w:t xml:space="preserve">¿Qué normas siguieron?</w:t>
      </w:r>
      <w:r>
        <w:t xml:space="preserve"> IEEE 829 e ISO/IEC/IEEE 29119-3 para la estructura del informe, las técnicas de diseño del programa ISTQB, e ISO/IEC 25010 para las características de calidad (adecuación funcional y fiabilidad).</w:t>
      </w:r>
    </w:p>
    <w:p>
      <w:pPr/>
      <w:r>
        <w:rPr>
          <w:b/>
        </w:rPr>
        <w:t xml:space="preserve">¿Qué rol cumplió cada integrante?</w:t>
      </w:r>
      <w:r>
        <w:t xml:space="preserve"> Ruben Coronel en Backend, Dilan Ariza en Frontend y Marcos Arce en QA (pruebas y calidad).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2"/>
    </w:lvlOverride>
  </w:num>
  <w:num w:numId="10">
    <w:abstractNumId w:val="1"/>
    <w:lvlOverride w:ilvl="0">
      <w:startOverride w:val="3"/>
    </w:lvlOverride>
  </w:num>
  <w:num w:numId="11">
    <w:abstractNumId w:val="1"/>
    <w:lvlOverride w:ilvl="0">
      <w:startOverride w:val="4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Guía de estudio – FastExpress</dc:title>
  <dc:description>Claude Docs node/9aa6dc44-f23b@9 docx-w6</dc:description>
  <cp:revision>9</cp:revision>
</cp:coreProperties>
</file>