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5CE7" w14:textId="77777777" w:rsidR="00163D98" w:rsidRPr="00163D98" w:rsidRDefault="00163D98" w:rsidP="00163D98">
      <w:pPr>
        <w:rPr>
          <w:sz w:val="28"/>
          <w:szCs w:val="28"/>
        </w:rPr>
      </w:pPr>
      <w:r w:rsidRPr="00163D98">
        <w:rPr>
          <w:rFonts w:ascii="Segoe UI Emoji" w:hAnsi="Segoe UI Emoji" w:cs="Segoe UI Emoji"/>
          <w:sz w:val="28"/>
          <w:szCs w:val="28"/>
        </w:rPr>
        <w:t>📌</w:t>
      </w:r>
      <w:r w:rsidRPr="00163D98">
        <w:rPr>
          <w:sz w:val="28"/>
          <w:szCs w:val="28"/>
        </w:rPr>
        <w:t xml:space="preserve"> SALES INSIGHTS</w:t>
      </w:r>
    </w:p>
    <w:p w14:paraId="34AFD200" w14:textId="77777777" w:rsidR="00163D98" w:rsidRPr="00163D98" w:rsidRDefault="00163D98" w:rsidP="00163D9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63D98">
        <w:rPr>
          <w:sz w:val="28"/>
          <w:szCs w:val="28"/>
        </w:rPr>
        <w:t>The West region contributes the highest share of total sales, making it the strongest market.</w:t>
      </w:r>
    </w:p>
    <w:p w14:paraId="581819CC" w14:textId="77777777" w:rsidR="00163D98" w:rsidRPr="00163D98" w:rsidRDefault="00163D98" w:rsidP="00163D9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63D98">
        <w:rPr>
          <w:sz w:val="28"/>
          <w:szCs w:val="28"/>
        </w:rPr>
        <w:t>The Technology category generates the highest sales compared to Furniture and Office Supplies.</w:t>
      </w:r>
    </w:p>
    <w:p w14:paraId="2FA2921C" w14:textId="77777777" w:rsidR="00163D98" w:rsidRPr="00163D98" w:rsidRDefault="00163D98" w:rsidP="00163D9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63D98">
        <w:rPr>
          <w:sz w:val="28"/>
          <w:szCs w:val="28"/>
        </w:rPr>
        <w:t>Furniture sales are relatively high but do not translate into high profitability.</w:t>
      </w:r>
    </w:p>
    <w:p w14:paraId="0ACBFE56" w14:textId="77777777" w:rsidR="00163D98" w:rsidRPr="00163D98" w:rsidRDefault="00163D98" w:rsidP="00163D9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63D98">
        <w:rPr>
          <w:sz w:val="28"/>
          <w:szCs w:val="28"/>
        </w:rPr>
        <w:t>The South region shows lower overall sales compared to other regions.</w:t>
      </w:r>
    </w:p>
    <w:p w14:paraId="4EE8EBA1" w14:textId="77777777" w:rsidR="00163D98" w:rsidRPr="00163D98" w:rsidRDefault="00163D98" w:rsidP="00163D98">
      <w:pPr>
        <w:rPr>
          <w:sz w:val="28"/>
          <w:szCs w:val="28"/>
        </w:rPr>
      </w:pPr>
      <w:r w:rsidRPr="00163D98">
        <w:rPr>
          <w:rFonts w:ascii="Segoe UI Emoji" w:hAnsi="Segoe UI Emoji" w:cs="Segoe UI Emoji"/>
          <w:sz w:val="28"/>
          <w:szCs w:val="28"/>
        </w:rPr>
        <w:t>📌</w:t>
      </w:r>
      <w:r w:rsidRPr="00163D98">
        <w:rPr>
          <w:sz w:val="28"/>
          <w:szCs w:val="28"/>
        </w:rPr>
        <w:t xml:space="preserve"> PROFIT &amp; PROFIT MARGIN INSIGHTS</w:t>
      </w:r>
    </w:p>
    <w:p w14:paraId="58A456C7" w14:textId="77777777" w:rsidR="00163D98" w:rsidRPr="00163D98" w:rsidRDefault="00163D98" w:rsidP="00163D9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3D98">
        <w:rPr>
          <w:sz w:val="28"/>
          <w:szCs w:val="28"/>
        </w:rPr>
        <w:t>The Technology category has the highest average profit margin, indicating better profitability.</w:t>
      </w:r>
    </w:p>
    <w:p w14:paraId="33A20196" w14:textId="77777777" w:rsidR="00163D98" w:rsidRPr="00163D98" w:rsidRDefault="00163D98" w:rsidP="00163D9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3D98">
        <w:rPr>
          <w:sz w:val="28"/>
          <w:szCs w:val="28"/>
        </w:rPr>
        <w:t>Furniture has the lowest profit margin, suggesting higher costs or discounting.</w:t>
      </w:r>
    </w:p>
    <w:p w14:paraId="6923A38B" w14:textId="77777777" w:rsidR="00163D98" w:rsidRPr="00163D98" w:rsidRDefault="00163D98" w:rsidP="00163D9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3D98">
        <w:rPr>
          <w:sz w:val="28"/>
          <w:szCs w:val="28"/>
        </w:rPr>
        <w:t>Some regions generate good sales but lower profit margins, indicating inefficient pricing or high expenses.</w:t>
      </w:r>
    </w:p>
    <w:p w14:paraId="1745F359" w14:textId="77777777" w:rsidR="00163D98" w:rsidRPr="00163D98" w:rsidRDefault="00163D98" w:rsidP="00163D9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3D98">
        <w:rPr>
          <w:sz w:val="28"/>
          <w:szCs w:val="28"/>
        </w:rPr>
        <w:t>Higher sales do not always mean higher profit, highlighting the importance of profit margin analysis.</w:t>
      </w:r>
    </w:p>
    <w:p w14:paraId="71956DBA" w14:textId="77777777" w:rsidR="00163D98" w:rsidRPr="00163D98" w:rsidRDefault="00163D98" w:rsidP="00163D98">
      <w:pPr>
        <w:rPr>
          <w:sz w:val="28"/>
          <w:szCs w:val="28"/>
        </w:rPr>
      </w:pPr>
      <w:r w:rsidRPr="00163D98">
        <w:rPr>
          <w:rFonts w:ascii="Segoe UI Emoji" w:hAnsi="Segoe UI Emoji" w:cs="Segoe UI Emoji"/>
          <w:sz w:val="28"/>
          <w:szCs w:val="28"/>
        </w:rPr>
        <w:t>📌</w:t>
      </w:r>
      <w:r w:rsidRPr="00163D98">
        <w:rPr>
          <w:sz w:val="28"/>
          <w:szCs w:val="28"/>
        </w:rPr>
        <w:t xml:space="preserve"> SEGMENT INSIGHTS</w:t>
      </w:r>
    </w:p>
    <w:p w14:paraId="0C9F74F4" w14:textId="77777777" w:rsidR="00163D98" w:rsidRPr="00163D98" w:rsidRDefault="00163D98" w:rsidP="00163D9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3D98">
        <w:rPr>
          <w:sz w:val="28"/>
          <w:szCs w:val="28"/>
        </w:rPr>
        <w:t>The Corporate segment performs better in terms of profit margin compared to Consumer and Home Office.</w:t>
      </w:r>
    </w:p>
    <w:p w14:paraId="5C567C32" w14:textId="77777777" w:rsidR="00163D98" w:rsidRPr="00163D98" w:rsidRDefault="00163D98" w:rsidP="00163D9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3D98">
        <w:rPr>
          <w:sz w:val="28"/>
          <w:szCs w:val="28"/>
        </w:rPr>
        <w:t>The Consumer segment contributes high sales volume but with moderate profitability.</w:t>
      </w:r>
    </w:p>
    <w:p w14:paraId="7CE775E8" w14:textId="77777777" w:rsidR="00163D98" w:rsidRPr="00163D98" w:rsidRDefault="00163D98" w:rsidP="00163D9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3D98">
        <w:rPr>
          <w:sz w:val="28"/>
          <w:szCs w:val="28"/>
        </w:rPr>
        <w:t>The Home Office segment shows lower sales contribution across most regions.</w:t>
      </w:r>
    </w:p>
    <w:p w14:paraId="56A34D20" w14:textId="77777777" w:rsidR="00163D98" w:rsidRPr="00163D98" w:rsidRDefault="00163D98" w:rsidP="00163D98">
      <w:pPr>
        <w:rPr>
          <w:sz w:val="28"/>
          <w:szCs w:val="28"/>
        </w:rPr>
      </w:pPr>
      <w:r w:rsidRPr="00163D98">
        <w:rPr>
          <w:rFonts w:ascii="Segoe UI Emoji" w:hAnsi="Segoe UI Emoji" w:cs="Segoe UI Emoji"/>
          <w:sz w:val="28"/>
          <w:szCs w:val="28"/>
        </w:rPr>
        <w:t>📌</w:t>
      </w:r>
      <w:r w:rsidRPr="00163D98">
        <w:rPr>
          <w:sz w:val="28"/>
          <w:szCs w:val="28"/>
        </w:rPr>
        <w:t xml:space="preserve"> REGIONAL PERFORMANCE INSIGHTS</w:t>
      </w:r>
    </w:p>
    <w:p w14:paraId="51D2AA9A" w14:textId="77777777" w:rsidR="00163D98" w:rsidRPr="00163D98" w:rsidRDefault="00163D98" w:rsidP="00163D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63D98">
        <w:rPr>
          <w:sz w:val="28"/>
          <w:szCs w:val="28"/>
        </w:rPr>
        <w:t>The West and East regions together contribute the majority of total sales.</w:t>
      </w:r>
    </w:p>
    <w:p w14:paraId="19E7B7F4" w14:textId="77777777" w:rsidR="00163D98" w:rsidRPr="00163D98" w:rsidRDefault="00163D98" w:rsidP="00163D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63D98">
        <w:rPr>
          <w:sz w:val="28"/>
          <w:szCs w:val="28"/>
        </w:rPr>
        <w:t>The Central region shows average sales but relatively lower profit margins.</w:t>
      </w:r>
    </w:p>
    <w:p w14:paraId="6988D598" w14:textId="77777777" w:rsidR="00163D98" w:rsidRPr="00163D98" w:rsidRDefault="00163D98" w:rsidP="00163D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63D98">
        <w:rPr>
          <w:sz w:val="28"/>
          <w:szCs w:val="28"/>
        </w:rPr>
        <w:t>Certain regions may require cost optimization to improve profitability.</w:t>
      </w:r>
    </w:p>
    <w:p w14:paraId="41770CC6" w14:textId="77777777" w:rsidR="00163D98" w:rsidRPr="00163D98" w:rsidRDefault="00163D98" w:rsidP="00163D98">
      <w:pPr>
        <w:rPr>
          <w:sz w:val="28"/>
          <w:szCs w:val="28"/>
        </w:rPr>
      </w:pPr>
      <w:r w:rsidRPr="00163D98">
        <w:rPr>
          <w:rFonts w:ascii="Segoe UI Emoji" w:hAnsi="Segoe UI Emoji" w:cs="Segoe UI Emoji"/>
          <w:sz w:val="28"/>
          <w:szCs w:val="28"/>
        </w:rPr>
        <w:t>📌</w:t>
      </w:r>
      <w:r w:rsidRPr="00163D98">
        <w:rPr>
          <w:sz w:val="28"/>
          <w:szCs w:val="28"/>
        </w:rPr>
        <w:t xml:space="preserve"> OVERALL BUSINESS INSIGHTS (MOST IMPORTANT)</w:t>
      </w:r>
    </w:p>
    <w:p w14:paraId="0F31D8A1" w14:textId="77777777" w:rsidR="00163D98" w:rsidRPr="00163D98" w:rsidRDefault="00163D98" w:rsidP="00163D9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3D98">
        <w:rPr>
          <w:sz w:val="28"/>
          <w:szCs w:val="28"/>
        </w:rPr>
        <w:lastRenderedPageBreak/>
        <w:t>Business growth should focus on high-profit categories, not only high-sales categories.</w:t>
      </w:r>
    </w:p>
    <w:p w14:paraId="06506405" w14:textId="77777777" w:rsidR="00163D98" w:rsidRPr="00163D98" w:rsidRDefault="00163D98" w:rsidP="00163D9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3D98">
        <w:rPr>
          <w:sz w:val="28"/>
          <w:szCs w:val="28"/>
        </w:rPr>
        <w:t>Improving Furniture pricing or cost control can increase overall profit.</w:t>
      </w:r>
    </w:p>
    <w:p w14:paraId="5519CAE3" w14:textId="77777777" w:rsidR="00163D98" w:rsidRPr="00163D98" w:rsidRDefault="00163D98" w:rsidP="00163D9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3D98">
        <w:rPr>
          <w:sz w:val="28"/>
          <w:szCs w:val="28"/>
        </w:rPr>
        <w:t>Expanding Technology sales in high-performing regions can maximize revenue.</w:t>
      </w:r>
    </w:p>
    <w:p w14:paraId="3836FD7A" w14:textId="598953B6" w:rsidR="00944439" w:rsidRPr="00163D98" w:rsidRDefault="00163D98" w:rsidP="00163D9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3D98">
        <w:rPr>
          <w:sz w:val="28"/>
          <w:szCs w:val="28"/>
        </w:rPr>
        <w:t>Profit margin analysis helps identify sustainable growth opportunities.</w:t>
      </w:r>
    </w:p>
    <w:sectPr w:rsidR="00944439" w:rsidRPr="00163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06B"/>
    <w:multiLevelType w:val="hybridMultilevel"/>
    <w:tmpl w:val="87180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15323"/>
    <w:multiLevelType w:val="hybridMultilevel"/>
    <w:tmpl w:val="36942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67EB7"/>
    <w:multiLevelType w:val="hybridMultilevel"/>
    <w:tmpl w:val="0F14E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22DBF"/>
    <w:multiLevelType w:val="hybridMultilevel"/>
    <w:tmpl w:val="7974E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D569C"/>
    <w:multiLevelType w:val="hybridMultilevel"/>
    <w:tmpl w:val="B1745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367422">
    <w:abstractNumId w:val="2"/>
  </w:num>
  <w:num w:numId="2" w16cid:durableId="42681746">
    <w:abstractNumId w:val="3"/>
  </w:num>
  <w:num w:numId="3" w16cid:durableId="521431855">
    <w:abstractNumId w:val="4"/>
  </w:num>
  <w:num w:numId="4" w16cid:durableId="285935289">
    <w:abstractNumId w:val="1"/>
  </w:num>
  <w:num w:numId="5" w16cid:durableId="11371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98"/>
    <w:rsid w:val="00163D98"/>
    <w:rsid w:val="002A54C7"/>
    <w:rsid w:val="00944439"/>
    <w:rsid w:val="00C0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3A84"/>
  <w15:chartTrackingRefBased/>
  <w15:docId w15:val="{98F0BE07-1F09-4ADF-98A0-F1A5D748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RAJ</dc:creator>
  <cp:keywords/>
  <dc:description/>
  <cp:lastModifiedBy>MANOJ RAJ</cp:lastModifiedBy>
  <cp:revision>1</cp:revision>
  <dcterms:created xsi:type="dcterms:W3CDTF">2026-01-16T16:35:00Z</dcterms:created>
  <dcterms:modified xsi:type="dcterms:W3CDTF">2026-01-16T16:36:00Z</dcterms:modified>
</cp:coreProperties>
</file>