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line="264" w:lineRule="auto"/>
      </w:pPr>
      <w:r>
        <w:rPr>
          <w:rFonts w:ascii="Calibri" w:hAnsi="Calibri"/>
          <w:b/>
          <w:i w:val="0"/>
          <w:color w:val="356B48"/>
          <w:sz w:val="20"/>
        </w:rPr>
        <w:t>PROJECT DOCUMENTATION</w:t>
      </w:r>
    </w:p>
    <w:p>
      <w:pPr>
        <w:spacing w:before="0" w:after="100" w:line="264" w:lineRule="auto"/>
        <w:jc w:val="left"/>
      </w:pPr>
      <w:r>
        <w:rPr>
          <w:rFonts w:ascii="Calibri" w:hAnsi="Calibri"/>
          <w:b/>
          <w:i w:val="0"/>
          <w:color w:val="30173D"/>
          <w:sz w:val="56"/>
        </w:rPr>
        <w:t>Brinjal Insights</w:t>
      </w:r>
    </w:p>
    <w:p>
      <w:pPr>
        <w:spacing w:before="0" w:after="280" w:line="264" w:lineRule="auto"/>
      </w:pPr>
      <w:r>
        <w:rPr>
          <w:rFonts w:ascii="Calibri" w:hAnsi="Calibri"/>
          <w:b w:val="0"/>
          <w:i w:val="0"/>
          <w:color w:val="5F6368"/>
          <w:sz w:val="28"/>
        </w:rPr>
        <w:t>A local AI analytics chatbot for eggplant plant-breeding data</w:t>
      </w:r>
    </w:p>
    <w:p>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eggplant-varieties.jpg"/>
                    <pic:cNvPicPr/>
                  </pic:nvPicPr>
                  <pic:blipFill>
                    <a:blip r:embed="rId10"/>
                    <a:stretch>
                      <a:fillRect/>
                    </a:stretch>
                  </pic:blipFill>
                  <pic:spPr>
                    <a:xfrm>
                      <a:off x="0" y="0"/>
                      <a:ext cx="5943600" cy="4457700"/>
                    </a:xfrm>
                    <a:prstGeom prst="rect"/>
                  </pic:spPr>
                </pic:pic>
              </a:graphicData>
            </a:graphic>
          </wp:inline>
        </w:drawing>
      </w:r>
    </w:p>
    <w:p>
      <w:pPr>
        <w:spacing w:before="0" w:after="320" w:line="264" w:lineRule="auto"/>
      </w:pPr>
      <w:r>
        <w:rPr>
          <w:rFonts w:ascii="Calibri" w:hAnsi="Calibri"/>
          <w:b w:val="0"/>
          <w:i/>
          <w:color w:val="5F6368"/>
          <w:sz w:val="17"/>
        </w:rPr>
        <w:t>Eggplant varieties used as a visual identity for the prototype.</w:t>
      </w:r>
    </w:p>
    <w:p>
      <w:pPr>
        <w:spacing w:before="0" w:after="60" w:line="264" w:lineRule="auto"/>
      </w:pPr>
      <w:r>
        <w:rPr>
          <w:rFonts w:ascii="Calibri" w:hAnsi="Calibri"/>
          <w:b/>
          <w:i w:val="0"/>
          <w:color w:val="356B48"/>
          <w:sz w:val="20"/>
        </w:rPr>
        <w:t>Purpose</w:t>
      </w:r>
    </w:p>
    <w:p>
      <w:pPr>
        <w:spacing w:before="0" w:after="280" w:line="264" w:lineRule="auto"/>
      </w:pPr>
      <w:r>
        <w:rPr>
          <w:rFonts w:ascii="Calibri" w:hAnsi="Calibri"/>
          <w:b w:val="0"/>
          <w:i w:val="0"/>
          <w:color w:val="202124"/>
          <w:sz w:val="23"/>
        </w:rPr>
        <w:t>Provide breeders and research teams with a simple, secure way to explore local physiological, root, and morphology measurements using text or voice questions—without paid LLM APIs.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shd w:fill="F1E8F4"/>
            <w:vAlign w:val="center"/>
            <w:tcMar>
              <w:top w:w="80" w:type="dxa"/>
              <w:start w:w="100" w:type="dxa"/>
              <w:bottom w:w="80" w:type="dxa"/>
              <w:end w:w="100" w:type="dxa"/>
            </w:tcMar>
          </w:tcPr>
          <w:p>
            <w:pPr>
              <w:spacing w:after="0"/>
            </w:pPr>
            <w:r>
              <w:rPr>
                <w:rFonts w:ascii="Calibri" w:hAnsi="Calibri"/>
                <w:b/>
                <w:i w:val="0"/>
                <w:color w:val="30173D"/>
                <w:sz w:val="20"/>
              </w:rPr>
              <w:t>Project scope</w:t>
            </w:r>
          </w:p>
        </w:tc>
        <w:tc>
          <w:tcPr>
            <w:tcW w:type="dxa" w:w="3120"/>
            <w:shd w:fill="F1E8F4"/>
            <w:vAlign w:val="center"/>
            <w:tcMar>
              <w:top w:w="80" w:type="dxa"/>
              <w:start w:w="100" w:type="dxa"/>
              <w:bottom w:w="80" w:type="dxa"/>
              <w:end w:w="100" w:type="dxa"/>
            </w:tcMar>
          </w:tcPr>
          <w:p>
            <w:pPr>
              <w:spacing w:after="0"/>
            </w:pPr>
            <w:r>
              <w:rPr>
                <w:rFonts w:ascii="Calibri" w:hAnsi="Calibri"/>
                <w:b/>
                <w:i w:val="0"/>
                <w:color w:val="30173D"/>
                <w:sz w:val="20"/>
              </w:rPr>
              <w:t>Deployment model</w:t>
            </w:r>
          </w:p>
        </w:tc>
        <w:tc>
          <w:tcPr>
            <w:tcW w:type="dxa" w:w="3120"/>
            <w:shd w:fill="F1E8F4"/>
            <w:vAlign w:val="center"/>
            <w:tcMar>
              <w:top w:w="80" w:type="dxa"/>
              <w:start w:w="100" w:type="dxa"/>
              <w:bottom w:w="80" w:type="dxa"/>
              <w:end w:w="100" w:type="dxa"/>
            </w:tcMar>
          </w:tcPr>
          <w:p>
            <w:pPr>
              <w:spacing w:after="0"/>
            </w:pPr>
            <w:r>
              <w:rPr>
                <w:rFonts w:ascii="Calibri" w:hAnsi="Calibri"/>
                <w:b/>
                <w:i w:val="0"/>
                <w:color w:val="30173D"/>
                <w:sz w:val="20"/>
              </w:rPr>
              <w:t>Primary users</w:t>
            </w:r>
          </w:p>
        </w:tc>
      </w:tr>
      <w:tr>
        <w:tc>
          <w:tcPr>
            <w:tcW w:type="dxa" w:w="3120"/>
            <w:vAlign w:val="center"/>
            <w:tcMar>
              <w:top w:w="80" w:type="dxa"/>
              <w:start w:w="100" w:type="dxa"/>
              <w:bottom w:w="80" w:type="dxa"/>
              <w:end w:w="100" w:type="dxa"/>
            </w:tcMar>
          </w:tcPr>
          <w:p>
            <w:pPr>
              <w:spacing w:after="0"/>
            </w:pPr>
            <w:r>
              <w:rPr>
                <w:rFonts w:ascii="Calibri" w:hAnsi="Calibri"/>
                <w:b w:val="0"/>
                <w:i w:val="0"/>
                <w:color w:val="202124"/>
                <w:sz w:val="19"/>
              </w:rPr>
              <w:t>Eggplant genotype data exploration</w:t>
            </w:r>
          </w:p>
        </w:tc>
        <w:tc>
          <w:tcPr>
            <w:tcW w:type="dxa" w:w="3120"/>
            <w:vAlign w:val="center"/>
            <w:tcMar>
              <w:top w:w="80" w:type="dxa"/>
              <w:start w:w="100" w:type="dxa"/>
              <w:bottom w:w="80" w:type="dxa"/>
              <w:end w:w="100" w:type="dxa"/>
            </w:tcMar>
          </w:tcPr>
          <w:p>
            <w:pPr>
              <w:spacing w:after="0"/>
            </w:pPr>
            <w:r>
              <w:rPr>
                <w:rFonts w:ascii="Calibri" w:hAnsi="Calibri"/>
                <w:b w:val="0"/>
                <w:i w:val="0"/>
                <w:color w:val="202124"/>
                <w:sz w:val="19"/>
              </w:rPr>
              <w:t>Local machine / local MySQL</w:t>
            </w:r>
          </w:p>
        </w:tc>
        <w:tc>
          <w:tcPr>
            <w:tcW w:type="dxa" w:w="3120"/>
            <w:vAlign w:val="center"/>
            <w:tcMar>
              <w:top w:w="80" w:type="dxa"/>
              <w:start w:w="100" w:type="dxa"/>
              <w:bottom w:w="80" w:type="dxa"/>
              <w:end w:w="100" w:type="dxa"/>
            </w:tcMar>
          </w:tcPr>
          <w:p>
            <w:pPr>
              <w:spacing w:after="0"/>
            </w:pPr>
            <w:r>
              <w:rPr>
                <w:rFonts w:ascii="Calibri" w:hAnsi="Calibri"/>
                <w:b w:val="0"/>
                <w:i w:val="0"/>
                <w:color w:val="202124"/>
                <w:sz w:val="19"/>
              </w:rPr>
              <w:t>Plant breeders, researchers, students</w:t>
            </w:r>
          </w:p>
        </w:tc>
      </w:tr>
    </w:tbl>
    <w:p>
      <w:pPr>
        <w:spacing w:after="60"/>
      </w:pPr>
    </w:p>
    <w:p>
      <w:pPr>
        <w:spacing w:before="0" w:after="0" w:line="264" w:lineRule="auto"/>
      </w:pPr>
      <w:r>
        <w:rPr>
          <w:rFonts w:ascii="Calibri" w:hAnsi="Calibri"/>
          <w:b w:val="0"/>
          <w:i w:val="0"/>
          <w:color w:val="5F6368"/>
          <w:sz w:val="18"/>
        </w:rPr>
        <w:t>Version 1.0 | July 2026</w:t>
      </w:r>
    </w:p>
    <w:p>
      <w:r>
        <w:br w:type="page"/>
      </w:r>
    </w:p>
    <w:p>
      <w:pPr>
        <w:pStyle w:val="Heading1"/>
        <w:spacing w:before="320" w:after="120"/>
      </w:pPr>
      <w:r>
        <w:rPr>
          <w:rFonts w:ascii="Calibri" w:hAnsi="Calibri"/>
          <w:b/>
          <w:i w:val="0"/>
          <w:color w:val="4B1C58"/>
          <w:sz w:val="32"/>
        </w:rPr>
        <w:t>1. Problem statement</w:t>
      </w:r>
    </w:p>
    <w:p>
      <w:pPr>
        <w:spacing w:before="0" w:after="120" w:line="264" w:lineRule="auto"/>
      </w:pPr>
      <w:r>
        <w:rPr>
          <w:rFonts w:ascii="Calibri" w:hAnsi="Calibri"/>
          <w:b w:val="0"/>
          <w:i w:val="0"/>
          <w:color w:val="202124"/>
          <w:sz w:val="22"/>
        </w:rPr>
        <w:t>Plant-breeding datasets often contain repeated genotype measurements across physiological, root, and morphological traits. Accessing these data usually requires SQL skills, spreadsheet manipulation, or repeated support from an analyst. This slows exploratory analysis and makes it harder for non-technical users to compare genotypes, calculate trait summaries, or examine relationships among measurements.</w:t>
      </w:r>
    </w:p>
    <w:p>
      <w:pPr>
        <w:spacing w:before="0" w:after="120" w:line="264" w:lineRule="auto"/>
      </w:pPr>
      <w:r>
        <w:rPr>
          <w:rFonts w:ascii="Calibri" w:hAnsi="Calibri"/>
          <w:b w:val="0"/>
          <w:i w:val="0"/>
          <w:color w:val="202124"/>
          <w:sz w:val="22"/>
        </w:rPr>
        <w:t>Brinjal Insights addresses this gap with a local, read-only conversational interface over MySQL. A user asks a question in natural language or by voice; the system generates a constrained MySQL SELECT query, validates it, retrieves the result, and presents a table plus a suitable visualization.</w:t>
      </w:r>
    </w:p>
    <w:p>
      <w:pPr>
        <w:pStyle w:val="Heading1"/>
        <w:spacing w:before="320" w:after="120"/>
      </w:pPr>
      <w:r>
        <w:rPr>
          <w:rFonts w:ascii="Calibri" w:hAnsi="Calibri"/>
          <w:b/>
          <w:i w:val="0"/>
          <w:color w:val="4B1C58"/>
          <w:sz w:val="32"/>
        </w:rPr>
        <w:t>2. Data scope</w:t>
      </w:r>
    </w:p>
    <w:p>
      <w:pPr>
        <w:spacing w:before="0" w:after="120" w:line="264" w:lineRule="auto"/>
      </w:pPr>
      <w:r>
        <w:rPr>
          <w:rFonts w:ascii="Calibri" w:hAnsi="Calibri"/>
          <w:b w:val="0"/>
          <w:i w:val="0"/>
          <w:color w:val="202124"/>
          <w:sz w:val="22"/>
        </w:rPr>
        <w:t>The prototype is designed around five imported CSV datasets, each containing 150 genotype records and linked conceptually through GenotypeName.</w:t>
      </w:r>
    </w:p>
    <w:tbl>
      <w:tblPr>
        <w:tblStyle w:val="TableGrid"/>
        <w:tblW w:type="dxa" w:w="9360"/>
        <w:jc w:val="left"/>
        <w:tblLayout w:type="fixed"/>
        <w:tblLook w:firstColumn="1" w:firstRow="1" w:lastColumn="0" w:lastRow="0" w:noHBand="0" w:noVBand="1" w:val="04A0"/>
      </w:tblPr>
      <w:tblGrid>
        <w:gridCol w:w="1700"/>
        <w:gridCol w:w="2600"/>
        <w:gridCol w:w="5060"/>
      </w:tblGrid>
      <w:tr>
        <w:tc>
          <w:tcPr>
            <w:tcW w:type="dxa" w:w="1700"/>
            <w:shd w:fill="F1E8F4"/>
            <w:vAlign w:val="center"/>
            <w:tcMar>
              <w:top w:w="80" w:type="dxa"/>
              <w:start w:w="100" w:type="dxa"/>
              <w:bottom w:w="80" w:type="dxa"/>
              <w:end w:w="100" w:type="dxa"/>
            </w:tcMar>
          </w:tcPr>
          <w:p>
            <w:pPr>
              <w:spacing w:after="0"/>
            </w:pPr>
            <w:r>
              <w:rPr>
                <w:rFonts w:ascii="Calibri" w:hAnsi="Calibri"/>
                <w:b/>
                <w:i w:val="0"/>
                <w:color w:val="30173D"/>
                <w:sz w:val="20"/>
              </w:rPr>
              <w:t>Dataset</w:t>
            </w:r>
          </w:p>
        </w:tc>
        <w:tc>
          <w:tcPr>
            <w:tcW w:type="dxa" w:w="2600"/>
            <w:shd w:fill="F1E8F4"/>
            <w:vAlign w:val="center"/>
            <w:tcMar>
              <w:top w:w="80" w:type="dxa"/>
              <w:start w:w="100" w:type="dxa"/>
              <w:bottom w:w="80" w:type="dxa"/>
              <w:end w:w="100" w:type="dxa"/>
            </w:tcMar>
          </w:tcPr>
          <w:p>
            <w:pPr>
              <w:spacing w:after="0"/>
            </w:pPr>
            <w:r>
              <w:rPr>
                <w:rFonts w:ascii="Calibri" w:hAnsi="Calibri"/>
                <w:b/>
                <w:i w:val="0"/>
                <w:color w:val="30173D"/>
                <w:sz w:val="20"/>
              </w:rPr>
              <w:t>Trait domain</w:t>
            </w:r>
          </w:p>
        </w:tc>
        <w:tc>
          <w:tcPr>
            <w:tcW w:type="dxa" w:w="5060"/>
            <w:shd w:fill="F1E8F4"/>
            <w:vAlign w:val="center"/>
            <w:tcMar>
              <w:top w:w="80" w:type="dxa"/>
              <w:start w:w="100" w:type="dxa"/>
              <w:bottom w:w="80" w:type="dxa"/>
              <w:end w:w="100" w:type="dxa"/>
            </w:tcMar>
          </w:tcPr>
          <w:p>
            <w:pPr>
              <w:spacing w:after="0"/>
            </w:pPr>
            <w:r>
              <w:rPr>
                <w:rFonts w:ascii="Calibri" w:hAnsi="Calibri"/>
                <w:b/>
                <w:i w:val="0"/>
                <w:color w:val="30173D"/>
                <w:sz w:val="20"/>
              </w:rPr>
              <w:t>Example variables</w:t>
            </w:r>
          </w:p>
        </w:tc>
      </w:tr>
      <w:tr>
        <w:tc>
          <w:tcPr>
            <w:tcW w:type="dxa" w:w="1700"/>
            <w:vAlign w:val="center"/>
            <w:tcMar>
              <w:top w:w="80" w:type="dxa"/>
              <w:start w:w="100" w:type="dxa"/>
              <w:bottom w:w="80" w:type="dxa"/>
              <w:end w:w="100" w:type="dxa"/>
            </w:tcMar>
          </w:tcPr>
          <w:p>
            <w:pPr>
              <w:spacing w:after="0"/>
            </w:pPr>
            <w:r>
              <w:rPr>
                <w:rFonts w:ascii="Calibri" w:hAnsi="Calibri"/>
                <w:b w:val="0"/>
                <w:i w:val="0"/>
                <w:color w:val="202124"/>
                <w:sz w:val="19"/>
              </w:rPr>
              <w:t>phy_fst</w:t>
            </w:r>
          </w:p>
        </w:tc>
        <w:tc>
          <w:tcPr>
            <w:tcW w:type="dxa" w:w="2600"/>
            <w:vAlign w:val="center"/>
            <w:tcMar>
              <w:top w:w="80" w:type="dxa"/>
              <w:start w:w="100" w:type="dxa"/>
              <w:bottom w:w="80" w:type="dxa"/>
              <w:end w:w="100" w:type="dxa"/>
            </w:tcMar>
          </w:tcPr>
          <w:p>
            <w:pPr>
              <w:spacing w:after="0"/>
            </w:pPr>
            <w:r>
              <w:rPr>
                <w:rFonts w:ascii="Calibri" w:hAnsi="Calibri"/>
                <w:b w:val="0"/>
                <w:i w:val="0"/>
                <w:color w:val="202124"/>
                <w:sz w:val="19"/>
              </w:rPr>
              <w:t>First physiological measurement</w:t>
            </w:r>
          </w:p>
        </w:tc>
        <w:tc>
          <w:tcPr>
            <w:tcW w:type="dxa" w:w="5060"/>
            <w:vAlign w:val="center"/>
            <w:tcMar>
              <w:top w:w="80" w:type="dxa"/>
              <w:start w:w="100" w:type="dxa"/>
              <w:bottom w:w="80" w:type="dxa"/>
              <w:end w:w="100" w:type="dxa"/>
            </w:tcMar>
          </w:tcPr>
          <w:p>
            <w:pPr>
              <w:spacing w:after="0"/>
            </w:pPr>
            <w:r>
              <w:rPr>
                <w:rFonts w:ascii="Calibri" w:hAnsi="Calibri"/>
                <w:b w:val="0"/>
                <w:i w:val="0"/>
                <w:color w:val="202124"/>
                <w:sz w:val="19"/>
              </w:rPr>
              <w:t>CanopyTemp, SPAD, MSI, RWC, EpicuticularWax</w:t>
            </w:r>
          </w:p>
        </w:tc>
      </w:tr>
      <w:tr>
        <w:tc>
          <w:tcPr>
            <w:tcW w:type="dxa" w:w="1700"/>
            <w:vAlign w:val="center"/>
            <w:tcMar>
              <w:top w:w="80" w:type="dxa"/>
              <w:start w:w="100" w:type="dxa"/>
              <w:bottom w:w="80" w:type="dxa"/>
              <w:end w:w="100" w:type="dxa"/>
            </w:tcMar>
          </w:tcPr>
          <w:p>
            <w:pPr>
              <w:spacing w:after="0"/>
            </w:pPr>
            <w:r>
              <w:rPr>
                <w:rFonts w:ascii="Calibri" w:hAnsi="Calibri"/>
                <w:b w:val="0"/>
                <w:i w:val="0"/>
                <w:color w:val="202124"/>
                <w:sz w:val="19"/>
              </w:rPr>
              <w:t>Phy_snd</w:t>
            </w:r>
          </w:p>
        </w:tc>
        <w:tc>
          <w:tcPr>
            <w:tcW w:type="dxa" w:w="2600"/>
            <w:vAlign w:val="center"/>
            <w:tcMar>
              <w:top w:w="80" w:type="dxa"/>
              <w:start w:w="100" w:type="dxa"/>
              <w:bottom w:w="80" w:type="dxa"/>
              <w:end w:w="100" w:type="dxa"/>
            </w:tcMar>
          </w:tcPr>
          <w:p>
            <w:pPr>
              <w:spacing w:after="0"/>
            </w:pPr>
            <w:r>
              <w:rPr>
                <w:rFonts w:ascii="Calibri" w:hAnsi="Calibri"/>
                <w:b w:val="0"/>
                <w:i w:val="0"/>
                <w:color w:val="202124"/>
                <w:sz w:val="19"/>
              </w:rPr>
              <w:t>Second physiological measurement</w:t>
            </w:r>
          </w:p>
        </w:tc>
        <w:tc>
          <w:tcPr>
            <w:tcW w:type="dxa" w:w="5060"/>
            <w:vAlign w:val="center"/>
            <w:tcMar>
              <w:top w:w="80" w:type="dxa"/>
              <w:start w:w="100" w:type="dxa"/>
              <w:bottom w:w="80" w:type="dxa"/>
              <w:end w:w="100" w:type="dxa"/>
            </w:tcMar>
          </w:tcPr>
          <w:p>
            <w:pPr>
              <w:spacing w:after="0"/>
            </w:pPr>
            <w:r>
              <w:rPr>
                <w:rFonts w:ascii="Calibri" w:hAnsi="Calibri"/>
                <w:b w:val="0"/>
                <w:i w:val="0"/>
                <w:color w:val="202124"/>
                <w:sz w:val="19"/>
              </w:rPr>
              <w:t>CanopyTemp, SPAD, MSI, RWC, EpicuticularWax</w:t>
            </w:r>
          </w:p>
        </w:tc>
      </w:tr>
      <w:tr>
        <w:tc>
          <w:tcPr>
            <w:tcW w:type="dxa" w:w="1700"/>
            <w:vAlign w:val="center"/>
            <w:tcMar>
              <w:top w:w="80" w:type="dxa"/>
              <w:start w:w="100" w:type="dxa"/>
              <w:bottom w:w="80" w:type="dxa"/>
              <w:end w:w="100" w:type="dxa"/>
            </w:tcMar>
          </w:tcPr>
          <w:p>
            <w:pPr>
              <w:spacing w:after="0"/>
            </w:pPr>
            <w:r>
              <w:rPr>
                <w:rFonts w:ascii="Calibri" w:hAnsi="Calibri"/>
                <w:b w:val="0"/>
                <w:i w:val="0"/>
                <w:color w:val="202124"/>
                <w:sz w:val="19"/>
              </w:rPr>
              <w:t>Root_fst</w:t>
            </w:r>
          </w:p>
        </w:tc>
        <w:tc>
          <w:tcPr>
            <w:tcW w:type="dxa" w:w="2600"/>
            <w:vAlign w:val="center"/>
            <w:tcMar>
              <w:top w:w="80" w:type="dxa"/>
              <w:start w:w="100" w:type="dxa"/>
              <w:bottom w:w="80" w:type="dxa"/>
              <w:end w:w="100" w:type="dxa"/>
            </w:tcMar>
          </w:tcPr>
          <w:p>
            <w:pPr>
              <w:spacing w:after="0"/>
            </w:pPr>
            <w:r>
              <w:rPr>
                <w:rFonts w:ascii="Calibri" w:hAnsi="Calibri"/>
                <w:b w:val="0"/>
                <w:i w:val="0"/>
                <w:color w:val="202124"/>
                <w:sz w:val="19"/>
              </w:rPr>
              <w:t>First root measurement</w:t>
            </w:r>
          </w:p>
        </w:tc>
        <w:tc>
          <w:tcPr>
            <w:tcW w:type="dxa" w:w="5060"/>
            <w:vAlign w:val="center"/>
            <w:tcMar>
              <w:top w:w="80" w:type="dxa"/>
              <w:start w:w="100" w:type="dxa"/>
              <w:bottom w:w="80" w:type="dxa"/>
              <w:end w:w="100" w:type="dxa"/>
            </w:tcMar>
          </w:tcPr>
          <w:p>
            <w:pPr>
              <w:spacing w:after="0"/>
            </w:pPr>
            <w:r>
              <w:rPr>
                <w:rFonts w:ascii="Calibri" w:hAnsi="Calibri"/>
                <w:b w:val="0"/>
                <w:i w:val="0"/>
                <w:color w:val="202124"/>
                <w:sz w:val="19"/>
              </w:rPr>
              <w:t>RootLength, No_Lateral_Roots, R_S_Ratio</w:t>
            </w:r>
          </w:p>
        </w:tc>
      </w:tr>
      <w:tr>
        <w:tc>
          <w:tcPr>
            <w:tcW w:type="dxa" w:w="1700"/>
            <w:vAlign w:val="center"/>
            <w:tcMar>
              <w:top w:w="80" w:type="dxa"/>
              <w:start w:w="100" w:type="dxa"/>
              <w:bottom w:w="80" w:type="dxa"/>
              <w:end w:w="100" w:type="dxa"/>
            </w:tcMar>
          </w:tcPr>
          <w:p>
            <w:pPr>
              <w:spacing w:after="0"/>
            </w:pPr>
            <w:r>
              <w:rPr>
                <w:rFonts w:ascii="Calibri" w:hAnsi="Calibri"/>
                <w:b w:val="0"/>
                <w:i w:val="0"/>
                <w:color w:val="202124"/>
                <w:sz w:val="19"/>
              </w:rPr>
              <w:t>Root_scd</w:t>
            </w:r>
          </w:p>
        </w:tc>
        <w:tc>
          <w:tcPr>
            <w:tcW w:type="dxa" w:w="2600"/>
            <w:vAlign w:val="center"/>
            <w:tcMar>
              <w:top w:w="80" w:type="dxa"/>
              <w:start w:w="100" w:type="dxa"/>
              <w:bottom w:w="80" w:type="dxa"/>
              <w:end w:w="100" w:type="dxa"/>
            </w:tcMar>
          </w:tcPr>
          <w:p>
            <w:pPr>
              <w:spacing w:after="0"/>
            </w:pPr>
            <w:r>
              <w:rPr>
                <w:rFonts w:ascii="Calibri" w:hAnsi="Calibri"/>
                <w:b w:val="0"/>
                <w:i w:val="0"/>
                <w:color w:val="202124"/>
                <w:sz w:val="19"/>
              </w:rPr>
              <w:t>Second root measurement</w:t>
            </w:r>
          </w:p>
        </w:tc>
        <w:tc>
          <w:tcPr>
            <w:tcW w:type="dxa" w:w="5060"/>
            <w:vAlign w:val="center"/>
            <w:tcMar>
              <w:top w:w="80" w:type="dxa"/>
              <w:start w:w="100" w:type="dxa"/>
              <w:bottom w:w="80" w:type="dxa"/>
              <w:end w:w="100" w:type="dxa"/>
            </w:tcMar>
          </w:tcPr>
          <w:p>
            <w:pPr>
              <w:spacing w:after="0"/>
            </w:pPr>
            <w:r>
              <w:rPr>
                <w:rFonts w:ascii="Calibri" w:hAnsi="Calibri"/>
                <w:b w:val="0"/>
                <w:i w:val="0"/>
                <w:color w:val="202124"/>
                <w:sz w:val="19"/>
              </w:rPr>
              <w:t>RootLength, No_Lateral_Roots, R_S_Ratio</w:t>
            </w:r>
          </w:p>
        </w:tc>
      </w:tr>
      <w:tr>
        <w:tc>
          <w:tcPr>
            <w:tcW w:type="dxa" w:w="1700"/>
            <w:vAlign w:val="center"/>
            <w:tcMar>
              <w:top w:w="80" w:type="dxa"/>
              <w:start w:w="100" w:type="dxa"/>
              <w:bottom w:w="80" w:type="dxa"/>
              <w:end w:w="100" w:type="dxa"/>
            </w:tcMar>
          </w:tcPr>
          <w:p>
            <w:pPr>
              <w:spacing w:after="0"/>
            </w:pPr>
            <w:r>
              <w:rPr>
                <w:rFonts w:ascii="Calibri" w:hAnsi="Calibri"/>
                <w:b w:val="0"/>
                <w:i w:val="0"/>
                <w:color w:val="202124"/>
                <w:sz w:val="19"/>
              </w:rPr>
              <w:t>plant_morpho</w:t>
            </w:r>
          </w:p>
        </w:tc>
        <w:tc>
          <w:tcPr>
            <w:tcW w:type="dxa" w:w="2600"/>
            <w:vAlign w:val="center"/>
            <w:tcMar>
              <w:top w:w="80" w:type="dxa"/>
              <w:start w:w="100" w:type="dxa"/>
              <w:bottom w:w="80" w:type="dxa"/>
              <w:end w:w="100" w:type="dxa"/>
            </w:tcMar>
          </w:tcPr>
          <w:p>
            <w:pPr>
              <w:spacing w:after="0"/>
            </w:pPr>
            <w:r>
              <w:rPr>
                <w:rFonts w:ascii="Calibri" w:hAnsi="Calibri"/>
                <w:b w:val="0"/>
                <w:i w:val="0"/>
                <w:color w:val="202124"/>
                <w:sz w:val="19"/>
              </w:rPr>
              <w:t>Morphology and fruit descriptors</w:t>
            </w:r>
          </w:p>
        </w:tc>
        <w:tc>
          <w:tcPr>
            <w:tcW w:type="dxa" w:w="5060"/>
            <w:vAlign w:val="center"/>
            <w:tcMar>
              <w:top w:w="80" w:type="dxa"/>
              <w:start w:w="100" w:type="dxa"/>
              <w:bottom w:w="80" w:type="dxa"/>
              <w:end w:w="100" w:type="dxa"/>
            </w:tcMar>
          </w:tcPr>
          <w:p>
            <w:pPr>
              <w:spacing w:after="0"/>
            </w:pPr>
            <w:r>
              <w:rPr>
                <w:rFonts w:ascii="Calibri" w:hAnsi="Calibri"/>
                <w:b w:val="0"/>
                <w:i w:val="0"/>
                <w:color w:val="202124"/>
                <w:sz w:val="19"/>
              </w:rPr>
              <w:t>FruitShape, FruitColour, FlowerColour, StemPubescence</w:t>
            </w:r>
          </w:p>
        </w:tc>
      </w:tr>
    </w:tbl>
    <w:p>
      <w:pPr>
        <w:spacing w:after="60"/>
      </w:pPr>
    </w:p>
    <w:p>
      <w:pPr>
        <w:spacing w:before="0" w:after="120" w:line="264" w:lineRule="auto"/>
      </w:pPr>
      <w:r>
        <w:rPr>
          <w:rFonts w:ascii="Calibri" w:hAnsi="Calibri"/>
          <w:b w:val="0"/>
          <w:i/>
          <w:color w:val="356B48"/>
          <w:sz w:val="22"/>
        </w:rPr>
        <w:t>Important modelling assumption: GenotypeName is the expected relationship key for comparisons and joins. The model is instructed to use only columns obtained directly from the MySQL schema.</w:t>
      </w:r>
    </w:p>
    <w:p>
      <w:pPr>
        <w:pStyle w:val="Heading1"/>
        <w:spacing w:before="320" w:after="120"/>
      </w:pPr>
      <w:r>
        <w:rPr>
          <w:rFonts w:ascii="Calibri" w:hAnsi="Calibri"/>
          <w:b/>
          <w:i w:val="0"/>
          <w:color w:val="4B1C58"/>
          <w:sz w:val="32"/>
        </w:rPr>
        <w:t>3. Solution overview</w:t>
      </w:r>
    </w:p>
    <w:p>
      <w:pPr>
        <w:spacing w:before="0" w:after="120" w:line="264" w:lineRule="auto"/>
      </w:pPr>
      <w:r>
        <w:rPr>
          <w:rFonts w:ascii="Calibri" w:hAnsi="Calibri"/>
          <w:b w:val="0"/>
          <w:i w:val="0"/>
          <w:color w:val="202124"/>
          <w:sz w:val="22"/>
        </w:rPr>
        <w:t>The application uses a local-first architecture. It does not require paid cloud LLM APIs, and the MySQL account is intentionally limited to SELECT permission.</w:t>
      </w:r>
    </w:p>
    <w:tbl>
      <w:tblPr>
        <w:tblStyle w:val="TableGrid"/>
        <w:tblW w:type="dxa" w:w="9360"/>
        <w:jc w:val="left"/>
        <w:tblLayout w:type="fixed"/>
        <w:tblLook w:firstColumn="1" w:firstRow="1" w:lastColumn="0" w:lastRow="0" w:noHBand="0" w:noVBand="1" w:val="04A0"/>
      </w:tblPr>
      <w:tblGrid>
        <w:gridCol w:w="1550"/>
        <w:gridCol w:w="4700"/>
        <w:gridCol w:w="3110"/>
      </w:tblGrid>
      <w:tr>
        <w:tc>
          <w:tcPr>
            <w:tcW w:type="dxa" w:w="1550"/>
            <w:shd w:fill="F1E8F4"/>
            <w:vAlign w:val="center"/>
            <w:tcMar>
              <w:top w:w="80" w:type="dxa"/>
              <w:start w:w="100" w:type="dxa"/>
              <w:bottom w:w="80" w:type="dxa"/>
              <w:end w:w="100" w:type="dxa"/>
            </w:tcMar>
          </w:tcPr>
          <w:p>
            <w:pPr>
              <w:spacing w:after="0"/>
            </w:pPr>
            <w:r>
              <w:rPr>
                <w:rFonts w:ascii="Calibri" w:hAnsi="Calibri"/>
                <w:b/>
                <w:i w:val="0"/>
                <w:color w:val="30173D"/>
                <w:sz w:val="20"/>
              </w:rPr>
              <w:t>Stage</w:t>
            </w:r>
          </w:p>
        </w:tc>
        <w:tc>
          <w:tcPr>
            <w:tcW w:type="dxa" w:w="4700"/>
            <w:shd w:fill="F1E8F4"/>
            <w:vAlign w:val="center"/>
            <w:tcMar>
              <w:top w:w="80" w:type="dxa"/>
              <w:start w:w="100" w:type="dxa"/>
              <w:bottom w:w="80" w:type="dxa"/>
              <w:end w:w="100" w:type="dxa"/>
            </w:tcMar>
          </w:tcPr>
          <w:p>
            <w:pPr>
              <w:spacing w:after="0"/>
            </w:pPr>
            <w:r>
              <w:rPr>
                <w:rFonts w:ascii="Calibri" w:hAnsi="Calibri"/>
                <w:b/>
                <w:i w:val="0"/>
                <w:color w:val="30173D"/>
                <w:sz w:val="20"/>
              </w:rPr>
              <w:t>What happens</w:t>
            </w:r>
          </w:p>
        </w:tc>
        <w:tc>
          <w:tcPr>
            <w:tcW w:type="dxa" w:w="3110"/>
            <w:shd w:fill="F1E8F4"/>
            <w:vAlign w:val="center"/>
            <w:tcMar>
              <w:top w:w="80" w:type="dxa"/>
              <w:start w:w="100" w:type="dxa"/>
              <w:bottom w:w="80" w:type="dxa"/>
              <w:end w:w="100" w:type="dxa"/>
            </w:tcMar>
          </w:tcPr>
          <w:p>
            <w:pPr>
              <w:spacing w:after="0"/>
            </w:pPr>
            <w:r>
              <w:rPr>
                <w:rFonts w:ascii="Calibri" w:hAnsi="Calibri"/>
                <w:b/>
                <w:i w:val="0"/>
                <w:color w:val="30173D"/>
                <w:sz w:val="20"/>
              </w:rPr>
              <w:t>Control</w:t>
            </w:r>
          </w:p>
        </w:tc>
      </w:tr>
      <w:tr>
        <w:tc>
          <w:tcPr>
            <w:tcW w:type="dxa" w:w="1550"/>
            <w:vAlign w:val="center"/>
            <w:tcMar>
              <w:top w:w="80" w:type="dxa"/>
              <w:start w:w="100" w:type="dxa"/>
              <w:bottom w:w="80" w:type="dxa"/>
              <w:end w:w="100" w:type="dxa"/>
            </w:tcMar>
          </w:tcPr>
          <w:p>
            <w:pPr>
              <w:spacing w:after="0"/>
            </w:pPr>
            <w:r>
              <w:rPr>
                <w:rFonts w:ascii="Calibri" w:hAnsi="Calibri"/>
                <w:b w:val="0"/>
                <w:i w:val="0"/>
                <w:color w:val="202124"/>
                <w:sz w:val="19"/>
              </w:rPr>
              <w:t>1. User question</w:t>
            </w:r>
          </w:p>
        </w:tc>
        <w:tc>
          <w:tcPr>
            <w:tcW w:type="dxa" w:w="4700"/>
            <w:vAlign w:val="center"/>
            <w:tcMar>
              <w:top w:w="80" w:type="dxa"/>
              <w:start w:w="100" w:type="dxa"/>
              <w:bottom w:w="80" w:type="dxa"/>
              <w:end w:w="100" w:type="dxa"/>
            </w:tcMar>
          </w:tcPr>
          <w:p>
            <w:pPr>
              <w:spacing w:after="0"/>
            </w:pPr>
            <w:r>
              <w:rPr>
                <w:rFonts w:ascii="Calibri" w:hAnsi="Calibri"/>
                <w:b w:val="0"/>
                <w:i w:val="0"/>
                <w:color w:val="202124"/>
                <w:sz w:val="19"/>
              </w:rPr>
              <w:t>User types a question or records it in the browser.</w:t>
            </w:r>
          </w:p>
        </w:tc>
        <w:tc>
          <w:tcPr>
            <w:tcW w:type="dxa" w:w="3110"/>
            <w:vAlign w:val="center"/>
            <w:tcMar>
              <w:top w:w="80" w:type="dxa"/>
              <w:start w:w="100" w:type="dxa"/>
              <w:bottom w:w="80" w:type="dxa"/>
              <w:end w:w="100" w:type="dxa"/>
            </w:tcMar>
          </w:tcPr>
          <w:p>
            <w:pPr>
              <w:spacing w:after="0"/>
            </w:pPr>
            <w:r>
              <w:rPr>
                <w:rFonts w:ascii="Calibri" w:hAnsi="Calibri"/>
                <w:b w:val="0"/>
                <w:i w:val="0"/>
                <w:color w:val="202124"/>
                <w:sz w:val="19"/>
              </w:rPr>
              <w:t>One question per request.</w:t>
            </w:r>
          </w:p>
        </w:tc>
      </w:tr>
      <w:tr>
        <w:tc>
          <w:tcPr>
            <w:tcW w:type="dxa" w:w="1550"/>
            <w:vAlign w:val="center"/>
            <w:tcMar>
              <w:top w:w="80" w:type="dxa"/>
              <w:start w:w="100" w:type="dxa"/>
              <w:bottom w:w="80" w:type="dxa"/>
              <w:end w:w="100" w:type="dxa"/>
            </w:tcMar>
          </w:tcPr>
          <w:p>
            <w:pPr>
              <w:spacing w:after="0"/>
            </w:pPr>
            <w:r>
              <w:rPr>
                <w:rFonts w:ascii="Calibri" w:hAnsi="Calibri"/>
                <w:b w:val="0"/>
                <w:i w:val="0"/>
                <w:color w:val="202124"/>
                <w:sz w:val="19"/>
              </w:rPr>
              <w:t>2. Speech-to-text</w:t>
            </w:r>
          </w:p>
        </w:tc>
        <w:tc>
          <w:tcPr>
            <w:tcW w:type="dxa" w:w="4700"/>
            <w:vAlign w:val="center"/>
            <w:tcMar>
              <w:top w:w="80" w:type="dxa"/>
              <w:start w:w="100" w:type="dxa"/>
              <w:bottom w:w="80" w:type="dxa"/>
              <w:end w:w="100" w:type="dxa"/>
            </w:tcMar>
          </w:tcPr>
          <w:p>
            <w:pPr>
              <w:spacing w:after="0"/>
            </w:pPr>
            <w:r>
              <w:rPr>
                <w:rFonts w:ascii="Calibri" w:hAnsi="Calibri"/>
                <w:b w:val="0"/>
                <w:i w:val="0"/>
                <w:color w:val="202124"/>
                <w:sz w:val="19"/>
              </w:rPr>
              <w:t>Whisper transcribes an English recording locally when voice is used.</w:t>
            </w:r>
          </w:p>
        </w:tc>
        <w:tc>
          <w:tcPr>
            <w:tcW w:type="dxa" w:w="3110"/>
            <w:vAlign w:val="center"/>
            <w:tcMar>
              <w:top w:w="80" w:type="dxa"/>
              <w:start w:w="100" w:type="dxa"/>
              <w:bottom w:w="80" w:type="dxa"/>
              <w:end w:w="100" w:type="dxa"/>
            </w:tcMar>
          </w:tcPr>
          <w:p>
            <w:pPr>
              <w:spacing w:after="0"/>
            </w:pPr>
            <w:r>
              <w:rPr>
                <w:rFonts w:ascii="Calibri" w:hAnsi="Calibri"/>
                <w:b w:val="0"/>
                <w:i w:val="0"/>
                <w:color w:val="202124"/>
                <w:sz w:val="19"/>
              </w:rPr>
              <w:t>No paid speech API.</w:t>
            </w:r>
          </w:p>
        </w:tc>
      </w:tr>
      <w:tr>
        <w:tc>
          <w:tcPr>
            <w:tcW w:type="dxa" w:w="1550"/>
            <w:vAlign w:val="center"/>
            <w:tcMar>
              <w:top w:w="80" w:type="dxa"/>
              <w:start w:w="100" w:type="dxa"/>
              <w:bottom w:w="80" w:type="dxa"/>
              <w:end w:w="100" w:type="dxa"/>
            </w:tcMar>
          </w:tcPr>
          <w:p>
            <w:pPr>
              <w:spacing w:after="0"/>
            </w:pPr>
            <w:r>
              <w:rPr>
                <w:rFonts w:ascii="Calibri" w:hAnsi="Calibri"/>
                <w:b w:val="0"/>
                <w:i w:val="0"/>
                <w:color w:val="202124"/>
                <w:sz w:val="19"/>
              </w:rPr>
              <w:t>3. SQL generation</w:t>
            </w:r>
          </w:p>
        </w:tc>
        <w:tc>
          <w:tcPr>
            <w:tcW w:type="dxa" w:w="4700"/>
            <w:vAlign w:val="center"/>
            <w:tcMar>
              <w:top w:w="80" w:type="dxa"/>
              <w:start w:w="100" w:type="dxa"/>
              <w:bottom w:w="80" w:type="dxa"/>
              <w:end w:w="100" w:type="dxa"/>
            </w:tcMar>
          </w:tcPr>
          <w:p>
            <w:pPr>
              <w:spacing w:after="0"/>
            </w:pPr>
            <w:r>
              <w:rPr>
                <w:rFonts w:ascii="Calibri" w:hAnsi="Calibri"/>
                <w:b w:val="0"/>
                <w:i w:val="0"/>
                <w:color w:val="202124"/>
                <w:sz w:val="19"/>
              </w:rPr>
              <w:t>Ollama produces one MySQL SELECT statement from the live database schema.</w:t>
            </w:r>
          </w:p>
        </w:tc>
        <w:tc>
          <w:tcPr>
            <w:tcW w:type="dxa" w:w="3110"/>
            <w:vAlign w:val="center"/>
            <w:tcMar>
              <w:top w:w="80" w:type="dxa"/>
              <w:start w:w="100" w:type="dxa"/>
              <w:bottom w:w="80" w:type="dxa"/>
              <w:end w:w="100" w:type="dxa"/>
            </w:tcMar>
          </w:tcPr>
          <w:p>
            <w:pPr>
              <w:spacing w:after="0"/>
            </w:pPr>
            <w:r>
              <w:rPr>
                <w:rFonts w:ascii="Calibri" w:hAnsi="Calibri"/>
                <w:b w:val="0"/>
                <w:i w:val="0"/>
                <w:color w:val="202124"/>
                <w:sz w:val="19"/>
              </w:rPr>
              <w:t>ART prompt and temperature 0.</w:t>
            </w:r>
          </w:p>
        </w:tc>
      </w:tr>
      <w:tr>
        <w:tc>
          <w:tcPr>
            <w:tcW w:type="dxa" w:w="1550"/>
            <w:vAlign w:val="center"/>
            <w:tcMar>
              <w:top w:w="80" w:type="dxa"/>
              <w:start w:w="100" w:type="dxa"/>
              <w:bottom w:w="80" w:type="dxa"/>
              <w:end w:w="100" w:type="dxa"/>
            </w:tcMar>
          </w:tcPr>
          <w:p>
            <w:pPr>
              <w:spacing w:after="0"/>
            </w:pPr>
            <w:r>
              <w:rPr>
                <w:rFonts w:ascii="Calibri" w:hAnsi="Calibri"/>
                <w:b w:val="0"/>
                <w:i w:val="0"/>
                <w:color w:val="202124"/>
                <w:sz w:val="19"/>
              </w:rPr>
              <w:t>4. SQL safety</w:t>
            </w:r>
          </w:p>
        </w:tc>
        <w:tc>
          <w:tcPr>
            <w:tcW w:type="dxa" w:w="4700"/>
            <w:vAlign w:val="center"/>
            <w:tcMar>
              <w:top w:w="80" w:type="dxa"/>
              <w:start w:w="100" w:type="dxa"/>
              <w:bottom w:w="80" w:type="dxa"/>
              <w:end w:w="100" w:type="dxa"/>
            </w:tcMar>
          </w:tcPr>
          <w:p>
            <w:pPr>
              <w:spacing w:after="0"/>
            </w:pPr>
            <w:r>
              <w:rPr>
                <w:rFonts w:ascii="Calibri" w:hAnsi="Calibri"/>
                <w:b w:val="0"/>
                <w:i w:val="0"/>
                <w:color w:val="202124"/>
                <w:sz w:val="19"/>
              </w:rPr>
              <w:t>The application rejects multi-statement and non-read-only SQL, then applies a row cap.</w:t>
            </w:r>
          </w:p>
        </w:tc>
        <w:tc>
          <w:tcPr>
            <w:tcW w:type="dxa" w:w="3110"/>
            <w:vAlign w:val="center"/>
            <w:tcMar>
              <w:top w:w="80" w:type="dxa"/>
              <w:start w:w="100" w:type="dxa"/>
              <w:bottom w:w="80" w:type="dxa"/>
              <w:end w:w="100" w:type="dxa"/>
            </w:tcMar>
          </w:tcPr>
          <w:p>
            <w:pPr>
              <w:spacing w:after="0"/>
            </w:pPr>
            <w:r>
              <w:rPr>
                <w:rFonts w:ascii="Calibri" w:hAnsi="Calibri"/>
                <w:b w:val="0"/>
                <w:i w:val="0"/>
                <w:color w:val="202124"/>
                <w:sz w:val="19"/>
              </w:rPr>
              <w:t>sqlglot parsing plus forbidden-command checks.</w:t>
            </w:r>
          </w:p>
        </w:tc>
      </w:tr>
      <w:tr>
        <w:tc>
          <w:tcPr>
            <w:tcW w:type="dxa" w:w="1550"/>
            <w:vAlign w:val="center"/>
            <w:tcMar>
              <w:top w:w="80" w:type="dxa"/>
              <w:start w:w="100" w:type="dxa"/>
              <w:bottom w:w="80" w:type="dxa"/>
              <w:end w:w="100" w:type="dxa"/>
            </w:tcMar>
          </w:tcPr>
          <w:p>
            <w:pPr>
              <w:spacing w:after="0"/>
            </w:pPr>
            <w:r>
              <w:rPr>
                <w:rFonts w:ascii="Calibri" w:hAnsi="Calibri"/>
                <w:b w:val="0"/>
                <w:i w:val="0"/>
                <w:color w:val="202124"/>
                <w:sz w:val="19"/>
              </w:rPr>
              <w:t>5. Analysis output</w:t>
            </w:r>
          </w:p>
        </w:tc>
        <w:tc>
          <w:tcPr>
            <w:tcW w:type="dxa" w:w="4700"/>
            <w:vAlign w:val="center"/>
            <w:tcMar>
              <w:top w:w="80" w:type="dxa"/>
              <w:start w:w="100" w:type="dxa"/>
              <w:bottom w:w="80" w:type="dxa"/>
              <w:end w:w="100" w:type="dxa"/>
            </w:tcMar>
          </w:tcPr>
          <w:p>
            <w:pPr>
              <w:spacing w:after="0"/>
            </w:pPr>
            <w:r>
              <w:rPr>
                <w:rFonts w:ascii="Calibri" w:hAnsi="Calibri"/>
                <w:b w:val="0"/>
                <w:i w:val="0"/>
                <w:color w:val="202124"/>
                <w:sz w:val="19"/>
              </w:rPr>
              <w:t>Pandas retrieves the result and Streamlit shows the table, metric, or graph.</w:t>
            </w:r>
          </w:p>
        </w:tc>
        <w:tc>
          <w:tcPr>
            <w:tcW w:type="dxa" w:w="3110"/>
            <w:vAlign w:val="center"/>
            <w:tcMar>
              <w:top w:w="80" w:type="dxa"/>
              <w:start w:w="100" w:type="dxa"/>
              <w:bottom w:w="80" w:type="dxa"/>
              <w:end w:w="100" w:type="dxa"/>
            </w:tcMar>
          </w:tcPr>
          <w:p>
            <w:pPr>
              <w:spacing w:after="0"/>
            </w:pPr>
            <w:r>
              <w:rPr>
                <w:rFonts w:ascii="Calibri" w:hAnsi="Calibri"/>
                <w:b w:val="0"/>
                <w:i w:val="0"/>
                <w:color w:val="202124"/>
                <w:sz w:val="19"/>
              </w:rPr>
              <w:t>Interactive chart controls.</w:t>
            </w:r>
          </w:p>
        </w:tc>
      </w:tr>
    </w:tbl>
    <w:p>
      <w:pPr>
        <w:spacing w:after="60"/>
      </w:pPr>
    </w:p>
    <w:p>
      <w:pPr>
        <w:pStyle w:val="Heading1"/>
        <w:spacing w:before="320" w:after="120"/>
      </w:pPr>
      <w:r>
        <w:rPr>
          <w:rFonts w:ascii="Calibri" w:hAnsi="Calibri"/>
          <w:b/>
          <w:i w:val="0"/>
          <w:color w:val="4B1C58"/>
          <w:sz w:val="32"/>
        </w:rPr>
        <w:t>4. Core features</w:t>
      </w:r>
    </w:p>
    <w:tbl>
      <w:tblPr>
        <w:tblStyle w:val="TableGrid"/>
        <w:tblW w:type="dxa" w:w="9360"/>
        <w:jc w:val="left"/>
        <w:tblLayout w:type="fixed"/>
        <w:tblLook w:firstColumn="1" w:firstRow="1" w:lastColumn="0" w:lastRow="0" w:noHBand="0" w:noVBand="1" w:val="04A0"/>
      </w:tblPr>
      <w:tblGrid>
        <w:gridCol w:w="2500"/>
        <w:gridCol w:w="6860"/>
      </w:tblGrid>
      <w:tr>
        <w:tc>
          <w:tcPr>
            <w:tcW w:type="dxa" w:w="2500"/>
            <w:shd w:fill="F1E8F4"/>
            <w:vAlign w:val="center"/>
            <w:tcMar>
              <w:top w:w="80" w:type="dxa"/>
              <w:start w:w="100" w:type="dxa"/>
              <w:bottom w:w="80" w:type="dxa"/>
              <w:end w:w="100" w:type="dxa"/>
            </w:tcMar>
          </w:tcPr>
          <w:p>
            <w:pPr>
              <w:spacing w:after="0"/>
            </w:pPr>
            <w:r>
              <w:rPr>
                <w:rFonts w:ascii="Calibri" w:hAnsi="Calibri"/>
                <w:b/>
                <w:i w:val="0"/>
                <w:color w:val="30173D"/>
                <w:sz w:val="20"/>
              </w:rPr>
              <w:t>Feature</w:t>
            </w:r>
          </w:p>
        </w:tc>
        <w:tc>
          <w:tcPr>
            <w:tcW w:type="dxa" w:w="6860"/>
            <w:shd w:fill="F1E8F4"/>
            <w:vAlign w:val="center"/>
            <w:tcMar>
              <w:top w:w="80" w:type="dxa"/>
              <w:start w:w="100" w:type="dxa"/>
              <w:bottom w:w="80" w:type="dxa"/>
              <w:end w:w="100" w:type="dxa"/>
            </w:tcMar>
          </w:tcPr>
          <w:p>
            <w:pPr>
              <w:spacing w:after="0"/>
            </w:pPr>
            <w:r>
              <w:rPr>
                <w:rFonts w:ascii="Calibri" w:hAnsi="Calibri"/>
                <w:b/>
                <w:i w:val="0"/>
                <w:color w:val="30173D"/>
                <w:sz w:val="20"/>
              </w:rPr>
              <w:t>User value</w:t>
            </w:r>
          </w:p>
        </w:tc>
      </w:tr>
      <w:tr>
        <w:tc>
          <w:tcPr>
            <w:tcW w:type="dxa" w:w="2500"/>
            <w:vAlign w:val="center"/>
            <w:tcMar>
              <w:top w:w="80" w:type="dxa"/>
              <w:start w:w="100" w:type="dxa"/>
              <w:bottom w:w="80" w:type="dxa"/>
              <w:end w:w="100" w:type="dxa"/>
            </w:tcMar>
          </w:tcPr>
          <w:p>
            <w:pPr>
              <w:spacing w:after="0"/>
            </w:pPr>
            <w:r>
              <w:rPr>
                <w:rFonts w:ascii="Calibri" w:hAnsi="Calibri"/>
                <w:b w:val="0"/>
                <w:i w:val="0"/>
                <w:color w:val="202124"/>
                <w:sz w:val="19"/>
              </w:rPr>
              <w:t>Natural-language querying</w:t>
            </w:r>
          </w:p>
        </w:tc>
        <w:tc>
          <w:tcPr>
            <w:tcW w:type="dxa" w:w="6860"/>
            <w:vAlign w:val="center"/>
            <w:tcMar>
              <w:top w:w="80" w:type="dxa"/>
              <w:start w:w="100" w:type="dxa"/>
              <w:bottom w:w="80" w:type="dxa"/>
              <w:end w:w="100" w:type="dxa"/>
            </w:tcMar>
          </w:tcPr>
          <w:p>
            <w:pPr>
              <w:spacing w:after="0"/>
            </w:pPr>
            <w:r>
              <w:rPr>
                <w:rFonts w:ascii="Calibri" w:hAnsi="Calibri"/>
                <w:b w:val="0"/>
                <w:i w:val="0"/>
                <w:color w:val="202124"/>
                <w:sz w:val="19"/>
              </w:rPr>
              <w:t>Ask questions such as ‘What is the average RootLength grouped by FruitShape?’ without writing SQL.</w:t>
            </w:r>
          </w:p>
        </w:tc>
      </w:tr>
      <w:tr>
        <w:tc>
          <w:tcPr>
            <w:tcW w:type="dxa" w:w="2500"/>
            <w:vAlign w:val="center"/>
            <w:tcMar>
              <w:top w:w="80" w:type="dxa"/>
              <w:start w:w="100" w:type="dxa"/>
              <w:bottom w:w="80" w:type="dxa"/>
              <w:end w:w="100" w:type="dxa"/>
            </w:tcMar>
          </w:tcPr>
          <w:p>
            <w:pPr>
              <w:spacing w:after="0"/>
            </w:pPr>
            <w:r>
              <w:rPr>
                <w:rFonts w:ascii="Calibri" w:hAnsi="Calibri"/>
                <w:b w:val="0"/>
                <w:i w:val="0"/>
                <w:color w:val="202124"/>
                <w:sz w:val="19"/>
              </w:rPr>
              <w:t>Voice input</w:t>
            </w:r>
          </w:p>
        </w:tc>
        <w:tc>
          <w:tcPr>
            <w:tcW w:type="dxa" w:w="6860"/>
            <w:vAlign w:val="center"/>
            <w:tcMar>
              <w:top w:w="80" w:type="dxa"/>
              <w:start w:w="100" w:type="dxa"/>
              <w:bottom w:w="80" w:type="dxa"/>
              <w:end w:w="100" w:type="dxa"/>
            </w:tcMar>
          </w:tcPr>
          <w:p>
            <w:pPr>
              <w:spacing w:after="0"/>
            </w:pPr>
            <w:r>
              <w:rPr>
                <w:rFonts w:ascii="Calibri" w:hAnsi="Calibri"/>
                <w:b w:val="0"/>
                <w:i w:val="0"/>
                <w:color w:val="202124"/>
                <w:sz w:val="19"/>
              </w:rPr>
              <w:t>Record an English question; transcription starts automatically and sends the result to the same analytics workflow.</w:t>
            </w:r>
          </w:p>
        </w:tc>
      </w:tr>
      <w:tr>
        <w:tc>
          <w:tcPr>
            <w:tcW w:type="dxa" w:w="2500"/>
            <w:vAlign w:val="center"/>
            <w:tcMar>
              <w:top w:w="80" w:type="dxa"/>
              <w:start w:w="100" w:type="dxa"/>
              <w:bottom w:w="80" w:type="dxa"/>
              <w:end w:w="100" w:type="dxa"/>
            </w:tcMar>
          </w:tcPr>
          <w:p>
            <w:pPr>
              <w:spacing w:after="0"/>
            </w:pPr>
            <w:r>
              <w:rPr>
                <w:rFonts w:ascii="Calibri" w:hAnsi="Calibri"/>
                <w:b w:val="0"/>
                <w:i w:val="0"/>
                <w:color w:val="202124"/>
                <w:sz w:val="19"/>
              </w:rPr>
              <w:t>Schema-aware querying</w:t>
            </w:r>
          </w:p>
        </w:tc>
        <w:tc>
          <w:tcPr>
            <w:tcW w:type="dxa" w:w="6860"/>
            <w:vAlign w:val="center"/>
            <w:tcMar>
              <w:top w:w="80" w:type="dxa"/>
              <w:start w:w="100" w:type="dxa"/>
              <w:bottom w:w="80" w:type="dxa"/>
              <w:end w:w="100" w:type="dxa"/>
            </w:tcMar>
          </w:tcPr>
          <w:p>
            <w:pPr>
              <w:spacing w:after="0"/>
            </w:pPr>
            <w:r>
              <w:rPr>
                <w:rFonts w:ascii="Calibri" w:hAnsi="Calibri"/>
                <w:b w:val="0"/>
                <w:i w:val="0"/>
                <w:color w:val="202124"/>
                <w:sz w:val="19"/>
              </w:rPr>
              <w:t>The live MySQL schema is provided to the model so it can select existing tables and fields.</w:t>
            </w:r>
          </w:p>
        </w:tc>
      </w:tr>
      <w:tr>
        <w:tc>
          <w:tcPr>
            <w:tcW w:type="dxa" w:w="2500"/>
            <w:vAlign w:val="center"/>
            <w:tcMar>
              <w:top w:w="80" w:type="dxa"/>
              <w:start w:w="100" w:type="dxa"/>
              <w:bottom w:w="80" w:type="dxa"/>
              <w:end w:w="100" w:type="dxa"/>
            </w:tcMar>
          </w:tcPr>
          <w:p>
            <w:pPr>
              <w:spacing w:after="0"/>
            </w:pPr>
            <w:r>
              <w:rPr>
                <w:rFonts w:ascii="Calibri" w:hAnsi="Calibri"/>
                <w:b w:val="0"/>
                <w:i w:val="0"/>
                <w:color w:val="202124"/>
                <w:sz w:val="19"/>
              </w:rPr>
              <w:t>Joins and aggregates</w:t>
            </w:r>
          </w:p>
        </w:tc>
        <w:tc>
          <w:tcPr>
            <w:tcW w:type="dxa" w:w="6860"/>
            <w:vAlign w:val="center"/>
            <w:tcMar>
              <w:top w:w="80" w:type="dxa"/>
              <w:start w:w="100" w:type="dxa"/>
              <w:bottom w:w="80" w:type="dxa"/>
              <w:end w:w="100" w:type="dxa"/>
            </w:tcMar>
          </w:tcPr>
          <w:p>
            <w:pPr>
              <w:spacing w:after="0"/>
            </w:pPr>
            <w:r>
              <w:rPr>
                <w:rFonts w:ascii="Calibri" w:hAnsi="Calibri"/>
                <w:b w:val="0"/>
                <w:i w:val="0"/>
                <w:color w:val="202124"/>
                <w:sz w:val="19"/>
              </w:rPr>
              <w:t>Supports INNER JOIN, AVG, COUNT, MIN, MAX, GROUP BY, HAVING, and ORDER BY for genotype-level analysis.</w:t>
            </w:r>
          </w:p>
        </w:tc>
      </w:tr>
      <w:tr>
        <w:tc>
          <w:tcPr>
            <w:tcW w:type="dxa" w:w="2500"/>
            <w:vAlign w:val="center"/>
            <w:tcMar>
              <w:top w:w="80" w:type="dxa"/>
              <w:start w:w="100" w:type="dxa"/>
              <w:bottom w:w="80" w:type="dxa"/>
              <w:end w:w="100" w:type="dxa"/>
            </w:tcMar>
          </w:tcPr>
          <w:p>
            <w:pPr>
              <w:spacing w:after="0"/>
            </w:pPr>
            <w:r>
              <w:rPr>
                <w:rFonts w:ascii="Calibri" w:hAnsi="Calibri"/>
                <w:b w:val="0"/>
                <w:i w:val="0"/>
                <w:color w:val="202124"/>
                <w:sz w:val="19"/>
              </w:rPr>
              <w:t>Interactive visualization</w:t>
            </w:r>
          </w:p>
        </w:tc>
        <w:tc>
          <w:tcPr>
            <w:tcW w:type="dxa" w:w="6860"/>
            <w:vAlign w:val="center"/>
            <w:tcMar>
              <w:top w:w="80" w:type="dxa"/>
              <w:start w:w="100" w:type="dxa"/>
              <w:bottom w:w="80" w:type="dxa"/>
              <w:end w:w="100" w:type="dxa"/>
            </w:tcMar>
          </w:tcPr>
          <w:p>
            <w:pPr>
              <w:spacing w:after="0"/>
            </w:pPr>
            <w:r>
              <w:rPr>
                <w:rFonts w:ascii="Calibri" w:hAnsi="Calibri"/>
                <w:b w:val="0"/>
                <w:i w:val="0"/>
                <w:color w:val="202124"/>
                <w:sz w:val="19"/>
              </w:rPr>
              <w:t>Bar, line, scatter, and frequency charts are offered from the returned data.</w:t>
            </w:r>
          </w:p>
        </w:tc>
      </w:tr>
      <w:tr>
        <w:tc>
          <w:tcPr>
            <w:tcW w:type="dxa" w:w="2500"/>
            <w:vAlign w:val="center"/>
            <w:tcMar>
              <w:top w:w="80" w:type="dxa"/>
              <w:start w:w="100" w:type="dxa"/>
              <w:bottom w:w="80" w:type="dxa"/>
              <w:end w:w="100" w:type="dxa"/>
            </w:tcMar>
          </w:tcPr>
          <w:p>
            <w:pPr>
              <w:spacing w:after="0"/>
            </w:pPr>
            <w:r>
              <w:rPr>
                <w:rFonts w:ascii="Calibri" w:hAnsi="Calibri"/>
                <w:b w:val="0"/>
                <w:i w:val="0"/>
                <w:color w:val="202124"/>
                <w:sz w:val="19"/>
              </w:rPr>
              <w:t>Read-only safeguards</w:t>
            </w:r>
          </w:p>
        </w:tc>
        <w:tc>
          <w:tcPr>
            <w:tcW w:type="dxa" w:w="6860"/>
            <w:vAlign w:val="center"/>
            <w:tcMar>
              <w:top w:w="80" w:type="dxa"/>
              <w:start w:w="100" w:type="dxa"/>
              <w:bottom w:w="80" w:type="dxa"/>
              <w:end w:w="100" w:type="dxa"/>
            </w:tcMar>
          </w:tcPr>
          <w:p>
            <w:pPr>
              <w:spacing w:after="0"/>
            </w:pPr>
            <w:r>
              <w:rPr>
                <w:rFonts w:ascii="Calibri" w:hAnsi="Calibri"/>
                <w:b w:val="0"/>
                <w:i w:val="0"/>
                <w:color w:val="202124"/>
                <w:sz w:val="19"/>
              </w:rPr>
              <w:t>The MySQL user has SELECT-only access; application validation rejects dangerous operations.</w:t>
            </w:r>
          </w:p>
        </w:tc>
      </w:tr>
      <w:tr>
        <w:tc>
          <w:tcPr>
            <w:tcW w:type="dxa" w:w="2500"/>
            <w:vAlign w:val="center"/>
            <w:tcMar>
              <w:top w:w="80" w:type="dxa"/>
              <w:start w:w="100" w:type="dxa"/>
              <w:bottom w:w="80" w:type="dxa"/>
              <w:end w:w="100" w:type="dxa"/>
            </w:tcMar>
          </w:tcPr>
          <w:p>
            <w:pPr>
              <w:spacing w:after="0"/>
            </w:pPr>
            <w:r>
              <w:rPr>
                <w:rFonts w:ascii="Calibri" w:hAnsi="Calibri"/>
                <w:b w:val="0"/>
                <w:i w:val="0"/>
                <w:color w:val="202124"/>
                <w:sz w:val="19"/>
              </w:rPr>
              <w:t>Local AI operation</w:t>
            </w:r>
          </w:p>
        </w:tc>
        <w:tc>
          <w:tcPr>
            <w:tcW w:type="dxa" w:w="6860"/>
            <w:vAlign w:val="center"/>
            <w:tcMar>
              <w:top w:w="80" w:type="dxa"/>
              <w:start w:w="100" w:type="dxa"/>
              <w:bottom w:w="80" w:type="dxa"/>
              <w:end w:w="100" w:type="dxa"/>
            </w:tcMar>
          </w:tcPr>
          <w:p>
            <w:pPr>
              <w:spacing w:after="0"/>
            </w:pPr>
            <w:r>
              <w:rPr>
                <w:rFonts w:ascii="Calibri" w:hAnsi="Calibri"/>
                <w:b w:val="0"/>
                <w:i w:val="0"/>
                <w:color w:val="202124"/>
                <w:sz w:val="19"/>
              </w:rPr>
              <w:t>Ollama and Whisper run locally, avoiding paid API requirements and reducing data exposure.</w:t>
            </w:r>
          </w:p>
        </w:tc>
      </w:tr>
    </w:tbl>
    <w:p>
      <w:pPr>
        <w:spacing w:after="60"/>
      </w:pPr>
    </w:p>
    <w:p>
      <w:pPr>
        <w:pStyle w:val="Heading1"/>
        <w:spacing w:before="320" w:after="120"/>
      </w:pPr>
      <w:r>
        <w:rPr>
          <w:rFonts w:ascii="Calibri" w:hAnsi="Calibri"/>
          <w:b/>
          <w:i w:val="0"/>
          <w:color w:val="4B1C58"/>
          <w:sz w:val="32"/>
        </w:rPr>
        <w:t>5. Methodology</w:t>
      </w:r>
    </w:p>
    <w:p>
      <w:pPr>
        <w:pStyle w:val="Heading2"/>
        <w:spacing w:before="200" w:after="120"/>
      </w:pPr>
      <w:r>
        <w:rPr>
          <w:rFonts w:ascii="Calibri" w:hAnsi="Calibri"/>
          <w:b/>
          <w:i w:val="0"/>
          <w:color w:val="30173D"/>
          <w:sz w:val="26"/>
        </w:rPr>
        <w:t>5.1 Prompt methodology: ART</w:t>
      </w:r>
    </w:p>
    <w:p>
      <w:pPr>
        <w:spacing w:before="0" w:after="120" w:line="264" w:lineRule="auto"/>
      </w:pPr>
      <w:r>
        <w:rPr>
          <w:rFonts w:ascii="Calibri" w:hAnsi="Calibri"/>
          <w:b w:val="0"/>
          <w:i w:val="0"/>
          <w:color w:val="202124"/>
          <w:sz w:val="22"/>
        </w:rPr>
        <w:t>The SQL-generation system prompt follows ART: Action, Role, and Task.</w:t>
      </w:r>
    </w:p>
    <w:p>
      <w:pPr>
        <w:pStyle w:val="ListBullet"/>
        <w:spacing w:after="80" w:line="264" w:lineRule="auto"/>
      </w:pPr>
      <w:r>
        <w:rPr>
          <w:rFonts w:ascii="Calibri" w:hAnsi="Calibri"/>
          <w:b w:val="0"/>
          <w:i w:val="0"/>
          <w:color w:val="202124"/>
          <w:sz w:val="22"/>
        </w:rPr>
        <w:t>Action: translate one plant-breeding analytics question into one read-only MySQL query.</w:t>
      </w:r>
    </w:p>
    <w:p>
      <w:pPr>
        <w:pStyle w:val="ListBullet"/>
        <w:spacing w:after="80" w:line="264" w:lineRule="auto"/>
      </w:pPr>
      <w:r>
        <w:rPr>
          <w:rFonts w:ascii="Calibri" w:hAnsi="Calibri"/>
          <w:b w:val="0"/>
          <w:i w:val="0"/>
          <w:color w:val="202124"/>
          <w:sz w:val="22"/>
        </w:rPr>
        <w:t>Role: act as a careful MySQL analyst for eggplant breeding experiments, prioritizing correct identifiers, joins, and aggregate aliases.</w:t>
      </w:r>
    </w:p>
    <w:p>
      <w:pPr>
        <w:pStyle w:val="ListBullet"/>
        <w:spacing w:after="80" w:line="264" w:lineRule="auto"/>
      </w:pPr>
      <w:r>
        <w:rPr>
          <w:rFonts w:ascii="Calibri" w:hAnsi="Calibri"/>
          <w:b w:val="0"/>
          <w:i w:val="0"/>
          <w:color w:val="202124"/>
          <w:sz w:val="22"/>
        </w:rPr>
        <w:t>Task: return JSON containing the SQL and a short explanation, while following MySQL syntax and safety requirements.</w:t>
      </w:r>
    </w:p>
    <w:p>
      <w:pPr>
        <w:pStyle w:val="Heading2"/>
        <w:spacing w:before="200" w:after="120"/>
      </w:pPr>
      <w:r>
        <w:rPr>
          <w:rFonts w:ascii="Calibri" w:hAnsi="Calibri"/>
          <w:b/>
          <w:i w:val="0"/>
          <w:color w:val="30173D"/>
          <w:sz w:val="26"/>
        </w:rPr>
        <w:t>5.2 Query execution methodology</w:t>
      </w:r>
    </w:p>
    <w:p>
      <w:pPr>
        <w:pStyle w:val="ListBullet"/>
        <w:spacing w:after="80" w:line="264" w:lineRule="auto"/>
      </w:pPr>
      <w:r>
        <w:rPr>
          <w:rFonts w:ascii="Calibri" w:hAnsi="Calibri"/>
          <w:b w:val="0"/>
          <w:i w:val="0"/>
          <w:color w:val="202124"/>
          <w:sz w:val="22"/>
        </w:rPr>
        <w:t>Discover tables and columns at runtime using SQLAlchemy inspection; no hard-coded database schema is required.</w:t>
      </w:r>
    </w:p>
    <w:p>
      <w:pPr>
        <w:pStyle w:val="ListBullet"/>
        <w:spacing w:after="80" w:line="264" w:lineRule="auto"/>
      </w:pPr>
      <w:r>
        <w:rPr>
          <w:rFonts w:ascii="Calibri" w:hAnsi="Calibri"/>
          <w:b w:val="0"/>
          <w:i w:val="0"/>
          <w:color w:val="202124"/>
          <w:sz w:val="22"/>
        </w:rPr>
        <w:t>Use a deterministic shortcut for common ‘show first N rows from table’ requests to avoid unnecessary model errors.</w:t>
      </w:r>
    </w:p>
    <w:p>
      <w:pPr>
        <w:pStyle w:val="ListBullet"/>
        <w:spacing w:after="80" w:line="264" w:lineRule="auto"/>
      </w:pPr>
      <w:r>
        <w:rPr>
          <w:rFonts w:ascii="Calibri" w:hAnsi="Calibri"/>
          <w:b w:val="0"/>
          <w:i w:val="0"/>
          <w:color w:val="202124"/>
          <w:sz w:val="22"/>
        </w:rPr>
        <w:t>Parse generated SQL with sqlglot, reject write operations and multiple statements, and limit returned rows to 200 by default.</w:t>
      </w:r>
    </w:p>
    <w:p>
      <w:pPr>
        <w:pStyle w:val="ListBullet"/>
        <w:spacing w:after="80" w:line="264" w:lineRule="auto"/>
      </w:pPr>
      <w:r>
        <w:rPr>
          <w:rFonts w:ascii="Calibri" w:hAnsi="Calibri"/>
          <w:b w:val="0"/>
          <w:i w:val="0"/>
          <w:color w:val="202124"/>
          <w:sz w:val="22"/>
        </w:rPr>
        <w:t>Execute only after validation, using a MySQL account created specifically with SELECT permission.</w:t>
      </w:r>
    </w:p>
    <w:p>
      <w:pPr>
        <w:pStyle w:val="Heading2"/>
        <w:spacing w:before="200" w:after="120"/>
      </w:pPr>
      <w:r>
        <w:rPr>
          <w:rFonts w:ascii="Calibri" w:hAnsi="Calibri"/>
          <w:b/>
          <w:i w:val="0"/>
          <w:color w:val="30173D"/>
          <w:sz w:val="26"/>
        </w:rPr>
        <w:t>5.3 Visualization methodology</w:t>
      </w:r>
    </w:p>
    <w:p>
      <w:pPr>
        <w:spacing w:before="0" w:after="120" w:line="264" w:lineRule="auto"/>
      </w:pPr>
      <w:r>
        <w:rPr>
          <w:rFonts w:ascii="Calibri" w:hAnsi="Calibri"/>
          <w:b w:val="0"/>
          <w:i w:val="0"/>
          <w:color w:val="202124"/>
          <w:sz w:val="22"/>
        </w:rPr>
        <w:t>The result shape determines the available presentation. A single-row aggregation is displayed as a metric card. Categorical plus numeric results can be shown as bar or line charts. Two numeric fields can be compared as a scatter plot. Categorical results can be transformed into a frequency graph.</w:t>
      </w:r>
    </w:p>
    <w:p>
      <w:pPr>
        <w:pStyle w:val="Heading1"/>
        <w:spacing w:before="320" w:after="120"/>
      </w:pPr>
      <w:r>
        <w:rPr>
          <w:rFonts w:ascii="Calibri" w:hAnsi="Calibri"/>
          <w:b/>
          <w:i w:val="0"/>
          <w:color w:val="4B1C58"/>
          <w:sz w:val="32"/>
        </w:rPr>
        <w:t>6. Models, libraries, and add-ins</w:t>
      </w:r>
    </w:p>
    <w:tbl>
      <w:tblPr>
        <w:tblStyle w:val="TableGrid"/>
        <w:tblW w:type="dxa" w:w="9360"/>
        <w:jc w:val="left"/>
        <w:tblLayout w:type="fixed"/>
        <w:tblLook w:firstColumn="1" w:firstRow="1" w:lastColumn="0" w:lastRow="0" w:noHBand="0" w:noVBand="1" w:val="04A0"/>
      </w:tblPr>
      <w:tblGrid>
        <w:gridCol w:w="1900"/>
        <w:gridCol w:w="2850"/>
        <w:gridCol w:w="4610"/>
      </w:tblGrid>
      <w:tr>
        <w:tc>
          <w:tcPr>
            <w:tcW w:type="dxa" w:w="1900"/>
            <w:shd w:fill="F1E8F4"/>
            <w:vAlign w:val="center"/>
            <w:tcMar>
              <w:top w:w="80" w:type="dxa"/>
              <w:start w:w="100" w:type="dxa"/>
              <w:bottom w:w="80" w:type="dxa"/>
              <w:end w:w="100" w:type="dxa"/>
            </w:tcMar>
          </w:tcPr>
          <w:p>
            <w:pPr>
              <w:spacing w:after="0"/>
            </w:pPr>
            <w:r>
              <w:rPr>
                <w:rFonts w:ascii="Calibri" w:hAnsi="Calibri"/>
                <w:b/>
                <w:i w:val="0"/>
                <w:color w:val="30173D"/>
                <w:sz w:val="20"/>
              </w:rPr>
              <w:t>Component</w:t>
            </w:r>
          </w:p>
        </w:tc>
        <w:tc>
          <w:tcPr>
            <w:tcW w:type="dxa" w:w="2850"/>
            <w:shd w:fill="F1E8F4"/>
            <w:vAlign w:val="center"/>
            <w:tcMar>
              <w:top w:w="80" w:type="dxa"/>
              <w:start w:w="100" w:type="dxa"/>
              <w:bottom w:w="80" w:type="dxa"/>
              <w:end w:w="100" w:type="dxa"/>
            </w:tcMar>
          </w:tcPr>
          <w:p>
            <w:pPr>
              <w:spacing w:after="0"/>
            </w:pPr>
            <w:r>
              <w:rPr>
                <w:rFonts w:ascii="Calibri" w:hAnsi="Calibri"/>
                <w:b/>
                <w:i w:val="0"/>
                <w:color w:val="30173D"/>
                <w:sz w:val="20"/>
              </w:rPr>
              <w:t>Technology</w:t>
            </w:r>
          </w:p>
        </w:tc>
        <w:tc>
          <w:tcPr>
            <w:tcW w:type="dxa" w:w="4610"/>
            <w:shd w:fill="F1E8F4"/>
            <w:vAlign w:val="center"/>
            <w:tcMar>
              <w:top w:w="80" w:type="dxa"/>
              <w:start w:w="100" w:type="dxa"/>
              <w:bottom w:w="80" w:type="dxa"/>
              <w:end w:w="100" w:type="dxa"/>
            </w:tcMar>
          </w:tcPr>
          <w:p>
            <w:pPr>
              <w:spacing w:after="0"/>
            </w:pPr>
            <w:r>
              <w:rPr>
                <w:rFonts w:ascii="Calibri" w:hAnsi="Calibri"/>
                <w:b/>
                <w:i w:val="0"/>
                <w:color w:val="30173D"/>
                <w:sz w:val="20"/>
              </w:rPr>
              <w:t>Purpose</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Local LLM</w:t>
            </w:r>
          </w:p>
        </w:tc>
        <w:tc>
          <w:tcPr>
            <w:tcW w:type="dxa" w:w="2850"/>
            <w:vAlign w:val="center"/>
            <w:tcMar>
              <w:top w:w="80" w:type="dxa"/>
              <w:start w:w="100" w:type="dxa"/>
              <w:bottom w:w="80" w:type="dxa"/>
              <w:end w:w="100" w:type="dxa"/>
            </w:tcMar>
          </w:tcPr>
          <w:p>
            <w:pPr>
              <w:spacing w:after="0"/>
            </w:pPr>
            <w:r>
              <w:rPr>
                <w:rFonts w:ascii="Calibri" w:hAnsi="Calibri"/>
                <w:b w:val="0"/>
                <w:i w:val="0"/>
                <w:color w:val="202124"/>
                <w:sz w:val="19"/>
              </w:rPr>
              <w:t>Ollama with qwen2.5:3b</w:t>
            </w:r>
          </w:p>
        </w:tc>
        <w:tc>
          <w:tcPr>
            <w:tcW w:type="dxa" w:w="4610"/>
            <w:vAlign w:val="center"/>
            <w:tcMar>
              <w:top w:w="80" w:type="dxa"/>
              <w:start w:w="100" w:type="dxa"/>
              <w:bottom w:w="80" w:type="dxa"/>
              <w:end w:w="100" w:type="dxa"/>
            </w:tcMar>
          </w:tcPr>
          <w:p>
            <w:pPr>
              <w:spacing w:after="0"/>
            </w:pPr>
            <w:r>
              <w:rPr>
                <w:rFonts w:ascii="Calibri" w:hAnsi="Calibri"/>
                <w:b w:val="0"/>
                <w:i w:val="0"/>
                <w:color w:val="202124"/>
                <w:sz w:val="19"/>
              </w:rPr>
              <w:t>Converts natural-language plant-breeding questions into MySQL SELECT queries.</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Speech-to-text</w:t>
            </w:r>
          </w:p>
        </w:tc>
        <w:tc>
          <w:tcPr>
            <w:tcW w:type="dxa" w:w="2850"/>
            <w:vAlign w:val="center"/>
            <w:tcMar>
              <w:top w:w="80" w:type="dxa"/>
              <w:start w:w="100" w:type="dxa"/>
              <w:bottom w:w="80" w:type="dxa"/>
              <w:end w:w="100" w:type="dxa"/>
            </w:tcMar>
          </w:tcPr>
          <w:p>
            <w:pPr>
              <w:spacing w:after="0"/>
            </w:pPr>
            <w:r>
              <w:rPr>
                <w:rFonts w:ascii="Calibri" w:hAnsi="Calibri"/>
                <w:b w:val="0"/>
                <w:i w:val="0"/>
                <w:color w:val="202124"/>
                <w:sz w:val="19"/>
              </w:rPr>
              <w:t>faster-whisper with tiny.en</w:t>
            </w:r>
          </w:p>
        </w:tc>
        <w:tc>
          <w:tcPr>
            <w:tcW w:type="dxa" w:w="4610"/>
            <w:vAlign w:val="center"/>
            <w:tcMar>
              <w:top w:w="80" w:type="dxa"/>
              <w:start w:w="100" w:type="dxa"/>
              <w:bottom w:w="80" w:type="dxa"/>
              <w:end w:w="100" w:type="dxa"/>
            </w:tcMar>
          </w:tcPr>
          <w:p>
            <w:pPr>
              <w:spacing w:after="0"/>
            </w:pPr>
            <w:r>
              <w:rPr>
                <w:rFonts w:ascii="Calibri" w:hAnsi="Calibri"/>
                <w:b w:val="0"/>
                <w:i w:val="0"/>
                <w:color w:val="202124"/>
                <w:sz w:val="19"/>
              </w:rPr>
              <w:t>Locally transcribes English voice questions. base.en can be selected for higher accuracy.</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Web application</w:t>
            </w:r>
          </w:p>
        </w:tc>
        <w:tc>
          <w:tcPr>
            <w:tcW w:type="dxa" w:w="2850"/>
            <w:vAlign w:val="center"/>
            <w:tcMar>
              <w:top w:w="80" w:type="dxa"/>
              <w:start w:w="100" w:type="dxa"/>
              <w:bottom w:w="80" w:type="dxa"/>
              <w:end w:w="100" w:type="dxa"/>
            </w:tcMar>
          </w:tcPr>
          <w:p>
            <w:pPr>
              <w:spacing w:after="0"/>
            </w:pPr>
            <w:r>
              <w:rPr>
                <w:rFonts w:ascii="Calibri" w:hAnsi="Calibri"/>
                <w:b w:val="0"/>
                <w:i w:val="0"/>
                <w:color w:val="202124"/>
                <w:sz w:val="19"/>
              </w:rPr>
              <w:t>Streamlit</w:t>
            </w:r>
          </w:p>
        </w:tc>
        <w:tc>
          <w:tcPr>
            <w:tcW w:type="dxa" w:w="4610"/>
            <w:vAlign w:val="center"/>
            <w:tcMar>
              <w:top w:w="80" w:type="dxa"/>
              <w:start w:w="100" w:type="dxa"/>
              <w:bottom w:w="80" w:type="dxa"/>
              <w:end w:w="100" w:type="dxa"/>
            </w:tcMar>
          </w:tcPr>
          <w:p>
            <w:pPr>
              <w:spacing w:after="0"/>
            </w:pPr>
            <w:r>
              <w:rPr>
                <w:rFonts w:ascii="Calibri" w:hAnsi="Calibri"/>
                <w:b w:val="0"/>
                <w:i w:val="0"/>
                <w:color w:val="202124"/>
                <w:sz w:val="19"/>
              </w:rPr>
              <w:t>Provides the chat interface, microphone recording, tables, charts, and themed UI.</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Database layer</w:t>
            </w:r>
          </w:p>
        </w:tc>
        <w:tc>
          <w:tcPr>
            <w:tcW w:type="dxa" w:w="2850"/>
            <w:vAlign w:val="center"/>
            <w:tcMar>
              <w:top w:w="80" w:type="dxa"/>
              <w:start w:w="100" w:type="dxa"/>
              <w:bottom w:w="80" w:type="dxa"/>
              <w:end w:w="100" w:type="dxa"/>
            </w:tcMar>
          </w:tcPr>
          <w:p>
            <w:pPr>
              <w:spacing w:after="0"/>
            </w:pPr>
            <w:r>
              <w:rPr>
                <w:rFonts w:ascii="Calibri" w:hAnsi="Calibri"/>
                <w:b w:val="0"/>
                <w:i w:val="0"/>
                <w:color w:val="202124"/>
                <w:sz w:val="19"/>
              </w:rPr>
              <w:t>SQLAlchemy + PyMySQL</w:t>
            </w:r>
          </w:p>
        </w:tc>
        <w:tc>
          <w:tcPr>
            <w:tcW w:type="dxa" w:w="4610"/>
            <w:vAlign w:val="center"/>
            <w:tcMar>
              <w:top w:w="80" w:type="dxa"/>
              <w:start w:w="100" w:type="dxa"/>
              <w:bottom w:w="80" w:type="dxa"/>
              <w:end w:w="100" w:type="dxa"/>
            </w:tcMar>
          </w:tcPr>
          <w:p>
            <w:pPr>
              <w:spacing w:after="0"/>
            </w:pPr>
            <w:r>
              <w:rPr>
                <w:rFonts w:ascii="Calibri" w:hAnsi="Calibri"/>
                <w:b w:val="0"/>
                <w:i w:val="0"/>
                <w:color w:val="202124"/>
                <w:sz w:val="19"/>
              </w:rPr>
              <w:t>Connects to MySQL, reads schema metadata, and executes validated queries.</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SQL guardrail</w:t>
            </w:r>
          </w:p>
        </w:tc>
        <w:tc>
          <w:tcPr>
            <w:tcW w:type="dxa" w:w="2850"/>
            <w:vAlign w:val="center"/>
            <w:tcMar>
              <w:top w:w="80" w:type="dxa"/>
              <w:start w:w="100" w:type="dxa"/>
              <w:bottom w:w="80" w:type="dxa"/>
              <w:end w:w="100" w:type="dxa"/>
            </w:tcMar>
          </w:tcPr>
          <w:p>
            <w:pPr>
              <w:spacing w:after="0"/>
            </w:pPr>
            <w:r>
              <w:rPr>
                <w:rFonts w:ascii="Calibri" w:hAnsi="Calibri"/>
                <w:b w:val="0"/>
                <w:i w:val="0"/>
                <w:color w:val="202124"/>
                <w:sz w:val="19"/>
              </w:rPr>
              <w:t>sqlglot</w:t>
            </w:r>
          </w:p>
        </w:tc>
        <w:tc>
          <w:tcPr>
            <w:tcW w:type="dxa" w:w="4610"/>
            <w:vAlign w:val="center"/>
            <w:tcMar>
              <w:top w:w="80" w:type="dxa"/>
              <w:start w:w="100" w:type="dxa"/>
              <w:bottom w:w="80" w:type="dxa"/>
              <w:end w:w="100" w:type="dxa"/>
            </w:tcMar>
          </w:tcPr>
          <w:p>
            <w:pPr>
              <w:spacing w:after="0"/>
            </w:pPr>
            <w:r>
              <w:rPr>
                <w:rFonts w:ascii="Calibri" w:hAnsi="Calibri"/>
                <w:b w:val="0"/>
                <w:i w:val="0"/>
                <w:color w:val="202124"/>
                <w:sz w:val="19"/>
              </w:rPr>
              <w:t>Parses and validates MySQL syntax before execution.</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Data handling</w:t>
            </w:r>
          </w:p>
        </w:tc>
        <w:tc>
          <w:tcPr>
            <w:tcW w:type="dxa" w:w="2850"/>
            <w:vAlign w:val="center"/>
            <w:tcMar>
              <w:top w:w="80" w:type="dxa"/>
              <w:start w:w="100" w:type="dxa"/>
              <w:bottom w:w="80" w:type="dxa"/>
              <w:end w:w="100" w:type="dxa"/>
            </w:tcMar>
          </w:tcPr>
          <w:p>
            <w:pPr>
              <w:spacing w:after="0"/>
            </w:pPr>
            <w:r>
              <w:rPr>
                <w:rFonts w:ascii="Calibri" w:hAnsi="Calibri"/>
                <w:b w:val="0"/>
                <w:i w:val="0"/>
                <w:color w:val="202124"/>
                <w:sz w:val="19"/>
              </w:rPr>
              <w:t>pandas</w:t>
            </w:r>
          </w:p>
        </w:tc>
        <w:tc>
          <w:tcPr>
            <w:tcW w:type="dxa" w:w="4610"/>
            <w:vAlign w:val="center"/>
            <w:tcMar>
              <w:top w:w="80" w:type="dxa"/>
              <w:start w:w="100" w:type="dxa"/>
              <w:bottom w:w="80" w:type="dxa"/>
              <w:end w:w="100" w:type="dxa"/>
            </w:tcMar>
          </w:tcPr>
          <w:p>
            <w:pPr>
              <w:spacing w:after="0"/>
            </w:pPr>
            <w:r>
              <w:rPr>
                <w:rFonts w:ascii="Calibri" w:hAnsi="Calibri"/>
                <w:b w:val="0"/>
                <w:i w:val="0"/>
                <w:color w:val="202124"/>
                <w:sz w:val="19"/>
              </w:rPr>
              <w:t>Loads SQL results and prepares chart data.</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Visualization</w:t>
            </w:r>
          </w:p>
        </w:tc>
        <w:tc>
          <w:tcPr>
            <w:tcW w:type="dxa" w:w="2850"/>
            <w:vAlign w:val="center"/>
            <w:tcMar>
              <w:top w:w="80" w:type="dxa"/>
              <w:start w:w="100" w:type="dxa"/>
              <w:bottom w:w="80" w:type="dxa"/>
              <w:end w:w="100" w:type="dxa"/>
            </w:tcMar>
          </w:tcPr>
          <w:p>
            <w:pPr>
              <w:spacing w:after="0"/>
            </w:pPr>
            <w:r>
              <w:rPr>
                <w:rFonts w:ascii="Calibri" w:hAnsi="Calibri"/>
                <w:b w:val="0"/>
                <w:i w:val="0"/>
                <w:color w:val="202124"/>
                <w:sz w:val="19"/>
              </w:rPr>
              <w:t>Streamlit + Vega-Lite</w:t>
            </w:r>
          </w:p>
        </w:tc>
        <w:tc>
          <w:tcPr>
            <w:tcW w:type="dxa" w:w="4610"/>
            <w:vAlign w:val="center"/>
            <w:tcMar>
              <w:top w:w="80" w:type="dxa"/>
              <w:start w:w="100" w:type="dxa"/>
              <w:bottom w:w="80" w:type="dxa"/>
              <w:end w:w="100" w:type="dxa"/>
            </w:tcMar>
          </w:tcPr>
          <w:p>
            <w:pPr>
              <w:spacing w:after="0"/>
            </w:pPr>
            <w:r>
              <w:rPr>
                <w:rFonts w:ascii="Calibri" w:hAnsi="Calibri"/>
                <w:b w:val="0"/>
                <w:i w:val="0"/>
                <w:color w:val="202124"/>
                <w:sz w:val="19"/>
              </w:rPr>
              <w:t>Renders bar, line, scatter, and frequency graphs.</w:t>
            </w:r>
          </w:p>
        </w:tc>
      </w:tr>
    </w:tbl>
    <w:p>
      <w:pPr>
        <w:spacing w:after="60"/>
      </w:pPr>
    </w:p>
    <w:p>
      <w:pPr>
        <w:spacing w:before="0" w:after="120" w:line="264" w:lineRule="auto"/>
      </w:pPr>
      <w:r>
        <w:rPr>
          <w:rFonts w:ascii="Calibri" w:hAnsi="Calibri"/>
          <w:b/>
          <w:i w:val="0"/>
          <w:color w:val="356B48"/>
          <w:sz w:val="22"/>
        </w:rPr>
        <w:t>No paid LLM API, OpenAI API key, or cloud database connector is required for the current implementation.</w:t>
      </w:r>
    </w:p>
    <w:p>
      <w:pPr>
        <w:pStyle w:val="Heading1"/>
        <w:spacing w:before="320" w:after="120"/>
      </w:pPr>
      <w:r>
        <w:rPr>
          <w:rFonts w:ascii="Calibri" w:hAnsi="Calibri"/>
          <w:b/>
          <w:i w:val="0"/>
          <w:color w:val="4B1C58"/>
          <w:sz w:val="32"/>
        </w:rPr>
        <w:t>7. Plant-breeding use cases</w:t>
      </w:r>
    </w:p>
    <w:tbl>
      <w:tblPr>
        <w:tblStyle w:val="TableGrid"/>
        <w:tblW w:type="dxa" w:w="9360"/>
        <w:jc w:val="left"/>
        <w:tblLayout w:type="fixed"/>
        <w:tblLook w:firstColumn="1" w:firstRow="1" w:lastColumn="0" w:lastRow="0" w:noHBand="0" w:noVBand="1" w:val="04A0"/>
      </w:tblPr>
      <w:tblGrid>
        <w:gridCol w:w="1900"/>
        <w:gridCol w:w="3700"/>
        <w:gridCol w:w="3760"/>
      </w:tblGrid>
      <w:tr>
        <w:tc>
          <w:tcPr>
            <w:tcW w:type="dxa" w:w="1900"/>
            <w:shd w:fill="F1E8F4"/>
            <w:vAlign w:val="center"/>
            <w:tcMar>
              <w:top w:w="80" w:type="dxa"/>
              <w:start w:w="100" w:type="dxa"/>
              <w:bottom w:w="80" w:type="dxa"/>
              <w:end w:w="100" w:type="dxa"/>
            </w:tcMar>
          </w:tcPr>
          <w:p>
            <w:pPr>
              <w:spacing w:after="0"/>
            </w:pPr>
            <w:r>
              <w:rPr>
                <w:rFonts w:ascii="Calibri" w:hAnsi="Calibri"/>
                <w:b/>
                <w:i w:val="0"/>
                <w:color w:val="30173D"/>
                <w:sz w:val="20"/>
              </w:rPr>
              <w:t>Use case</w:t>
            </w:r>
          </w:p>
        </w:tc>
        <w:tc>
          <w:tcPr>
            <w:tcW w:type="dxa" w:w="3700"/>
            <w:shd w:fill="F1E8F4"/>
            <w:vAlign w:val="center"/>
            <w:tcMar>
              <w:top w:w="80" w:type="dxa"/>
              <w:start w:w="100" w:type="dxa"/>
              <w:bottom w:w="80" w:type="dxa"/>
              <w:end w:w="100" w:type="dxa"/>
            </w:tcMar>
          </w:tcPr>
          <w:p>
            <w:pPr>
              <w:spacing w:after="0"/>
            </w:pPr>
            <w:r>
              <w:rPr>
                <w:rFonts w:ascii="Calibri" w:hAnsi="Calibri"/>
                <w:b/>
                <w:i w:val="0"/>
                <w:color w:val="30173D"/>
                <w:sz w:val="20"/>
              </w:rPr>
              <w:t>Example question</w:t>
            </w:r>
          </w:p>
        </w:tc>
        <w:tc>
          <w:tcPr>
            <w:tcW w:type="dxa" w:w="3760"/>
            <w:shd w:fill="F1E8F4"/>
            <w:vAlign w:val="center"/>
            <w:tcMar>
              <w:top w:w="80" w:type="dxa"/>
              <w:start w:w="100" w:type="dxa"/>
              <w:bottom w:w="80" w:type="dxa"/>
              <w:end w:w="100" w:type="dxa"/>
            </w:tcMar>
          </w:tcPr>
          <w:p>
            <w:pPr>
              <w:spacing w:after="0"/>
            </w:pPr>
            <w:r>
              <w:rPr>
                <w:rFonts w:ascii="Calibri" w:hAnsi="Calibri"/>
                <w:b/>
                <w:i w:val="0"/>
                <w:color w:val="30173D"/>
                <w:sz w:val="20"/>
              </w:rPr>
              <w:t>Expected analysis</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Root trait screening</w:t>
            </w:r>
          </w:p>
        </w:tc>
        <w:tc>
          <w:tcPr>
            <w:tcW w:type="dxa" w:w="3700"/>
            <w:vAlign w:val="center"/>
            <w:tcMar>
              <w:top w:w="80" w:type="dxa"/>
              <w:start w:w="100" w:type="dxa"/>
              <w:bottom w:w="80" w:type="dxa"/>
              <w:end w:w="100" w:type="dxa"/>
            </w:tcMar>
          </w:tcPr>
          <w:p>
            <w:pPr>
              <w:spacing w:after="0"/>
            </w:pPr>
            <w:r>
              <w:rPr>
                <w:rFonts w:ascii="Calibri" w:hAnsi="Calibri"/>
                <w:b w:val="0"/>
                <w:i w:val="0"/>
                <w:color w:val="202124"/>
                <w:sz w:val="19"/>
              </w:rPr>
              <w:t>Which genotypes have the highest R_S_Ratio in Root_scd?</w:t>
            </w:r>
          </w:p>
        </w:tc>
        <w:tc>
          <w:tcPr>
            <w:tcW w:type="dxa" w:w="3760"/>
            <w:vAlign w:val="center"/>
            <w:tcMar>
              <w:top w:w="80" w:type="dxa"/>
              <w:start w:w="100" w:type="dxa"/>
              <w:bottom w:w="80" w:type="dxa"/>
              <w:end w:w="100" w:type="dxa"/>
            </w:tcMar>
          </w:tcPr>
          <w:p>
            <w:pPr>
              <w:spacing w:after="0"/>
            </w:pPr>
            <w:r>
              <w:rPr>
                <w:rFonts w:ascii="Calibri" w:hAnsi="Calibri"/>
                <w:b w:val="0"/>
                <w:i w:val="0"/>
                <w:color w:val="202124"/>
                <w:sz w:val="19"/>
              </w:rPr>
              <w:t>Ranks genotypes by root-to-shoot ratio.</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Physiology comparison</w:t>
            </w:r>
          </w:p>
        </w:tc>
        <w:tc>
          <w:tcPr>
            <w:tcW w:type="dxa" w:w="3700"/>
            <w:vAlign w:val="center"/>
            <w:tcMar>
              <w:top w:w="80" w:type="dxa"/>
              <w:start w:w="100" w:type="dxa"/>
              <w:bottom w:w="80" w:type="dxa"/>
              <w:end w:w="100" w:type="dxa"/>
            </w:tcMar>
          </w:tcPr>
          <w:p>
            <w:pPr>
              <w:spacing w:after="0"/>
            </w:pPr>
            <w:r>
              <w:rPr>
                <w:rFonts w:ascii="Calibri" w:hAnsi="Calibri"/>
                <w:b w:val="0"/>
                <w:i w:val="0"/>
                <w:color w:val="202124"/>
                <w:sz w:val="19"/>
              </w:rPr>
              <w:t>Compare average SPAD in phy_fst and Phy_snd.</w:t>
            </w:r>
          </w:p>
        </w:tc>
        <w:tc>
          <w:tcPr>
            <w:tcW w:type="dxa" w:w="3760"/>
            <w:vAlign w:val="center"/>
            <w:tcMar>
              <w:top w:w="80" w:type="dxa"/>
              <w:start w:w="100" w:type="dxa"/>
              <w:bottom w:w="80" w:type="dxa"/>
              <w:end w:w="100" w:type="dxa"/>
            </w:tcMar>
          </w:tcPr>
          <w:p>
            <w:pPr>
              <w:spacing w:after="0"/>
            </w:pPr>
            <w:r>
              <w:rPr>
                <w:rFonts w:ascii="Calibri" w:hAnsi="Calibri"/>
                <w:b w:val="0"/>
                <w:i w:val="0"/>
                <w:color w:val="202124"/>
                <w:sz w:val="19"/>
              </w:rPr>
              <w:t>Compares chlorophyll-related readings across measurements.</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Trait association</w:t>
            </w:r>
          </w:p>
        </w:tc>
        <w:tc>
          <w:tcPr>
            <w:tcW w:type="dxa" w:w="3700"/>
            <w:vAlign w:val="center"/>
            <w:tcMar>
              <w:top w:w="80" w:type="dxa"/>
              <w:start w:w="100" w:type="dxa"/>
              <w:bottom w:w="80" w:type="dxa"/>
              <w:end w:w="100" w:type="dxa"/>
            </w:tcMar>
          </w:tcPr>
          <w:p>
            <w:pPr>
              <w:spacing w:after="0"/>
            </w:pPr>
            <w:r>
              <w:rPr>
                <w:rFonts w:ascii="Calibri" w:hAnsi="Calibri"/>
                <w:b w:val="0"/>
                <w:i w:val="0"/>
                <w:color w:val="202124"/>
                <w:sz w:val="19"/>
              </w:rPr>
              <w:t>Show RootLength and SPAD for each GenotypeName.</w:t>
            </w:r>
          </w:p>
        </w:tc>
        <w:tc>
          <w:tcPr>
            <w:tcW w:type="dxa" w:w="3760"/>
            <w:vAlign w:val="center"/>
            <w:tcMar>
              <w:top w:w="80" w:type="dxa"/>
              <w:start w:w="100" w:type="dxa"/>
              <w:bottom w:w="80" w:type="dxa"/>
              <w:end w:w="100" w:type="dxa"/>
            </w:tcMar>
          </w:tcPr>
          <w:p>
            <w:pPr>
              <w:spacing w:after="0"/>
            </w:pPr>
            <w:r>
              <w:rPr>
                <w:rFonts w:ascii="Calibri" w:hAnsi="Calibri"/>
                <w:b w:val="0"/>
                <w:i w:val="0"/>
                <w:color w:val="202124"/>
                <w:sz w:val="19"/>
              </w:rPr>
              <w:t>Joins root and physiological traits for cross-trait inspection.</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Morphology grouping</w:t>
            </w:r>
          </w:p>
        </w:tc>
        <w:tc>
          <w:tcPr>
            <w:tcW w:type="dxa" w:w="3700"/>
            <w:vAlign w:val="center"/>
            <w:tcMar>
              <w:top w:w="80" w:type="dxa"/>
              <w:start w:w="100" w:type="dxa"/>
              <w:bottom w:w="80" w:type="dxa"/>
              <w:end w:w="100" w:type="dxa"/>
            </w:tcMar>
          </w:tcPr>
          <w:p>
            <w:pPr>
              <w:spacing w:after="0"/>
            </w:pPr>
            <w:r>
              <w:rPr>
                <w:rFonts w:ascii="Calibri" w:hAnsi="Calibri"/>
                <w:b w:val="0"/>
                <w:i w:val="0"/>
                <w:color w:val="202124"/>
                <w:sz w:val="19"/>
              </w:rPr>
              <w:t>What is the average RootLength grouped by FruitShape?</w:t>
            </w:r>
          </w:p>
        </w:tc>
        <w:tc>
          <w:tcPr>
            <w:tcW w:type="dxa" w:w="3760"/>
            <w:vAlign w:val="center"/>
            <w:tcMar>
              <w:top w:w="80" w:type="dxa"/>
              <w:start w:w="100" w:type="dxa"/>
              <w:bottom w:w="80" w:type="dxa"/>
              <w:end w:w="100" w:type="dxa"/>
            </w:tcMar>
          </w:tcPr>
          <w:p>
            <w:pPr>
              <w:spacing w:after="0"/>
            </w:pPr>
            <w:r>
              <w:rPr>
                <w:rFonts w:ascii="Calibri" w:hAnsi="Calibri"/>
                <w:b w:val="0"/>
                <w:i w:val="0"/>
                <w:color w:val="202124"/>
                <w:sz w:val="19"/>
              </w:rPr>
              <w:t>Relates root performance to fruit-shape classes.</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Frequency screening</w:t>
            </w:r>
          </w:p>
        </w:tc>
        <w:tc>
          <w:tcPr>
            <w:tcW w:type="dxa" w:w="3700"/>
            <w:vAlign w:val="center"/>
            <w:tcMar>
              <w:top w:w="80" w:type="dxa"/>
              <w:start w:w="100" w:type="dxa"/>
              <w:bottom w:w="80" w:type="dxa"/>
              <w:end w:w="100" w:type="dxa"/>
            </w:tcMar>
          </w:tcPr>
          <w:p>
            <w:pPr>
              <w:spacing w:after="0"/>
            </w:pPr>
            <w:r>
              <w:rPr>
                <w:rFonts w:ascii="Calibri" w:hAnsi="Calibri"/>
                <w:b w:val="0"/>
                <w:i w:val="0"/>
                <w:color w:val="202124"/>
                <w:sz w:val="19"/>
              </w:rPr>
              <w:t>Count plants by FruitColour.</w:t>
            </w:r>
          </w:p>
        </w:tc>
        <w:tc>
          <w:tcPr>
            <w:tcW w:type="dxa" w:w="3760"/>
            <w:vAlign w:val="center"/>
            <w:tcMar>
              <w:top w:w="80" w:type="dxa"/>
              <w:start w:w="100" w:type="dxa"/>
              <w:bottom w:w="80" w:type="dxa"/>
              <w:end w:w="100" w:type="dxa"/>
            </w:tcMar>
          </w:tcPr>
          <w:p>
            <w:pPr>
              <w:spacing w:after="0"/>
            </w:pPr>
            <w:r>
              <w:rPr>
                <w:rFonts w:ascii="Calibri" w:hAnsi="Calibri"/>
                <w:b w:val="0"/>
                <w:i w:val="0"/>
                <w:color w:val="202124"/>
                <w:sz w:val="19"/>
              </w:rPr>
              <w:t>Summarizes categorical diversity in the breeding material.</w:t>
            </w:r>
          </w:p>
        </w:tc>
      </w:tr>
      <w:tr>
        <w:tc>
          <w:tcPr>
            <w:tcW w:type="dxa" w:w="1900"/>
            <w:vAlign w:val="center"/>
            <w:tcMar>
              <w:top w:w="80" w:type="dxa"/>
              <w:start w:w="100" w:type="dxa"/>
              <w:bottom w:w="80" w:type="dxa"/>
              <w:end w:w="100" w:type="dxa"/>
            </w:tcMar>
          </w:tcPr>
          <w:p>
            <w:pPr>
              <w:spacing w:after="0"/>
            </w:pPr>
            <w:r>
              <w:rPr>
                <w:rFonts w:ascii="Calibri" w:hAnsi="Calibri"/>
                <w:b w:val="0"/>
                <w:i w:val="0"/>
                <w:color w:val="202124"/>
                <w:sz w:val="19"/>
              </w:rPr>
              <w:t>Outlier exploration</w:t>
            </w:r>
          </w:p>
        </w:tc>
        <w:tc>
          <w:tcPr>
            <w:tcW w:type="dxa" w:w="3700"/>
            <w:vAlign w:val="center"/>
            <w:tcMar>
              <w:top w:w="80" w:type="dxa"/>
              <w:start w:w="100" w:type="dxa"/>
              <w:bottom w:w="80" w:type="dxa"/>
              <w:end w:w="100" w:type="dxa"/>
            </w:tcMar>
          </w:tcPr>
          <w:p>
            <w:pPr>
              <w:spacing w:after="0"/>
            </w:pPr>
            <w:r>
              <w:rPr>
                <w:rFonts w:ascii="Calibri" w:hAnsi="Calibri"/>
                <w:b w:val="0"/>
                <w:i w:val="0"/>
                <w:color w:val="202124"/>
                <w:sz w:val="19"/>
              </w:rPr>
              <w:t>Show GenotypeName, RootLength, and R_S_Ratio from Root_fst.</w:t>
            </w:r>
          </w:p>
        </w:tc>
        <w:tc>
          <w:tcPr>
            <w:tcW w:type="dxa" w:w="3760"/>
            <w:vAlign w:val="center"/>
            <w:tcMar>
              <w:top w:w="80" w:type="dxa"/>
              <w:start w:w="100" w:type="dxa"/>
              <w:bottom w:w="80" w:type="dxa"/>
              <w:end w:w="100" w:type="dxa"/>
            </w:tcMar>
          </w:tcPr>
          <w:p>
            <w:pPr>
              <w:spacing w:after="0"/>
            </w:pPr>
            <w:r>
              <w:rPr>
                <w:rFonts w:ascii="Calibri" w:hAnsi="Calibri"/>
                <w:b w:val="0"/>
                <w:i w:val="0"/>
                <w:color w:val="202124"/>
                <w:sz w:val="19"/>
              </w:rPr>
              <w:t>Supports scatter-plot review of potential outliers or selections.</w:t>
            </w:r>
          </w:p>
        </w:tc>
      </w:tr>
    </w:tbl>
    <w:p>
      <w:pPr>
        <w:spacing w:after="60"/>
      </w:pPr>
    </w:p>
    <w:p>
      <w:pPr>
        <w:pStyle w:val="Heading1"/>
        <w:spacing w:before="320" w:after="120"/>
      </w:pPr>
      <w:r>
        <w:rPr>
          <w:rFonts w:ascii="Calibri" w:hAnsi="Calibri"/>
          <w:b/>
          <w:i w:val="0"/>
          <w:color w:val="4B1C58"/>
          <w:sz w:val="32"/>
        </w:rPr>
        <w:t>8. Operating procedure</w:t>
      </w:r>
    </w:p>
    <w:p>
      <w:pPr>
        <w:pStyle w:val="ListNumber"/>
        <w:spacing w:after="80"/>
      </w:pPr>
      <w:r>
        <w:rPr>
          <w:rFonts w:ascii="Calibri" w:hAnsi="Calibri"/>
          <w:b w:val="0"/>
          <w:i w:val="0"/>
          <w:color w:val="202124"/>
          <w:sz w:val="22"/>
        </w:rPr>
        <w:t>Open the project folder in VS Code and activate the Python virtual environment.</w:t>
      </w:r>
    </w:p>
    <w:p>
      <w:pPr>
        <w:pStyle w:val="ListNumber"/>
        <w:spacing w:after="80"/>
      </w:pPr>
      <w:r>
        <w:rPr>
          <w:rFonts w:ascii="Calibri" w:hAnsi="Calibri"/>
          <w:b w:val="0"/>
          <w:i w:val="0"/>
          <w:color w:val="202124"/>
          <w:sz w:val="22"/>
        </w:rPr>
        <w:t>Ensure MySQL and the Ollama application are running.</w:t>
      </w:r>
    </w:p>
    <w:p>
      <w:pPr>
        <w:pStyle w:val="ListNumber"/>
        <w:spacing w:after="80"/>
      </w:pPr>
      <w:r>
        <w:rPr>
          <w:rFonts w:ascii="Calibri" w:hAnsi="Calibri"/>
          <w:b w:val="0"/>
          <w:i w:val="0"/>
          <w:color w:val="202124"/>
          <w:sz w:val="22"/>
        </w:rPr>
        <w:t>Start the app with `python -m streamlit run app.py`.</w:t>
      </w:r>
    </w:p>
    <w:p>
      <w:pPr>
        <w:pStyle w:val="ListNumber"/>
        <w:spacing w:after="80"/>
      </w:pPr>
      <w:r>
        <w:rPr>
          <w:rFonts w:ascii="Calibri" w:hAnsi="Calibri"/>
          <w:b w:val="0"/>
          <w:i w:val="0"/>
          <w:color w:val="202124"/>
          <w:sz w:val="22"/>
        </w:rPr>
        <w:t>Ask one plain-English question at a time, by typing or voice recording.</w:t>
      </w:r>
    </w:p>
    <w:p>
      <w:pPr>
        <w:pStyle w:val="ListNumber"/>
        <w:spacing w:after="80"/>
      </w:pPr>
      <w:r>
        <w:rPr>
          <w:rFonts w:ascii="Calibri" w:hAnsi="Calibri"/>
          <w:b w:val="0"/>
          <w:i w:val="0"/>
          <w:color w:val="202124"/>
          <w:sz w:val="22"/>
        </w:rPr>
        <w:t>Review the expandable SQL statement during early testing, then inspect the table and chart.</w:t>
      </w:r>
    </w:p>
    <w:p>
      <w:pPr>
        <w:pStyle w:val="ListNumber"/>
        <w:spacing w:after="80"/>
      </w:pPr>
      <w:r>
        <w:rPr>
          <w:rFonts w:ascii="Calibri" w:hAnsi="Calibri"/>
          <w:b w:val="0"/>
          <w:i w:val="0"/>
          <w:color w:val="202124"/>
          <w:sz w:val="22"/>
        </w:rPr>
        <w:t>If results appear incorrect, check the database schema in the sidebar and rephrase with exact table/trait names.</w:t>
      </w:r>
    </w:p>
    <w:p>
      <w:pPr>
        <w:pStyle w:val="Heading1"/>
        <w:spacing w:before="320" w:after="120"/>
      </w:pPr>
      <w:r>
        <w:rPr>
          <w:rFonts w:ascii="Calibri" w:hAnsi="Calibri"/>
          <w:b/>
          <w:i w:val="0"/>
          <w:color w:val="4B1C58"/>
          <w:sz w:val="32"/>
        </w:rPr>
        <w:t>9. Limitations and next improvements</w:t>
      </w:r>
    </w:p>
    <w:p>
      <w:pPr>
        <w:pStyle w:val="ListBullet"/>
        <w:spacing w:after="80" w:line="264" w:lineRule="auto"/>
      </w:pPr>
      <w:r>
        <w:rPr>
          <w:rFonts w:ascii="Calibri" w:hAnsi="Calibri"/>
          <w:b w:val="0"/>
          <w:i w:val="0"/>
          <w:color w:val="202124"/>
          <w:sz w:val="22"/>
        </w:rPr>
        <w:t>Small local models can still select an incorrect valid column or propose an inappropriate join. Users should review generated SQL during validation.</w:t>
      </w:r>
    </w:p>
    <w:p>
      <w:pPr>
        <w:pStyle w:val="ListBullet"/>
        <w:spacing w:after="80" w:line="264" w:lineRule="auto"/>
      </w:pPr>
      <w:r>
        <w:rPr>
          <w:rFonts w:ascii="Calibri" w:hAnsi="Calibri"/>
          <w:b w:val="0"/>
          <w:i w:val="0"/>
          <w:color w:val="202124"/>
          <w:sz w:val="22"/>
        </w:rPr>
        <w:t>The current voice model is English-focused. Multilingual use would require a multilingual Whisper model and testing with field terminology.</w:t>
      </w:r>
    </w:p>
    <w:p>
      <w:pPr>
        <w:pStyle w:val="ListBullet"/>
        <w:spacing w:after="80" w:line="264" w:lineRule="auto"/>
      </w:pPr>
      <w:r>
        <w:rPr>
          <w:rFonts w:ascii="Calibri" w:hAnsi="Calibri"/>
          <w:b w:val="0"/>
          <w:i w:val="0"/>
          <w:color w:val="202124"/>
          <w:sz w:val="22"/>
        </w:rPr>
        <w:t>The current app keeps the latest answer in the session. Persistent conversation history, saved query bookmarks, and user authentication are future enhancements.</w:t>
      </w:r>
    </w:p>
    <w:p>
      <w:pPr>
        <w:pStyle w:val="ListBullet"/>
        <w:spacing w:after="80" w:line="264" w:lineRule="auto"/>
      </w:pPr>
      <w:r>
        <w:rPr>
          <w:rFonts w:ascii="Calibri" w:hAnsi="Calibri"/>
          <w:b w:val="0"/>
          <w:i w:val="0"/>
          <w:color w:val="202124"/>
          <w:sz w:val="22"/>
        </w:rPr>
        <w:t>A breeding-specific data dictionary could define trial stages, environments, replications, units, and trait meanings to improve scientific interpretation.</w:t>
      </w:r>
    </w:p>
    <w:p>
      <w:pPr>
        <w:pStyle w:val="Heading1"/>
        <w:spacing w:before="320" w:after="120"/>
      </w:pPr>
      <w:r>
        <w:rPr>
          <w:rFonts w:ascii="Calibri" w:hAnsi="Calibri"/>
          <w:b/>
          <w:i w:val="0"/>
          <w:color w:val="4B1C58"/>
          <w:sz w:val="32"/>
        </w:rPr>
        <w:t>10. Security and governance</w:t>
      </w:r>
    </w:p>
    <w:p>
      <w:pPr>
        <w:spacing w:before="0" w:after="120" w:line="264" w:lineRule="auto"/>
      </w:pPr>
      <w:r>
        <w:rPr>
          <w:rFonts w:ascii="Calibri" w:hAnsi="Calibri"/>
          <w:b w:val="0"/>
          <w:i w:val="0"/>
          <w:color w:val="202124"/>
          <w:sz w:val="22"/>
        </w:rPr>
        <w:t>The design uses defense in depth. The database account must have SELECT-only access. The application rejects write-oriented SQL and multi-statement input, parses SQL before execution, and limits results. These safeguards reduce risk but do not replace normal database administration, backups, access control, or scientific data-quality review.</w:t>
      </w:r>
    </w:p>
    <w:p>
      <w:pPr>
        <w:pStyle w:val="Heading1"/>
        <w:spacing w:before="320" w:after="120"/>
      </w:pPr>
      <w:r>
        <w:rPr>
          <w:rFonts w:ascii="Calibri" w:hAnsi="Calibri"/>
          <w:b/>
          <w:i w:val="0"/>
          <w:color w:val="4B1C58"/>
          <w:sz w:val="32"/>
        </w:rPr>
        <w:t>Appendix: example SQL pattern</w:t>
      </w:r>
    </w:p>
    <w:p>
      <w:pPr>
        <w:spacing w:before="40" w:after="80" w:line="264" w:lineRule="auto"/>
        <w:ind w:left="288" w:right="288"/>
      </w:pPr>
      <w:r>
        <w:rPr>
          <w:rFonts w:ascii="Consolas" w:hAnsi="Consolas"/>
          <w:color w:val="30173D"/>
          <w:sz w:val="19"/>
        </w:rPr>
        <w:t>SELECT rf.GenotypeName, rf.RootLength, pf.SPAD</w:t>
        <w:br/>
      </w:r>
      <w:r>
        <w:rPr>
          <w:rFonts w:ascii="Consolas" w:hAnsi="Consolas"/>
          <w:color w:val="30173D"/>
          <w:sz w:val="19"/>
        </w:rPr>
        <w:t>FROM Root_fst AS rf</w:t>
        <w:br/>
      </w:r>
      <w:r>
        <w:rPr>
          <w:rFonts w:ascii="Consolas" w:hAnsi="Consolas"/>
          <w:color w:val="30173D"/>
          <w:sz w:val="19"/>
        </w:rPr>
        <w:t>INNER JOIN phy_fst AS pf ON rf.GenotypeName = pf.GenotypeName</w:t>
        <w:br/>
      </w:r>
      <w:r>
        <w:rPr>
          <w:rFonts w:ascii="Consolas" w:hAnsi="Consolas"/>
          <w:color w:val="30173D"/>
          <w:sz w:val="19"/>
        </w:rPr>
        <w:t>ORDER BY rf.RootLength DESC</w:t>
        <w:br/>
      </w:r>
      <w:r>
        <w:rPr>
          <w:rFonts w:ascii="Consolas" w:hAnsi="Consolas"/>
          <w:color w:val="30173D"/>
          <w:sz w:val="19"/>
        </w:rPr>
        <w:t>LIMIT 200;</w:t>
        <w:br/>
      </w:r>
    </w:p>
    <w:p>
      <w:pPr>
        <w:spacing w:before="0" w:after="0" w:line="264" w:lineRule="auto"/>
      </w:pPr>
      <w:r>
        <w:rPr>
          <w:rFonts w:ascii="Calibri" w:hAnsi="Calibri"/>
          <w:b w:val="0"/>
          <w:i w:val="0"/>
          <w:color w:val="5F6368"/>
          <w:sz w:val="17"/>
        </w:rPr>
        <w:t>Image credit: J.E. Fee, ‘Three Types of Eggplant,’ Wikimedia Commons, CC BY 2.0.</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F6368"/>
        <w:sz w:val="17"/>
      </w:rPr>
      <w:t>Brinjal Insights | Local plant-breeding analytics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B1C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017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