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sz w:val="24"/>
        </w:rPr>
        <w:t>III. METHODOLOGY</w:t>
      </w:r>
    </w:p>
    <w:p>
      <w:pPr>
        <w:spacing w:before="120" w:after="60"/>
      </w:pPr>
      <w:r>
        <w:rPr>
          <w:rFonts w:ascii="Times New Roman" w:hAnsi="Times New Roman"/>
          <w:b/>
          <w:sz w:val="22"/>
        </w:rPr>
        <w:t>A. Framework Overview and Problem Formulation</w:t>
      </w:r>
    </w:p>
    <w:p>
      <w:pPr>
        <w:spacing w:after="120"/>
      </w:pPr>
      <w:r>
        <w:t>This work proposes a controlled-autonomy SOC framework in which machine learning is used for intrusion detection, while operational decisions are governed by a safety-aware agentic layer. The system is designed to process network flow records, identify malicious traffic, group related alerts into incidents, enrich incidents with severity, and decide whether the case can be handled automatically or must be escalated to a human analyst. The central objective is not full automation, but bounded automation with human oversight for uncertain or high-risk cases. This reflects the implementation, where detection, correlation, enrichment, and escalation are executed as distinct stages within the agentic workflow.</w:t>
      </w:r>
    </w:p>
    <w:p>
      <w:pPr>
        <w:spacing w:before="120" w:after="60"/>
      </w:pPr>
      <w:r>
        <w:rPr>
          <w:rFonts w:ascii="Times New Roman" w:hAnsi="Times New Roman"/>
          <w:b/>
          <w:sz w:val="22"/>
        </w:rPr>
        <w:t>B. Dataset and Preprocessing</w:t>
      </w:r>
    </w:p>
    <w:p>
      <w:pPr>
        <w:spacing w:after="120"/>
      </w:pPr>
      <w:r>
        <w:t>The experimental dataset is the CIC-IDS2017 Flow-Based Intrusion Detection Dataset, developed by the Canadian Institute for Cybersecurity (CIC) at the University of New Brunswick. This benchmark dataset was created by Dr. Iman Sharafaldin, Dr. Arash Habibi Lashkari, and Dr. Ali Ghorbani. The dataset is organized in parquet format with all data types correctly configured and zero missing records. It includes network traffic from multiple attack categories: botnet, brute-force, DDoS, DoS, infiltration, port-scan, and web-attack, alongside benign traffic samples.</w:t>
      </w:r>
    </w:p>
    <w:p>
      <w:pPr>
        <w:spacing w:after="120"/>
      </w:pPr>
      <w:r>
        <w:t>Data preprocessing follows a standardized pipeline: features are converted to numeric form, invalid values are removed, and labels are normalized into a binary target space (label 0 for benign traffic, label 1 for all attack traffic). To ensure computational feasibility while preserving large-scale diversity, the final working set is capped at 500,000 samples. This setting supports both predictive evaluation and realistic SOC-scale processing. Prior research has demonstrated that a simple ensembled OneR model achieves an AUROC score of 0.932 on this dataset, establishing a baseline for comparison.</w:t>
      </w:r>
    </w:p>
    <w:p>
      <w:pPr>
        <w:spacing w:before="120" w:after="60"/>
      </w:pPr>
      <w:r>
        <w:rPr>
          <w:rFonts w:ascii="Times New Roman" w:hAnsi="Times New Roman"/>
          <w:b/>
          <w:sz w:val="22"/>
        </w:rPr>
        <w:t>C. Detection Models and Feature Subset Design</w:t>
      </w:r>
    </w:p>
    <w:p>
      <w:pPr>
        <w:spacing w:after="120"/>
      </w:pPr>
      <w:r>
        <w:t>Three detectors are evaluated under the same evaluation protocol: Isolation Forest as an unsupervised baseline, Random Forest with SMOTE as a supervised ensemble baseline, and XGBoost with SMOTE as the primary detector. Standardization is applied before training, and SMOTE is used on the training split to address class imbalance. To study the effect of observation richness on performance and runtime, the paper compares three feature configurations: Baseline-5, Top-10, and Top-20, where the latter two are derived from tree-based importance ranking. This design allows the paper to assess whether performance gains justify the additional input complexity.</w:t>
      </w:r>
    </w:p>
    <w:p/>
    <w:tbl>
      <w:tblPr>
        <w:tblStyle w:val="LightGrid-Accent1"/>
        <w:tblW w:type="auto" w:w="0"/>
        <w:tblLayout w:type="fixed"/>
        <w:tblLook w:firstColumn="1" w:firstRow="1" w:lastColumn="0" w:lastRow="0" w:noHBand="0" w:noVBand="1" w:val="04A0"/>
      </w:tblPr>
      <w:tblGrid>
        <w:gridCol w:w="3120"/>
        <w:gridCol w:w="3120"/>
        <w:gridCol w:w="3120"/>
      </w:tblGrid>
      <w:tr>
        <w:tc>
          <w:tcPr>
            <w:tcW w:type="dxa" w:w="2880"/>
          </w:tcPr>
          <w:p>
            <w:r>
              <w:rPr>
                <w:b/>
                <w:sz w:val="20"/>
              </w:rPr>
              <w:t>Component</w:t>
            </w:r>
          </w:p>
        </w:tc>
        <w:tc>
          <w:tcPr>
            <w:tcW w:type="dxa" w:w="2592"/>
          </w:tcPr>
          <w:p>
            <w:r>
              <w:rPr>
                <w:b/>
                <w:sz w:val="20"/>
              </w:rPr>
              <w:t>Configuration</w:t>
            </w:r>
          </w:p>
        </w:tc>
        <w:tc>
          <w:tcPr>
            <w:tcW w:type="dxa" w:w="2880"/>
          </w:tcPr>
          <w:p>
            <w:r>
              <w:rPr>
                <w:b/>
                <w:sz w:val="20"/>
              </w:rPr>
              <w:t>Purpose</w:t>
            </w:r>
          </w:p>
        </w:tc>
      </w:tr>
      <w:tr>
        <w:tc>
          <w:tcPr>
            <w:tcW w:type="dxa" w:w="2880"/>
          </w:tcPr>
          <w:p>
            <w:r>
              <w:rPr>
                <w:sz w:val="20"/>
              </w:rPr>
              <w:t>Baseline detector</w:t>
            </w:r>
          </w:p>
        </w:tc>
        <w:tc>
          <w:tcPr>
            <w:tcW w:type="dxa" w:w="2592"/>
          </w:tcPr>
          <w:p>
            <w:r>
              <w:rPr>
                <w:sz w:val="20"/>
              </w:rPr>
              <w:t>Isolation Forest</w:t>
            </w:r>
          </w:p>
        </w:tc>
        <w:tc>
          <w:tcPr>
            <w:tcW w:type="dxa" w:w="2880"/>
          </w:tcPr>
          <w:p>
            <w:r>
              <w:rPr>
                <w:sz w:val="20"/>
              </w:rPr>
              <w:t>Unsupervised anomaly comparison</w:t>
            </w:r>
          </w:p>
        </w:tc>
      </w:tr>
      <w:tr>
        <w:tc>
          <w:tcPr>
            <w:tcW w:type="dxa" w:w="2880"/>
          </w:tcPr>
          <w:p>
            <w:r>
              <w:rPr>
                <w:sz w:val="20"/>
              </w:rPr>
              <w:t>Supervised baseline</w:t>
            </w:r>
          </w:p>
        </w:tc>
        <w:tc>
          <w:tcPr>
            <w:tcW w:type="dxa" w:w="2592"/>
          </w:tcPr>
          <w:p>
            <w:r>
              <w:rPr>
                <w:sz w:val="20"/>
              </w:rPr>
              <w:t>Random Forest + SMOTE</w:t>
            </w:r>
          </w:p>
        </w:tc>
        <w:tc>
          <w:tcPr>
            <w:tcW w:type="dxa" w:w="2880"/>
          </w:tcPr>
          <w:p>
            <w:r>
              <w:rPr>
                <w:sz w:val="20"/>
              </w:rPr>
              <w:t>Balanced tree-ensemble benchmark</w:t>
            </w:r>
          </w:p>
        </w:tc>
      </w:tr>
      <w:tr>
        <w:tc>
          <w:tcPr>
            <w:tcW w:type="dxa" w:w="2880"/>
          </w:tcPr>
          <w:p>
            <w:r>
              <w:rPr>
                <w:sz w:val="20"/>
              </w:rPr>
              <w:t>Main detector</w:t>
            </w:r>
          </w:p>
        </w:tc>
        <w:tc>
          <w:tcPr>
            <w:tcW w:type="dxa" w:w="2592"/>
          </w:tcPr>
          <w:p>
            <w:r>
              <w:rPr>
                <w:sz w:val="20"/>
              </w:rPr>
              <w:t>XGBoost + SMOTE</w:t>
            </w:r>
          </w:p>
        </w:tc>
        <w:tc>
          <w:tcPr>
            <w:tcW w:type="dxa" w:w="2880"/>
          </w:tcPr>
          <w:p>
            <w:r>
              <w:rPr>
                <w:sz w:val="20"/>
              </w:rPr>
              <w:t>Primary high-performance IDS</w:t>
            </w:r>
          </w:p>
        </w:tc>
      </w:tr>
      <w:tr>
        <w:tc>
          <w:tcPr>
            <w:tcW w:type="dxa" w:w="2880"/>
          </w:tcPr>
          <w:p>
            <w:r>
              <w:rPr>
                <w:sz w:val="20"/>
              </w:rPr>
              <w:t>Feature setting 1</w:t>
            </w:r>
          </w:p>
        </w:tc>
        <w:tc>
          <w:tcPr>
            <w:tcW w:type="dxa" w:w="2592"/>
          </w:tcPr>
          <w:p>
            <w:r>
              <w:rPr>
                <w:sz w:val="20"/>
              </w:rPr>
              <w:t>Baseline-5</w:t>
            </w:r>
          </w:p>
        </w:tc>
        <w:tc>
          <w:tcPr>
            <w:tcW w:type="dxa" w:w="2880"/>
          </w:tcPr>
          <w:p>
            <w:r>
              <w:rPr>
                <w:sz w:val="20"/>
              </w:rPr>
              <w:t>Lightweight reference point</w:t>
            </w:r>
          </w:p>
        </w:tc>
      </w:tr>
      <w:tr>
        <w:tc>
          <w:tcPr>
            <w:tcW w:type="dxa" w:w="2880"/>
          </w:tcPr>
          <w:p>
            <w:r>
              <w:rPr>
                <w:sz w:val="20"/>
              </w:rPr>
              <w:t>Feature setting 2</w:t>
            </w:r>
          </w:p>
        </w:tc>
        <w:tc>
          <w:tcPr>
            <w:tcW w:type="dxa" w:w="2592"/>
          </w:tcPr>
          <w:p>
            <w:r>
              <w:rPr>
                <w:sz w:val="20"/>
              </w:rPr>
              <w:t>Top-10</w:t>
            </w:r>
          </w:p>
        </w:tc>
        <w:tc>
          <w:tcPr>
            <w:tcW w:type="dxa" w:w="2880"/>
          </w:tcPr>
          <w:p>
            <w:r>
              <w:rPr>
                <w:sz w:val="20"/>
              </w:rPr>
              <w:t>Medium-complexity subset</w:t>
            </w:r>
          </w:p>
        </w:tc>
      </w:tr>
      <w:tr>
        <w:tc>
          <w:tcPr>
            <w:tcW w:type="dxa" w:w="2880"/>
          </w:tcPr>
          <w:p>
            <w:r>
              <w:rPr>
                <w:sz w:val="20"/>
              </w:rPr>
              <w:t>Feature setting 3</w:t>
            </w:r>
          </w:p>
        </w:tc>
        <w:tc>
          <w:tcPr>
            <w:tcW w:type="dxa" w:w="2592"/>
          </w:tcPr>
          <w:p>
            <w:r>
              <w:rPr>
                <w:sz w:val="20"/>
              </w:rPr>
              <w:t>Top-20</w:t>
            </w:r>
          </w:p>
        </w:tc>
        <w:tc>
          <w:tcPr>
            <w:tcW w:type="dxa" w:w="2880"/>
          </w:tcPr>
          <w:p>
            <w:r>
              <w:rPr>
                <w:sz w:val="20"/>
              </w:rPr>
              <w:t>Richest compact subset</w:t>
            </w:r>
          </w:p>
        </w:tc>
      </w:tr>
      <w:tr>
        <w:tc>
          <w:tcPr>
            <w:tcW w:type="dxa" w:w="2880"/>
          </w:tcPr>
          <w:p>
            <w:r>
              <w:rPr>
                <w:sz w:val="20"/>
              </w:rPr>
            </w:r>
          </w:p>
        </w:tc>
        <w:tc>
          <w:tcPr>
            <w:tcW w:type="dxa" w:w="2592"/>
          </w:tcPr>
          <w:p>
            <w:r>
              <w:rPr>
                <w:sz w:val="20"/>
              </w:rPr>
            </w:r>
          </w:p>
        </w:tc>
        <w:tc>
          <w:tcPr>
            <w:tcW w:type="dxa" w:w="2880"/>
          </w:tcPr>
          <w:p>
            <w:r>
              <w:rPr>
                <w:sz w:val="20"/>
              </w:rPr>
            </w:r>
          </w:p>
        </w:tc>
      </w:tr>
    </w:tbl>
    <w:p>
      <w:pPr>
        <w:spacing w:before="60"/>
        <w:jc w:val="center"/>
      </w:pPr>
      <w:r>
        <w:rPr>
          <w:i/>
          <w:sz w:val="18"/>
        </w:rPr>
        <w:t>TABLE I. MODEL AND FEATURE-SUBSET CONFIGURATION</w:t>
      </w:r>
    </w:p>
    <w:p>
      <w:pPr>
        <w:spacing w:before="180" w:after="60"/>
      </w:pPr>
      <w:r>
        <w:rPr>
          <w:rFonts w:ascii="Times New Roman" w:hAnsi="Times New Roman"/>
          <w:b/>
          <w:sz w:val="22"/>
        </w:rPr>
        <w:t>D. Agentic SOC Workflow and Safety-Aware Escalation</w:t>
      </w:r>
    </w:p>
    <w:p>
      <w:pPr>
        <w:spacing w:after="120"/>
      </w:pPr>
      <w:r>
        <w:t>The proposed SOC pipeline is organized into four logical agents. The Log Analysis Agent predicts whether each flow is anomalous and assigns a confidence score. The Correlation Agent aggregates related alerts into incidents by grouping events that share source IP, destination IP, port, and risk bucket. The Threat Enrichment Agent assigns a severity label using incident density and anomaly strength. Finally, the Escalation Agent decides whether the incident should be automatically handled or escalated to a human analyst. This decomposition is the main originality of the paper because it converts a classifier into an operational SOC workflow rather than stopping at a prediction output.</w:t>
      </w:r>
    </w:p>
    <w:p>
      <w:pPr>
        <w:spacing w:after="120"/>
      </w:pPr>
      <w:r>
        <w:t>The escalation policy enforces bounded autonomy through explicit safety thresholds: cases are routed to Human-In-The-Loop (HITL) review if severity is critical, if confidence falls below threshold τc, or if novelty is above threshold τn. All other cases are automatically handled (AUTO). Novelty is computed from incident structure, including event count, average anomaly score, and risk bucket. This makes the framework conservative by design: only low-risk, high-confidence, low-novelty incidents are eligible for automation, while all ambiguous or severe cases are routed to human review.</w:t>
      </w:r>
    </w:p>
    <w:p>
      <w:pPr>
        <w:spacing w:before="120" w:after="60"/>
      </w:pPr>
      <w:r>
        <w:rPr>
          <w:rFonts w:ascii="Times New Roman" w:hAnsi="Times New Roman"/>
          <w:b/>
          <w:sz w:val="22"/>
        </w:rPr>
        <w:t>E. Robustness, Explainability, and Evaluation</w:t>
      </w:r>
    </w:p>
    <w:p>
      <w:pPr>
        <w:spacing w:after="120"/>
      </w:pPr>
      <w:r>
        <w:t>To assess deployment readiness, the framework includes robustness, latency, and explainability analysis. Robustness is tested using Gaussian perturbation and adversarial evasion simulations, where feature values are perturbed and the resulting F1 degradation and evasion rates are measured. Latency is tracked across training and inference to verify near-real-time suitability for SOC workloads. For incidents escalated to human analysts, SHAP is used to provide local feature-level explanations so that the alert can be justified and reviewed transparently. The evaluation therefore covers not only classification performance, but also resilience, operational efficiency, and analyst-facing interpretability.</w:t>
      </w:r>
    </w:p>
    <w:tbl>
      <w:tblPr>
        <w:tblStyle w:val="LightGrid-Accent1"/>
        <w:tblW w:type="auto" w:w="0"/>
        <w:tblLook w:firstColumn="1" w:firstRow="1" w:lastColumn="0" w:lastRow="0" w:noHBand="0" w:noVBand="1" w:val="04A0"/>
      </w:tblPr>
      <w:tblGrid>
        <w:gridCol w:w="4680"/>
        <w:gridCol w:w="4680"/>
      </w:tblGrid>
      <w:tr>
        <w:tc>
          <w:tcPr>
            <w:tcW w:type="dxa" w:w="4680"/>
          </w:tcPr>
          <w:p>
            <w:r>
              <w:rPr>
                <w:b/>
                <w:sz w:val="20"/>
              </w:rPr>
              <w:t>Dimension</w:t>
            </w:r>
          </w:p>
        </w:tc>
        <w:tc>
          <w:tcPr>
            <w:tcW w:type="dxa" w:w="4680"/>
          </w:tcPr>
          <w:p>
            <w:r>
              <w:rPr>
                <w:b/>
                <w:sz w:val="20"/>
              </w:rPr>
              <w:t>Measured Aspect</w:t>
            </w:r>
          </w:p>
        </w:tc>
      </w:tr>
      <w:tr>
        <w:tc>
          <w:tcPr>
            <w:tcW w:type="dxa" w:w="4680"/>
          </w:tcPr>
          <w:p>
            <w:r>
              <w:rPr>
                <w:sz w:val="20"/>
              </w:rPr>
              <w:t>Detection quality</w:t>
            </w:r>
          </w:p>
        </w:tc>
        <w:tc>
          <w:tcPr>
            <w:tcW w:type="dxa" w:w="4680"/>
          </w:tcPr>
          <w:p>
            <w:r>
              <w:rPr>
                <w:sz w:val="20"/>
              </w:rPr>
              <w:t>Accuracy, Precision, Recall, F1</w:t>
            </w:r>
          </w:p>
        </w:tc>
      </w:tr>
      <w:tr>
        <w:tc>
          <w:tcPr>
            <w:tcW w:type="dxa" w:w="4680"/>
          </w:tcPr>
          <w:p>
            <w:r>
              <w:rPr>
                <w:sz w:val="20"/>
              </w:rPr>
              <w:t>Generalization</w:t>
            </w:r>
          </w:p>
        </w:tc>
        <w:tc>
          <w:tcPr>
            <w:tcW w:type="dxa" w:w="4680"/>
          </w:tcPr>
          <w:p>
            <w:r>
              <w:rPr>
                <w:sz w:val="20"/>
              </w:rPr>
              <w:t>3-fold cross-validation</w:t>
            </w:r>
          </w:p>
        </w:tc>
      </w:tr>
      <w:tr>
        <w:tc>
          <w:tcPr>
            <w:tcW w:type="dxa" w:w="4680"/>
          </w:tcPr>
          <w:p>
            <w:r>
              <w:rPr>
                <w:sz w:val="20"/>
              </w:rPr>
              <w:t>Operational safety</w:t>
            </w:r>
          </w:p>
        </w:tc>
        <w:tc>
          <w:tcPr>
            <w:tcW w:type="dxa" w:w="4680"/>
          </w:tcPr>
          <w:p>
            <w:r>
              <w:rPr>
                <w:sz w:val="20"/>
              </w:rPr>
              <w:t>AUTO rate, HITL rate, incident precision</w:t>
            </w:r>
          </w:p>
        </w:tc>
      </w:tr>
      <w:tr>
        <w:tc>
          <w:tcPr>
            <w:tcW w:type="dxa" w:w="4680"/>
          </w:tcPr>
          <w:p>
            <w:r>
              <w:rPr>
                <w:sz w:val="20"/>
              </w:rPr>
              <w:t>Efficiency</w:t>
            </w:r>
          </w:p>
        </w:tc>
        <w:tc>
          <w:tcPr>
            <w:tcW w:type="dxa" w:w="4680"/>
          </w:tcPr>
          <w:p>
            <w:r>
              <w:rPr>
                <w:sz w:val="20"/>
              </w:rPr>
              <w:t>Training and inference latency</w:t>
            </w:r>
          </w:p>
        </w:tc>
      </w:tr>
      <w:tr>
        <w:tc>
          <w:tcPr>
            <w:tcW w:type="dxa" w:w="4680"/>
          </w:tcPr>
          <w:p>
            <w:r>
              <w:rPr>
                <w:sz w:val="20"/>
              </w:rPr>
              <w:t>Robustness</w:t>
            </w:r>
          </w:p>
        </w:tc>
        <w:tc>
          <w:tcPr>
            <w:tcW w:type="dxa" w:w="4680"/>
          </w:tcPr>
          <w:p>
            <w:r>
              <w:rPr>
                <w:sz w:val="20"/>
              </w:rPr>
              <w:t>Gaussian noise, adversarial evasion</w:t>
            </w:r>
          </w:p>
        </w:tc>
      </w:tr>
      <w:tr>
        <w:tc>
          <w:tcPr>
            <w:tcW w:type="dxa" w:w="4680"/>
          </w:tcPr>
          <w:p>
            <w:r>
              <w:rPr>
                <w:sz w:val="20"/>
              </w:rPr>
              <w:t>Interpretability</w:t>
            </w:r>
          </w:p>
        </w:tc>
        <w:tc>
          <w:tcPr>
            <w:tcW w:type="dxa" w:w="4680"/>
          </w:tcPr>
          <w:p>
            <w:r>
              <w:rPr>
                <w:sz w:val="20"/>
              </w:rPr>
              <w:t>SHAP-based incident explanations</w:t>
            </w:r>
          </w:p>
        </w:tc>
      </w:tr>
    </w:tbl>
    <w:p>
      <w:pPr>
        <w:spacing w:before="60"/>
        <w:jc w:val="center"/>
      </w:pPr>
      <w:r>
        <w:rPr>
          <w:i/>
          <w:sz w:val="18"/>
        </w:rPr>
        <w:t>TABLE II. EVALUATION DIMENSIONS</w:t>
      </w:r>
    </w:p>
    <w:p>
      <w:r>
        <w:br w:type="page"/>
      </w:r>
    </w:p>
    <w:p>
      <w:pPr>
        <w:spacing w:before="240" w:after="120"/>
      </w:pPr>
      <w:r>
        <w:rPr>
          <w:rFonts w:ascii="Times New Roman" w:hAnsi="Times New Roman"/>
          <w:b/>
          <w:sz w:val="24"/>
        </w:rPr>
        <w:t>IV. RESULTS AND DISCUSSION</w:t>
      </w:r>
    </w:p>
    <w:p>
      <w:pPr>
        <w:spacing w:before="120" w:after="60"/>
      </w:pPr>
      <w:r>
        <w:rPr>
          <w:rFonts w:ascii="Times New Roman" w:hAnsi="Times New Roman"/>
          <w:b/>
          <w:sz w:val="22"/>
        </w:rPr>
        <w:t>A. Overall Detection Performance</w:t>
      </w:r>
    </w:p>
    <w:p>
      <w:pPr>
        <w:spacing w:after="120"/>
      </w:pPr>
      <w:r>
        <w:t>The first set of experiments evaluates the three detectors on the hold-out test set under the same preprocessing and evaluation protocol. Among the supervised models, XGBoost + SMOTE achieves the strongest overall performance, with 98.87% accuracy and 0.9617 F1-score, outperforming Random Forest + SMOTE, which reaches 98.55% accuracy and 0.9507 F1-score. In contrast, Isolation Forest performs substantially worse in this binary intrusion setting, obtaining only 72.09% accuracy and 0.0496 F1-score, which confirms that the supervised balanced-learning pipeline is much more suitable for this task. The confusion matrices further show that XGBoost produces fewer false negatives and false positives than Random Forest, making it the most reliable detector for downstream SOC automation.</w:t>
      </w:r>
    </w:p>
    <w:p>
      <w:pPr>
        <w:spacing w:before="60" w:after="60"/>
      </w:pPr>
      <w:r>
        <w:rPr>
          <w:i/>
          <w:sz w:val="18"/>
        </w:rPr>
        <w:t>[FIGURE 1: Model Performance Comparison - Accuracy and F1-Score across Isolation Forest, Random Forest + SMOTE, and XGBoost + SMOTE on Hold-Out Test Set]</w:t>
      </w:r>
    </w:p>
    <w:p>
      <w:pPr>
        <w:spacing w:after="120"/>
      </w:pPr>
      <w:r>
        <w:rPr>
          <w:i/>
          <w:sz w:val="18"/>
        </w:rPr>
        <w:t>[FIGURE 2: Confusion Matrices for the Three Detectors on the Test Split]</w:t>
      </w:r>
    </w:p>
    <w:p>
      <w:pPr>
        <w:spacing w:before="120" w:after="60"/>
      </w:pPr>
      <w:r>
        <w:rPr>
          <w:rFonts w:ascii="Times New Roman" w:hAnsi="Times New Roman"/>
          <w:b/>
          <w:sz w:val="22"/>
        </w:rPr>
        <w:t>B. Cross-Validation and Generalization</w:t>
      </w:r>
    </w:p>
    <w:p>
      <w:pPr>
        <w:spacing w:after="120"/>
      </w:pPr>
      <w:r>
        <w:t>The 3-fold cross-validation results confirm the same trend observed on the hold-out test set. XGBoost obtains the highest mean F1-score of 0.9631 ± 0.0040, while Random Forest + SMOTE follows with 0.9476 ± 0.0044. Isolation Forest does not yield meaningful cross-validation F1 values in this binary supervised evaluation, which is consistent with its weak test-set behavior. The narrow spread of the supervised models indicates stable generalization across folds, supporting the robustness of the training pipeline.</w:t>
      </w:r>
    </w:p>
    <w:p>
      <w:pPr>
        <w:spacing w:after="120"/>
      </w:pPr>
      <w:r>
        <w:rPr>
          <w:i/>
          <w:sz w:val="18"/>
        </w:rPr>
        <w:t>[FIGURE 3: Three-Fold Cross-Validation F1 Scores for the Evaluated Models]</w:t>
      </w:r>
    </w:p>
    <w:p>
      <w:pPr>
        <w:spacing w:before="120" w:after="60"/>
      </w:pPr>
      <w:r>
        <w:rPr>
          <w:rFonts w:ascii="Times New Roman" w:hAnsi="Times New Roman"/>
          <w:b/>
          <w:sz w:val="22"/>
        </w:rPr>
        <w:t>C. Feature Subset Study</w:t>
      </w:r>
    </w:p>
    <w:p>
      <w:pPr>
        <w:spacing w:after="120"/>
      </w:pPr>
      <w:r>
        <w:t>The feature subset experiments reveal an important trade-off between compact representation and predictive strength. The Top-20 feature subset delivers the best results for both supervised models, with XGBoost reaching 0.9817 F1-score and 0.9946 accuracy, and Random Forest reaching 0.9778 F1-score and 0.9935 accuracy. Compared with the Baseline-5 setting, the richer Top-20 subset provides a clear gain in both accuracy and F1, which indicates that the additional flow-statistical descriptors improve discrimination between benign and malicious traffic. The Top-10 subset, however, does not outperform the baseline, suggesting that a small intermediate feature budget is not always sufficient for this dataset. This makes the feature study practically useful for SOC deployment, because it shows where compactness begins to hurt performance.</w:t>
      </w:r>
    </w:p>
    <w:p>
      <w:pPr>
        <w:spacing w:after="120"/>
      </w:pPr>
      <w:r>
        <w:rPr>
          <w:i/>
          <w:sz w:val="18"/>
        </w:rPr>
        <w:t>[FIGURE 4: Performance of Baseline-5, Top-10, and Top-20 Feature Configurations]</w:t>
      </w:r>
    </w:p>
    <w:p>
      <w:pPr>
        <w:spacing w:before="120" w:after="60"/>
      </w:pPr>
      <w:r>
        <w:rPr>
          <w:rFonts w:ascii="Times New Roman" w:hAnsi="Times New Roman"/>
          <w:b/>
          <w:sz w:val="22"/>
        </w:rPr>
        <w:t>D. Latency and Real-Time Feasibility</w:t>
      </w:r>
    </w:p>
    <w:p>
      <w:pPr>
        <w:spacing w:after="120"/>
      </w:pPr>
      <w:r>
        <w:t>Latency measurements show that the proposed framework is feasible for near-real-time SOC use, especially when using XGBoost. The reported full-test inference time is lowest for XGBoost at 318.688 ms, compared with 704.687 ms for Random Forest and 1459.233 ms for Isolation Forest. At the per-sample level, XGBoost also remains the fastest on average, with an inference time of about 1.992 ms, whereas Random Forest and Isolation Forest are slower. Training time follows a similar pattern, with XGBoost training in about 4.994 s, much faster than Random Forest at 81.402 s. These results make XGBoost the most balanced choice for both accuracy and deployment efficiency.</w:t>
      </w:r>
    </w:p>
    <w:p>
      <w:pPr>
        <w:spacing w:after="120"/>
      </w:pPr>
      <w:r>
        <w:rPr>
          <w:i/>
          <w:sz w:val="18"/>
        </w:rPr>
        <w:t>[FIGURE 5: Training, Batch Inference, and Full-Test Inference Latency Across Models]</w:t>
      </w:r>
    </w:p>
    <w:p>
      <w:pPr>
        <w:spacing w:before="120" w:after="60"/>
      </w:pPr>
      <w:r>
        <w:rPr>
          <w:rFonts w:ascii="Times New Roman" w:hAnsi="Times New Roman"/>
          <w:b/>
          <w:sz w:val="22"/>
        </w:rPr>
        <w:t>E. Robustness Under Perturbation</w:t>
      </w:r>
    </w:p>
    <w:p>
      <w:pPr>
        <w:spacing w:after="120"/>
      </w:pPr>
      <w:r>
        <w:t>The robustness experiments show that the models are highly sensitive to feature perturbation, especially under Gaussian noise. At the baseline noise level, both supervised models begin with strong F1-scores, but even small perturbations produce a sharp degradation. For example, at noise level 0.01, Random Forest drops from 0.9507 to 0.2488 F1, and XGBoost drops from 0.9617 to 0.2263 F1. This confirms that the detector relies strongly on the original feature distribution and that realistic measurement noise can significantly affect performance. The adversarial evasion test shows a similarly challenging behavior: once perturbation is introduced, the evasion rate rises sharply to around 75–80%, indicating that malicious samples can be moved toward benign regions of the feature space under crafted perturbations.</w:t>
      </w:r>
    </w:p>
    <w:p>
      <w:pPr>
        <w:spacing w:after="60"/>
      </w:pPr>
      <w:r>
        <w:rPr>
          <w:i/>
          <w:sz w:val="18"/>
        </w:rPr>
        <w:t>[FIGURE 6: F1 Degradation of Random Forest and XGBoost Under Gaussian Noise Perturbation]</w:t>
      </w:r>
    </w:p>
    <w:p>
      <w:pPr>
        <w:spacing w:after="120"/>
      </w:pPr>
      <w:r>
        <w:rPr>
          <w:i/>
          <w:sz w:val="18"/>
        </w:rPr>
        <w:t>[FIGURE 7: Attack Evasion Rates Across Different Perturbation Strengths]</w:t>
      </w:r>
    </w:p>
    <w:p>
      <w:pPr>
        <w:spacing w:before="120" w:after="60"/>
      </w:pPr>
      <w:r>
        <w:rPr>
          <w:rFonts w:ascii="Times New Roman" w:hAnsi="Times New Roman"/>
          <w:b/>
          <w:sz w:val="22"/>
        </w:rPr>
        <w:t>F. Agentic SOC Outcomes</w:t>
      </w:r>
    </w:p>
    <w:p>
      <w:pPr>
        <w:spacing w:after="120"/>
      </w:pPr>
      <w:r>
        <w:t>The agentic pipeline results show how the classifier outputs are converted into operational SOC decisions. Using Random Forest + SMOTE, the system processes 150,000 logs, detects 22,397 anomalies, and groups them into 17,240 incidents, of which 4,052 are routed to automatic handling and 13,188 are escalated to human-in-the-loop review. For XGBoost, the pipeline detects 22,559 anomalies, forms 17,348 incidents, and assigns 4,265 AUTO decisions and 13,083 HITL decisions. XGBoost also achieves a higher incident precision of 93.8% compared with 92.9% for Random Forest, indicating cleaner incident grouping and better downstream triage. By contrast, Isolation Forest produces zero AUTO decisions and a very low incident precision, which reflects its weak confidence structure and poor suitability for bounded autonomy.</w:t>
      </w:r>
    </w:p>
    <w:p>
      <w:pPr>
        <w:spacing w:after="60"/>
      </w:pPr>
      <w:r>
        <w:rPr>
          <w:i/>
          <w:sz w:val="18"/>
        </w:rPr>
        <w:t>[FIGURE 8: AUTO and HITL Decision Distribution for the Three Pipelines]</w:t>
      </w:r>
    </w:p>
    <w:p>
      <w:pPr>
        <w:spacing w:after="120"/>
      </w:pPr>
      <w:r>
        <w:rPr>
          <w:i/>
          <w:sz w:val="18"/>
        </w:rPr>
        <w:t>[FIGURE 9: Incident Precision and Severity Distribution Across the Agentic Pipelines]</w:t>
      </w:r>
    </w:p>
    <w:p>
      <w:pPr>
        <w:spacing w:before="120" w:after="60"/>
      </w:pPr>
      <w:r>
        <w:rPr>
          <w:rFonts w:ascii="Times New Roman" w:hAnsi="Times New Roman"/>
          <w:b/>
          <w:sz w:val="22"/>
        </w:rPr>
        <w:t>G. Confidence, Novelty, and Severity Behavior</w:t>
      </w:r>
    </w:p>
    <w:p>
      <w:pPr>
        <w:spacing w:after="120"/>
      </w:pPr>
      <w:r>
        <w:t>The enrichment layer further supports the bounded-autonomy design. For XGBoost, the average confidence is 0.9704, with high-severity incidents dominating the output, while the average novelty remains above 0.91, indicating that the escalation policy is conservative and only allows automation for stable cases. Random Forest also produces high confidence, but with slightly lower average values than XGBoost. Isolation Forest, however, has a much lower confidence profile, with an average of only 0.4785, and its incidents are mostly low severity. This explains why the framework never permits autonomous handling for Isolation Forest outputs. These statistics are important because they show that the SOC layer is not just classifying traffic; it is actively shaping decision risk before an action is taken.</w:t>
      </w:r>
    </w:p>
    <w:p>
      <w:pPr>
        <w:spacing w:after="120"/>
      </w:pPr>
      <w:r>
        <w:rPr>
          <w:i/>
          <w:sz w:val="18"/>
        </w:rPr>
        <w:t>[FIGURE 10: Confidence, Novelty, and Severity Distributions for SOC Incident Enrichment]</w:t>
      </w:r>
    </w:p>
    <w:p>
      <w:pPr>
        <w:spacing w:before="120" w:after="60"/>
      </w:pPr>
      <w:r>
        <w:rPr>
          <w:rFonts w:ascii="Times New Roman" w:hAnsi="Times New Roman"/>
          <w:b/>
          <w:sz w:val="22"/>
        </w:rPr>
        <w:t>H. Explainability for HITL Escalations</w:t>
      </w:r>
    </w:p>
    <w:p>
      <w:pPr>
        <w:spacing w:after="120"/>
      </w:pPr>
      <w:r>
        <w:t>The explainability module was successfully generated for XGBoost, where the top SHAP drivers for escalated incidents were Flow Duration, Flow Packets/s, and Total Fwd Packets. This result is useful because it identifies the features most responsible for analyst review, and it matches the flow-statistical structure of the dataset. For Random Forest, SHAP computation failed due to a shape mismatch during explanation generation, so the final publication should present SHAP visuals primarily for XGBoost and mention the Random Forest issue briefly as an implementation limitation rather than a core result. This keeps the paper clean while still demonstrating interpretability in the main model.</w:t>
      </w:r>
    </w:p>
    <w:p>
      <w:pPr>
        <w:spacing w:after="60"/>
      </w:pPr>
      <w:r>
        <w:rPr>
          <w:i/>
          <w:sz w:val="18"/>
        </w:rPr>
        <w:t>[FIGURE 11: SHAP Summary Plot for XGBoost-Based HITL Escalations]</w:t>
      </w:r>
    </w:p>
    <w:p>
      <w:pPr>
        <w:spacing w:after="120"/>
      </w:pPr>
      <w:r>
        <w:rPr>
          <w:i/>
          <w:sz w:val="18"/>
        </w:rPr>
        <w:t>[FIGURE 12: Top SHAP Drivers for Escalated XGBoost Incidents]</w:t>
      </w:r>
    </w:p>
    <w:p>
      <w:pPr>
        <w:spacing w:before="120" w:after="60"/>
      </w:pPr>
      <w:r>
        <w:rPr>
          <w:rFonts w:ascii="Times New Roman" w:hAnsi="Times New Roman"/>
          <w:b/>
          <w:sz w:val="22"/>
        </w:rPr>
        <w:t>I. Consolidated Discussion</w:t>
      </w:r>
    </w:p>
    <w:p>
      <w:pPr>
        <w:spacing w:after="120"/>
      </w:pPr>
      <w:r>
        <w:t>Taken together, the results show that XGBoost + SMOTE is the best-performing detector in this framework, combining the strongest F1-score, the highest cross-validation stability, the best latency profile, and the most useful agentic SOC behavior. Random Forest remains competitive but is slower and slightly weaker in predictive performance. Isolation Forest is useful only as a weak unsupervised baseline and is not suitable for the main SOC workflow. The feature-subset study further shows that the model benefits from richer flow descriptors, while the robustness results highlight the need for future hardening against noise and evasion. Overall, the outputs validate the central claim of the paper: a controlled-autonomy SOC pipeline can achieve strong detection performance while still preserving human oversight for uncertain or risky cases.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Metric Category</w:t>
            </w:r>
          </w:p>
        </w:tc>
        <w:tc>
          <w:tcPr>
            <w:tcW w:type="dxa" w:w="3120"/>
          </w:tcPr>
          <w:p>
            <w:r>
              <w:rPr>
                <w:b/>
                <w:sz w:val="20"/>
              </w:rPr>
              <w:t>Best Performer</w:t>
            </w:r>
          </w:p>
        </w:tc>
        <w:tc>
          <w:tcPr>
            <w:tcW w:type="dxa" w:w="3120"/>
          </w:tcPr>
          <w:p>
            <w:r>
              <w:rPr>
                <w:b/>
                <w:sz w:val="20"/>
              </w:rPr>
              <w:t>Key Result</w:t>
            </w:r>
          </w:p>
        </w:tc>
      </w:tr>
      <w:tr>
        <w:tc>
          <w:tcPr>
            <w:tcW w:type="dxa" w:w="3120"/>
          </w:tcPr>
          <w:p>
            <w:r>
              <w:rPr>
                <w:sz w:val="20"/>
              </w:rPr>
              <w:t>Detection Performance</w:t>
            </w:r>
          </w:p>
        </w:tc>
        <w:tc>
          <w:tcPr>
            <w:tcW w:type="dxa" w:w="3120"/>
          </w:tcPr>
          <w:p>
            <w:r>
              <w:rPr>
                <w:sz w:val="20"/>
              </w:rPr>
              <w:t>XGBoost + SMOTE</w:t>
            </w:r>
          </w:p>
        </w:tc>
        <w:tc>
          <w:tcPr>
            <w:tcW w:type="dxa" w:w="3120"/>
          </w:tcPr>
          <w:p>
            <w:r>
              <w:rPr>
                <w:sz w:val="20"/>
              </w:rPr>
              <w:t>F1 = 0.9617, Accuracy = 98.87%</w:t>
            </w:r>
          </w:p>
        </w:tc>
      </w:tr>
      <w:tr>
        <w:tc>
          <w:tcPr>
            <w:tcW w:type="dxa" w:w="3120"/>
          </w:tcPr>
          <w:p>
            <w:r>
              <w:rPr>
                <w:sz w:val="20"/>
              </w:rPr>
              <w:t>Computational Efficiency</w:t>
            </w:r>
          </w:p>
        </w:tc>
        <w:tc>
          <w:tcPr>
            <w:tcW w:type="dxa" w:w="3120"/>
          </w:tcPr>
          <w:p>
            <w:r>
              <w:rPr>
                <w:sz w:val="20"/>
              </w:rPr>
              <w:t>XGBoost + SMOTE</w:t>
            </w:r>
          </w:p>
        </w:tc>
        <w:tc>
          <w:tcPr>
            <w:tcW w:type="dxa" w:w="3120"/>
          </w:tcPr>
          <w:p>
            <w:r>
              <w:rPr>
                <w:sz w:val="20"/>
              </w:rPr>
              <w:t>Training = 4.994s, Inference = 1.992ms/sample</w:t>
            </w:r>
          </w:p>
        </w:tc>
      </w:tr>
      <w:tr>
        <w:tc>
          <w:tcPr>
            <w:tcW w:type="dxa" w:w="3120"/>
          </w:tcPr>
          <w:p>
            <w:r>
              <w:rPr>
                <w:sz w:val="20"/>
              </w:rPr>
              <w:t>Operational Safety</w:t>
            </w:r>
          </w:p>
        </w:tc>
        <w:tc>
          <w:tcPr>
            <w:tcW w:type="dxa" w:w="3120"/>
          </w:tcPr>
          <w:p>
            <w:r>
              <w:rPr>
                <w:sz w:val="20"/>
              </w:rPr>
              <w:t>XGBoost + SMOTE</w:t>
            </w:r>
          </w:p>
        </w:tc>
        <w:tc>
          <w:tcPr>
            <w:tcW w:type="dxa" w:w="3120"/>
          </w:tcPr>
          <w:p>
            <w:r>
              <w:rPr>
                <w:sz w:val="20"/>
              </w:rPr>
              <w:t>Incident Precision = 93.8%, Conservative Escalation</w:t>
            </w:r>
          </w:p>
        </w:tc>
      </w:tr>
    </w:tbl>
    <w:p>
      <w:pPr>
        <w:spacing w:before="60" w:after="240"/>
        <w:jc w:val="center"/>
      </w:pPr>
      <w:r>
        <w:rPr>
          <w:i/>
          <w:sz w:val="18"/>
        </w:rPr>
        <w:t>TABLE III. FINAL SUMMARY OF DETECTION, OPERATIONAL, AND EXPLAINABILITY RESULTS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