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32.png" ContentType="image/png"/>
  <Override PartName="/word/media/rId34.jpg" ContentType="image/jpeg"/>
  <Override PartName="/word/media/rId36.png" ContentType="image/png"/>
  <Override PartName="/word/media/rId50.png" ContentType="image/png"/>
  <Override PartName="/word/media/rId51.png" ContentType="image/png"/>
  <Override PartName="/word/media/rId52.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Towards</w:t>
      </w:r>
      <w:r>
        <w:rPr>
          <w:bCs/>
          <w:b/>
        </w:rPr>
        <w:t xml:space="preserve"> </w:t>
      </w:r>
      <w:r>
        <w:rPr>
          <w:bCs/>
          <w:b/>
        </w:rPr>
        <w:t xml:space="preserve">individual-based</w:t>
      </w:r>
      <w:r>
        <w:rPr>
          <w:bCs/>
          <w:b/>
        </w:rPr>
        <w:t xml:space="preserve"> </w:t>
      </w:r>
      <w:r>
        <w:rPr>
          <w:bCs/>
          <w:b/>
        </w:rPr>
        <w:t xml:space="preserve">pollination</w:t>
      </w:r>
      <w:r>
        <w:rPr>
          <w:bCs/>
          <w:b/>
        </w:rPr>
        <w:t xml:space="preserve"> </w:t>
      </w:r>
      <w:r>
        <w:rPr>
          <w:bCs/>
          <w:b/>
        </w:rPr>
        <w:t xml:space="preserve">ecology:</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of</w:t>
      </w:r>
      <w:r>
        <w:rPr>
          <w:bCs/>
          <w:b/>
        </w:rPr>
        <w:t xml:space="preserve"> </w:t>
      </w:r>
      <w:r>
        <w:rPr>
          <w:bCs/>
          <w:b/>
        </w:rPr>
        <w:t xml:space="preserve">life</w:t>
      </w:r>
      <w:r>
        <w:rPr>
          <w:bCs/>
          <w:b/>
        </w:rPr>
        <w:t xml:space="preserve"> </w:t>
      </w:r>
      <w:r>
        <w:rPr>
          <w:bCs/>
          <w:b/>
        </w:rPr>
        <w:t xml:space="preserve">histories</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26,</w:t>
      </w:r>
      <w:r>
        <w:t xml:space="preserve"> </w:t>
      </w:r>
      <w:r>
        <w:t xml:space="preserve">2022</w:t>
      </w:r>
    </w:p>
    <w:p>
      <w:pPr>
        <w:pStyle w:val="Abstract"/>
      </w:pPr>
      <w:r>
        <w:t xml:space="preserve">ABSTRACT</w:t>
      </w:r>
      <w:r>
        <w:t xml:space="preserve"> </w:t>
      </w:r>
      <w:r>
        <w:t xml:space="preserve">|</w:t>
      </w:r>
      <w:r>
        <w:t xml:space="preserve"> </w:t>
      </w:r>
      <w:r>
        <w:t xml:space="preserve">A</w:t>
      </w:r>
      <w:r>
        <w:t xml:space="preserve"> </w:t>
      </w:r>
      <w:r>
        <w:t xml:space="preserve">fundamental</w:t>
      </w:r>
      <w:r>
        <w:t xml:space="preserve"> </w:t>
      </w:r>
      <w:r>
        <w:t xml:space="preserve">problem</w:t>
      </w:r>
      <w:r>
        <w:t xml:space="preserve"> </w:t>
      </w:r>
      <w:r>
        <w:t xml:space="preserve">in</w:t>
      </w:r>
      <w:r>
        <w:t xml:space="preserve"> </w:t>
      </w:r>
      <w:r>
        <w:t xml:space="preserve">pollination</w:t>
      </w:r>
      <w:r>
        <w:t xml:space="preserve"> </w:t>
      </w:r>
      <w:r>
        <w:t xml:space="preserve">ecology</w:t>
      </w:r>
      <w:r>
        <w:t xml:space="preserve"> </w:t>
      </w:r>
      <w:r>
        <w:t xml:space="preserve">is</w:t>
      </w:r>
      <w:r>
        <w:t xml:space="preserve"> </w:t>
      </w:r>
      <w:r>
        <w:t xml:space="preserve">that</w:t>
      </w:r>
      <w:r>
        <w:t xml:space="preserve"> </w:t>
      </w:r>
      <w:r>
        <w:t xml:space="preserve">plant</w:t>
      </w:r>
      <w:r>
        <w:t xml:space="preserve"> </w:t>
      </w:r>
      <w:r>
        <w:t xml:space="preserve">reproduction</w:t>
      </w:r>
      <w:r>
        <w:t xml:space="preserve"> </w:t>
      </w:r>
      <w:r>
        <w:t xml:space="preserve">consequences</w:t>
      </w:r>
      <w:r>
        <w:t xml:space="preserve"> </w:t>
      </w:r>
      <w:r>
        <w:t xml:space="preserve">of</w:t>
      </w:r>
      <w:r>
        <w:t xml:space="preserve"> </w:t>
      </w:r>
      <w:r>
        <w:t xml:space="preserve">pollinator</w:t>
      </w:r>
      <w:r>
        <w:t xml:space="preserve"> </w:t>
      </w:r>
      <w:r>
        <w:t xml:space="preserve">visits</w:t>
      </w:r>
      <w:r>
        <w:t xml:space="preserve"> </w:t>
      </w:r>
      <w:r>
        <w:t xml:space="preserve">to</w:t>
      </w:r>
      <w:r>
        <w:t xml:space="preserve"> </w:t>
      </w:r>
      <w:r>
        <w:t xml:space="preserve">a</w:t>
      </w:r>
      <w:r>
        <w:t xml:space="preserve"> </w:t>
      </w:r>
      <w:r>
        <w:t xml:space="preserve">flower</w:t>
      </w:r>
      <w:r>
        <w:t xml:space="preserve"> </w:t>
      </w:r>
      <w:r>
        <w:t xml:space="preserve">throughout</w:t>
      </w:r>
      <w:r>
        <w:t xml:space="preserve"> </w:t>
      </w:r>
      <w:r>
        <w:t xml:space="preserve">its</w:t>
      </w:r>
      <w:r>
        <w:t xml:space="preserve"> </w:t>
      </w:r>
      <w:r>
        <w:t xml:space="preserve">lifespan</w:t>
      </w:r>
      <w:r>
        <w:t xml:space="preserve"> </w:t>
      </w:r>
      <w:r>
        <w:t xml:space="preserve">is</w:t>
      </w:r>
      <w:r>
        <w:t xml:space="preserve"> </w:t>
      </w:r>
      <w:r>
        <w:t xml:space="preserve">very</w:t>
      </w:r>
      <w:r>
        <w:t xml:space="preserve"> </w:t>
      </w:r>
      <w:r>
        <w:t xml:space="preserve">difficult</w:t>
      </w:r>
      <w:r>
        <w:t xml:space="preserve"> </w:t>
      </w:r>
      <w:r>
        <w:t xml:space="preserve">to</w:t>
      </w:r>
      <w:r>
        <w:t xml:space="preserve"> </w:t>
      </w:r>
      <w:r>
        <w:t xml:space="preserve">track.</w:t>
      </w:r>
      <w:r>
        <w:t xml:space="preserve"> </w:t>
      </w:r>
      <w:r>
        <w:t xml:space="preserve">Often</w:t>
      </w:r>
      <w:r>
        <w:t xml:space="preserve"> </w:t>
      </w:r>
      <w:r>
        <w:t xml:space="preserve">simple</w:t>
      </w:r>
      <w:r>
        <w:t xml:space="preserve"> </w:t>
      </w:r>
      <w:r>
        <w:t xml:space="preserve">statistics</w:t>
      </w:r>
      <w:r>
        <w:t xml:space="preserve"> </w:t>
      </w:r>
      <w:r>
        <w:t xml:space="preserve">are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Similarly,</w:t>
      </w:r>
      <w:r>
        <w:t xml:space="preserve"> </w:t>
      </w:r>
      <w:r>
        <w:t xml:space="preserve">flower</w:t>
      </w:r>
      <w:r>
        <w:t xml:space="preserve"> </w:t>
      </w:r>
      <w:r>
        <w:t xml:space="preserve">visitation</w:t>
      </w:r>
      <w:r>
        <w:t xml:space="preserve"> </w:t>
      </w:r>
      <w:r>
        <w:t xml:space="preserve">rates</w:t>
      </w:r>
      <w:r>
        <w:t xml:space="preserve"> </w:t>
      </w:r>
      <w:r>
        <w:t xml:space="preserve">are</w:t>
      </w:r>
      <w:r>
        <w:t xml:space="preserve"> </w:t>
      </w:r>
      <w:r>
        <w:t xml:space="preserve">based</w:t>
      </w:r>
      <w:r>
        <w:t xml:space="preserve"> </w:t>
      </w:r>
      <w:r>
        <w:t xml:space="preserve">on</w:t>
      </w:r>
      <w:r>
        <w:t xml:space="preserve"> </w:t>
      </w:r>
      <w:r>
        <w:t xml:space="preserve">crude</w:t>
      </w:r>
      <w:r>
        <w:t xml:space="preserve"> </w:t>
      </w:r>
      <w:r>
        <w:t xml:space="preserve">observation</w:t>
      </w:r>
      <w:r>
        <w:t xml:space="preserve"> </w:t>
      </w:r>
      <w:r>
        <w:t xml:space="preserve">of</w:t>
      </w:r>
      <w:r>
        <w:t xml:space="preserve"> </w:t>
      </w:r>
      <w:r>
        <w:t xml:space="preserve">flower</w:t>
      </w:r>
      <w:r>
        <w:t xml:space="preserve"> </w:t>
      </w:r>
      <w:r>
        <w:t xml:space="preserve">populations.</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individuals.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r>
        <w:t xml:space="preserve"> </w:t>
      </w:r>
      <w:r>
        <w:t xml:space="preserve">Individual</w:t>
      </w:r>
      <w:r>
        <w:t xml:space="preserve"> </w:t>
      </w:r>
      <w:r>
        <w:t xml:space="preserve">flower</w:t>
      </w:r>
      <w:r>
        <w:t xml:space="preserve"> </w:t>
      </w:r>
      <w:r>
        <w:t xml:space="preserve">tracking</w:t>
      </w:r>
      <w:r>
        <w:t xml:space="preserve"> </w:t>
      </w:r>
      <w:r>
        <w:t xml:space="preserve">could</w:t>
      </w:r>
      <w:r>
        <w:t xml:space="preserve"> </w:t>
      </w:r>
      <w:r>
        <w:t xml:space="preserve">facilitate</w:t>
      </w:r>
      <w:r>
        <w:t xml:space="preserve"> </w:t>
      </w:r>
      <w:r>
        <w:t xml:space="preserve">finegrained</w:t>
      </w:r>
      <w:r>
        <w:t xml:space="preserve"> </w:t>
      </w:r>
      <w:r>
        <w:t xml:space="preserve">studies</w:t>
      </w:r>
      <w:r>
        <w:t xml:space="preserve"> </w:t>
      </w:r>
      <w:r>
        <w:t xml:space="preserve">on</w:t>
      </w:r>
      <w:r>
        <w:t xml:space="preserve"> </w:t>
      </w:r>
      <w:r>
        <w:t xml:space="preserve">plant</w:t>
      </w:r>
      <w:r>
        <w:t xml:space="preserve"> </w:t>
      </w:r>
      <w:r>
        <w:t xml:space="preserve">reproductive</w:t>
      </w:r>
      <w:r>
        <w:t xml:space="preserve"> </w:t>
      </w:r>
      <w:r>
        <w:t xml:space="preserve">success….</w:t>
      </w:r>
      <w:r>
        <w:t xml:space="preserve"> </w:t>
      </w:r>
      <w:r>
        <w:t xml:space="preserve">and</w:t>
      </w:r>
      <w:r>
        <w:t xml:space="preserve"> </w:t>
      </w:r>
      <w:r>
        <w:t xml:space="preserve">we</w:t>
      </w:r>
      <w:r>
        <w:t xml:space="preserve"> </w:t>
      </w:r>
      <w:r>
        <w:t xml:space="preserve">show</w:t>
      </w:r>
      <w:r>
        <w:t xml:space="preserve"> </w:t>
      </w:r>
      <w:r>
        <w:t xml:space="preserve">that</w:t>
      </w:r>
      <w:r>
        <w:t xml:space="preserve"> </w:t>
      </w:r>
      <w:r>
        <w:t xml:space="preserve">performance</w:t>
      </w:r>
      <w:r>
        <w:t xml:space="preserve"> </w:t>
      </w:r>
      <w:r>
        <w:t xml:space="preserve">achieved</w:t>
      </w:r>
      <w:r>
        <w:t xml:space="preserve"> </w:t>
      </w:r>
      <w:r>
        <w:t xml:space="preserve">by</w:t>
      </w:r>
      <w:r>
        <w:t xml:space="preserve"> </w:t>
      </w:r>
      <w:r>
        <w:t xml:space="preserve">following</w:t>
      </w:r>
      <w:r>
        <w:t xml:space="preserve"> </w:t>
      </w:r>
      <w:r>
        <w:t xml:space="preserve">automatic</w:t>
      </w:r>
      <w:r>
        <w:t xml:space="preserve"> </w:t>
      </w:r>
      <w:r>
        <w:t xml:space="preserve">tracking</w:t>
      </w:r>
      <w:r>
        <w:t xml:space="preserve"> </w:t>
      </w:r>
      <w:r>
        <w:t xml:space="preserve">can</w:t>
      </w:r>
      <w:r>
        <w:t xml:space="preserve"> </w:t>
      </w:r>
      <w:r>
        <w:t xml:space="preserve">be</w:t>
      </w:r>
      <w:r>
        <w:t xml:space="preserve"> </w:t>
      </w:r>
      <w:r>
        <w:t xml:space="preserve">reliable</w:t>
      </w:r>
      <w:r>
        <w:t xml:space="preserve"> </w:t>
      </w:r>
      <w:r>
        <w:t xml:space="preserve">enough</w:t>
      </w:r>
      <w:r>
        <w:t xml:space="preserve"> </w:t>
      </w:r>
      <w:r>
        <w:t xml:space="preserve">to</w:t>
      </w:r>
      <w:r>
        <w:t xml:space="preserve"> </w:t>
      </w:r>
      <w:r>
        <w:t xml:space="preserve">estimate</w:t>
      </w:r>
      <w:r>
        <w:t xml:space="preserve"> </w:t>
      </w:r>
      <w:r>
        <w:t xml:space="preserve">X,</w:t>
      </w:r>
      <w:r>
        <w:t xml:space="preserve"> </w:t>
      </w:r>
      <w:r>
        <w:t xml:space="preserve">Y,</w:t>
      </w:r>
      <w:r>
        <w:t xml:space="preserve"> </w:t>
      </w:r>
      <w:r>
        <w:t xml:space="preserve">Z…</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Both precocious and late flowering increase the risk of frost damage to the flowers. Further, flowering may need to be synchronous with pollinator activity for successful reproduction. Flowering phenology may plastically change in response to abiotic cues in the environment, such as timing of spring, temperature, and photoperiod, but flowering phenology is partly heritable and shaped by selective forces from the abiotic and biotic environment and in any case sensitive to climate change.</w:t>
      </w:r>
    </w:p>
    <w:p>
      <w:pPr>
        <w:pStyle w:val="BodyText"/>
      </w:pPr>
      <w:r>
        <w:t xml:space="preserve">Phenology is often studied with first events as proxies for the full phenology distribution of the population . For flowering plants the time of first flowering is used to represent the phenology of a population of plants. The ideal metric for phenology depends on the topic of the question, but often, the choice of onset of flowering as the proxy for phenology is based on data availability and not because it is necessarily considered the ideal metric. First events, such as onset of flowering, may in some cases be particularly ill suited for estimating sensitivity to climate change</w:t>
      </w:r>
      <w:r>
        <w:t xml:space="preserve"> </w:t>
      </w:r>
      <w:r>
        <w:t xml:space="preserve">(Miller-Rushing et al., 2008)</w:t>
      </w:r>
      <w:r>
        <w:t xml:space="preserve">. The date for first flowering represents the very extreme of the phenology distribution of a population and may be confounded with e.g. the size of the population considered. Further, for many questions the phenology distribution of a population is required, for example to quantify resource availability through the season. However, even detailed information on phenology at the level of a population is still an aggregation of the phenological distributions of the individual members of the population for which important variation may be masked</w:t>
      </w:r>
      <w:r>
        <w:t xml:space="preserve"> </w:t>
      </w:r>
      <w:r>
        <w:t xml:space="preserve">(Inouye et al., 2019)</w:t>
      </w:r>
      <w:r>
        <w:t xml:space="preserve">. Having at hand the full distribution of flowering phenology at the level of individuals allows to extract relevant characteristics of the distribution and test their sensitivity towards environmental factors, but acquiring such data requires efficient and preferably automatized methods.</w:t>
      </w:r>
    </w:p>
    <w:p>
      <w:pPr>
        <w:pStyle w:val="BodyText"/>
      </w:pPr>
      <w:r>
        <w:t xml:space="preserve">Pollen limitation is a common factor limiting the reproductive success of flowering plants, but the ecological mechanisms behind pollen limitation is poorly understood, at least partly because it requires information on plant reproductive success in relation to pollinator visitation rates which is difficult to acquire in a natural setting and to a satisfactory extent. For example, pollinator visits can vary greatly in frequency during the flowering season and the degree of pollen limitation can vary even between populations in close vicinity to each other</w:t>
      </w:r>
      <w:r>
        <w:t xml:space="preserve"> </w:t>
      </w:r>
      <w:r>
        <w:t xml:space="preserve">(Ashman et al., 2004; Larson &amp; Barrett, 1999)</w:t>
      </w:r>
      <w:r>
        <w:t xml:space="preserve">.</w:t>
      </w:r>
    </w:p>
    <w:p>
      <w:pPr>
        <w:pStyle w:val="BodyText"/>
      </w:pPr>
      <w:r>
        <w:t xml:space="preserve">Interactions require abundance of individuals in life-history stages in which interactions occur. Thus, interaction strength depends on overlap in phenology between individuals in these stages. Ideally, investigation of the sensitivity of interaction strength to dynamics in phenology requires quantification of phenology through the season for the species in question in order to asses both their phenology and abundance</w:t>
      </w:r>
      <w:r>
        <w:t xml:space="preserve"> </w:t>
      </w:r>
      <w:r>
        <w:t xml:space="preserve">(Inouye et al., 2019; Lindén, 2018)</w:t>
      </w:r>
      <w:r>
        <w:t xml:space="preserve">.</w:t>
      </w:r>
    </w:p>
    <w:p>
      <w:pPr>
        <w:pStyle w:val="BodyText"/>
      </w:pPr>
      <w:r>
        <w:t xml:space="preserve">If interacting and interdependent species, e.g. plants and pollinators, react to different environmental cues, or react differently to the same cues, their phenology may be desynchronized and temporal mismatches occur. Changes in flower phenology as a consequence of climate change may indirectly affect the abundance of flower-dependent species</w:t>
      </w:r>
      <w:r>
        <w:t xml:space="preserve"> </w:t>
      </w:r>
      <w:r>
        <w:t xml:space="preserve">(Høye et al., 2013)</w:t>
      </w:r>
      <w:r>
        <w:t xml:space="preserve"> </w:t>
      </w:r>
      <w:r>
        <w:t xml:space="preserve">and these effects can be stronger than the direct effects of climate change</w:t>
      </w:r>
      <w:r>
        <w:t xml:space="preserve"> </w:t>
      </w:r>
      <w:r>
        <w:t xml:space="preserve">(Ogilvie et al., 2017)</w:t>
      </w:r>
      <w:r>
        <w:t xml:space="preserve">. However, the relation between flower phenology and reproductive success contain many facets and is not simply a question of temporal overlap with pollinators. For example,</w:t>
      </w:r>
      <w:r>
        <w:t xml:space="preserve"> </w:t>
      </w:r>
      <w:r>
        <w:t xml:space="preserve">Bolmgren &amp; Eriksson (2015)</w:t>
      </w:r>
      <w:r>
        <w:t xml:space="preserve"> </w:t>
      </w:r>
      <w:r>
        <w:t xml:space="preserve">found that for an insect-pollinated plant species early flowering was associated with increased fruit-set but late flowering was associated with higher seed mass. Further, periods of resource scarcity through the season may be more important than the floral sum of the season, i.e. dynamics in resource availability above a level of sufficiency may have a weak effect on pollinator abundance while the time above this threshold has a stronger effect</w:t>
      </w:r>
      <w:r>
        <w:t xml:space="preserve"> </w:t>
      </w:r>
      <w:r>
        <w:t xml:space="preserve">(Ogilvie et al., 2017)</w:t>
      </w:r>
      <w:r>
        <w:t xml:space="preserve">.</w:t>
      </w:r>
    </w:p>
    <w:p>
      <w:pPr>
        <w:pStyle w:val="BodyText"/>
      </w:pPr>
      <w:r>
        <w:t xml:space="preserve">Different phenological factors, such as onset, peak, and end of flowering may respond differently to climate change</w:t>
      </w:r>
      <w:r>
        <w:t xml:space="preserve"> </w:t>
      </w:r>
      <w:r>
        <w:t xml:space="preserve">(Cook et al., 2012)</w:t>
      </w:r>
      <w:r>
        <w:t xml:space="preserve"> </w:t>
      </w:r>
      <w:r>
        <w:t xml:space="preserve">and estimation of the degree of mismatch between species may thus be sensitive to the choice of metric</w:t>
      </w:r>
      <w:r>
        <w:t xml:space="preserve"> </w:t>
      </w:r>
      <w:r>
        <w:t xml:space="preserve">(Inouye et al., 2019)</w:t>
      </w:r>
      <w:r>
        <w:t xml:space="preserve">. Efficient and precise methods for deriving full seasonal distributions of phenology at the level of individuals is much needed but so far most often unfeasible for logistical reasons.</w:t>
      </w:r>
    </w:p>
    <w:p>
      <w:pPr>
        <w:pStyle w:val="BodyText"/>
      </w:pPr>
      <w:r>
        <w:t xml:space="preserve">Monitoring flower phenology at high temporal resolution is time-consuming, particularly in logistically challenging environments such as the Arctic. Consequently, flowering phenology of a population is often characterized simply by the date for onset of flowering, typically derived from weekly observations of sample plots</w:t>
      </w:r>
      <w:r>
        <w:t xml:space="preserve"> </w:t>
      </w:r>
      <w:r>
        <w:t xml:space="preserve">(Prevéy et al., 2021)</w:t>
      </w:r>
      <w:r>
        <w:t xml:space="preserve">. Such inaccurate estimates may fail to reveal important dynamics in flowering phenology through the season. Automatic image-based monitoring of flowering phenology can return phenology data for specific species at very high temporal resolution (Mann et al., in review),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A lot remains to be discovered about when and how the dynamics of pollination affects the reproductive success of flowering plants. High frequency observations of flower visits coupled with information on phenology and reproductive success at the level of individuals is required to unravel the relationship between pollinator visitation and plant reproductive success and the sensitivity of this interplay to climate.</w:t>
      </w:r>
    </w:p>
    <w:p>
      <w:pPr>
        <w:pStyle w:val="BodyText"/>
      </w:pPr>
      <w:r>
        <w:t xml:space="preserve">In this paper, we show that information on phenology at the level of individuals can be derived from image-based monitoring of flower phenology. We present and evaluate an automatic flower tracking and filtering algorithm. As the data extracted from time-lapse series of flower plots through season violate the assumptions of standard tracking mechanism, we base the track assignment on the minimum distance between centroids of bounding boxes and introduce three user defined parameters that can help optimise tracking performance.</w:t>
      </w:r>
    </w:p>
    <w:p>
      <w:pPr>
        <w:pStyle w:val="BodyText"/>
      </w:pPr>
      <w:r>
        <w:t xml:space="preserve">For complex scenes with many flowers in close vicinity to each other there is a substantial risk of tracking errors regardless of the tracking method being used. In such cases it is preferable to extract individual high-confidence tracks from each series and ignore the remaining tracks. For this, we suggest a conservative filtering approach based on the density of tracks within the frame. The approach may remove correct tracks, but the tracks that remain will have a low risk of tracking errors, which allows for confident upscaling of the method to many series.</w:t>
      </w:r>
    </w:p>
    <w:p>
      <w:pPr>
        <w:pStyle w:val="BodyText"/>
      </w:pPr>
      <w:r>
        <w:t xml:space="preserve">Our method for tracking individual flowers facilitates the possibility of assigning indicators of reproductive success and factors driving variation in seed set to the individual. For instance, it could be explored whether seed set is affected by timing and length of flowering and/or abiotic conditions such as frost events. Hereby, the longstanding question of what drives variation in reproductive success of individual flowers could be explored. By simultaneously tracking flower visits, these could be assigned to the individual flower and visitation rates per flower could be calculated per flower and related to reproductive success. Further, any information of taxonomic grouping could facilitate comparative studies on pollination effectiveness between taxonomic groups of pollinators. The possibility of automatically tracking phenology at the level of individuals will facilitate investigation of a set of yet untestable research questions and is an important contribution to the shift towards efficient and detailed monitoring of ecological processes.</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and-species"/>
    <w:p>
      <w:pPr>
        <w:pStyle w:val="Heading2"/>
      </w:pPr>
      <w:r>
        <w:t xml:space="preserve">Study site and species</w:t>
      </w:r>
    </w:p>
    <w:p>
      <w:pPr>
        <w:pStyle w:val="FirstParagraph"/>
      </w:pPr>
      <w:r>
        <w:t xml:space="preserve">This study was based on five time-lapse image-series collected at the following three Arctic sites (sampling years given in brackets): Narsarsuaq, South Greenland (2018, 2019), Thule, North-West Greenland (2018), Ny-Ålesund, Svalbard (2019). The images were collected using time-lapse cameras (Moultrie Wingscapes TimelapseCam Pro, Moultrie Products, Birmingham Alabama, USA) permanently positioned approx. 60 cm above areas with either Dryas integrifolia in Narsarsuaq and Thule or D. octopetala in Ny-Ålesund. The white flowers of these two species are insect-pollinated and held erect above cushions of foliage. The species are native to and widespread in Asian, North American, and European arctic and alpine regions. They are geographically separated apart from a possible hybrid zone in Northeast Greenland</w:t>
      </w:r>
      <w:r>
        <w:t xml:space="preserve"> </w:t>
      </w:r>
      <w:r>
        <w:t xml:space="preserve">(Philipp &amp; Siegismund, 2003)</w:t>
      </w:r>
      <w:r>
        <w:t xml:space="preserve">.</w:t>
      </w:r>
    </w:p>
    <w:bookmarkEnd w:id="22"/>
    <w:bookmarkEnd w:id="23"/>
    <w:bookmarkStart w:id="25" w:name="section-1"/>
    <w:p>
      <w:pPr>
        <w:pStyle w:val="Heading1"/>
      </w:pPr>
    </w:p>
    <w:bookmarkStart w:id="24" w:name="the-image-series-and-flower-annotations"/>
    <w:p>
      <w:pPr>
        <w:pStyle w:val="Heading2"/>
      </w:pPr>
      <w:r>
        <w:t xml:space="preserve">The image series and flower annotations</w:t>
      </w:r>
    </w:p>
    <w:p>
      <w:pPr>
        <w:pStyle w:val="FirstParagraph"/>
      </w:pPr>
      <w:r>
        <w:t xml:space="preserve">Images were collected throughout the full growing season. For this study, we limited the 1-hr interval image-series to the flowering season and randomly randomly sampled images from each series. The number of images for each series after sampling is given in table 1. All flowers in these images were manually annotated using the rectangular bounding box tool in the VIA VGG annotation software</w:t>
      </w:r>
      <w:r>
        <w:t xml:space="preserve"> </w:t>
      </w:r>
      <w:r>
        <w:t xml:space="preserve">(Dutta &amp; Zisserman, 2019)</w:t>
      </w:r>
      <w:r>
        <w:t xml:space="preserve"> </w:t>
      </w:r>
      <w:r>
        <w:t xml:space="preserve">and each individual flower was assigned a unique ID. These annotations constitute our ground truth tracks. The series varied substantially in the number of flowers they contained (table 1). Figure 1 show annotated example images from three series (xxx) at different times during the flowering season (TO-DO).</w:t>
      </w:r>
    </w:p>
    <w:p>
      <w:pPr>
        <w:pStyle w:val="BodyText"/>
      </w:pPr>
      <w:r>
        <w:rPr>
          <w:bCs/>
          <w:b/>
        </w:rPr>
        <w:t xml:space="preserve">Table 1:</w:t>
      </w:r>
      <w:r>
        <w:t xml:space="preserve"> </w:t>
      </w:r>
      <w:r>
        <w:t xml:space="preserve">Number of images and number of flowers for each of the five time-lapse image-series.</w:t>
      </w:r>
    </w:p>
    <w:bookmarkEnd w:id="24"/>
    <w:bookmarkEnd w:id="25"/>
    <w:bookmarkStart w:id="27" w:name="section-2"/>
    <w:p>
      <w:pPr>
        <w:pStyle w:val="Heading1"/>
      </w:pPr>
    </w:p>
    <w:p>
      <w:pPr>
        <w:pStyle w:val="FirstParagraph"/>
      </w:pPr>
      <w:r>
        <w:drawing>
          <wp:inline>
            <wp:extent cx="5334000" cy="1980905"/>
            <wp:effectExtent b="0" l="0" r="0" t="0"/>
            <wp:docPr descr="" title="" id="1" name="Picture"/>
            <a:graphic>
              <a:graphicData uri="http://schemas.openxmlformats.org/drawingml/2006/picture">
                <pic:pic>
                  <pic:nvPicPr>
                    <pic:cNvPr descr="../figures/CameraOverview.png" id="0" name="Picture"/>
                    <pic:cNvPicPr>
                      <a:picLocks noChangeArrowheads="1" noChangeAspect="1"/>
                    </pic:cNvPicPr>
                  </pic:nvPicPr>
                  <pic:blipFill>
                    <a:blip r:embed="rId26"/>
                    <a:stretch>
                      <a:fillRect/>
                    </a:stretch>
                  </pic:blipFill>
                  <pic:spPr bwMode="auto">
                    <a:xfrm>
                      <a:off x="0" y="0"/>
                      <a:ext cx="5334000" cy="1980905"/>
                    </a:xfrm>
                    <a:prstGeom prst="rect">
                      <a:avLst/>
                    </a:prstGeom>
                    <a:noFill/>
                    <a:ln w="9525">
                      <a:noFill/>
                      <a:headEnd/>
                      <a:tailEnd/>
                    </a:ln>
                  </pic:spPr>
                </pic:pic>
              </a:graphicData>
            </a:graphic>
          </wp:inline>
        </w:drawing>
      </w:r>
    </w:p>
    <w:bookmarkEnd w:id="27"/>
    <w:bookmarkStart w:id="28" w:name="section-3"/>
    <w:p>
      <w:pPr>
        <w:pStyle w:val="Heading1"/>
      </w:pPr>
    </w:p>
    <w:p>
      <w:pPr>
        <w:pStyle w:val="FirstParagraph"/>
      </w:pPr>
    </w:p>
    <w:p>
      <w:pPr>
        <w:pStyle w:val="BodyText"/>
      </w:pPr>
      <w:r>
        <w:rPr>
          <w:bCs/>
          <w:b/>
        </w:rPr>
        <w:t xml:space="preserve">Figure 1:</w:t>
      </w:r>
      <w:r>
        <w:t xml:space="preserve"> </w:t>
      </w:r>
      <w:r>
        <w:t xml:space="preserve">Figure text… Examples of annotated images (TO-DO)</w:t>
      </w:r>
    </w:p>
    <w:bookmarkEnd w:id="28"/>
    <w:bookmarkStart w:id="30" w:name="section-4"/>
    <w:p>
      <w:pPr>
        <w:pStyle w:val="Heading1"/>
      </w:pPr>
    </w:p>
    <w:bookmarkStart w:id="29" w:name="automatic-flower-tracking"/>
    <w:p>
      <w:pPr>
        <w:pStyle w:val="Heading2"/>
      </w:pPr>
      <w:r>
        <w:t xml:space="preserve">Automatic flower tracking</w:t>
      </w:r>
    </w:p>
    <w:p>
      <w:pPr>
        <w:pStyle w:val="FirstParagraph"/>
      </w:pPr>
      <w:r>
        <w:t xml:space="preserve">We built a framework for tracking, filtering, and evaluating tracking of objects in time-lapse image series. The tracking algorithm tracks objects based on distances between centroids of bounding boxes. The algorithm has a set of user-adjusted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issues complicate the task of tracking individual flowers through time-lapse image-series. First, stand-alone monitoring of the relatively slow process of flower development through full growing seasons (several months) requires low frame rates (several images per day). These frame rates capture the phenology of the flowers at very high detail, but fail to capture the full movement of flowers. For example, as the wind shifts, the flower heads changes direction, which in the image series happens instantaneously (i.e., between two consecutive frames). However, as they are constrained by their stalk, there is a limit to the distance they can move. With the tracking parameter</w:t>
      </w:r>
      <w:r>
        <w:t xml:space="preserve"> </w:t>
      </w:r>
      <w:r>
        <w:rPr>
          <w:bCs/>
          <w:b/>
        </w:rPr>
        <w:t xml:space="preserve">running mean</w:t>
      </w:r>
      <w:r>
        <w:t xml:space="preserve">, we base the tracking on the distance between a point in the current frame and the running mean of the positions of a number of previous points in a track, taking advantage of the fact that flower move around a central point.</w:t>
      </w:r>
    </w:p>
    <w:p>
      <w:pPr>
        <w:pStyle w:val="BodyText"/>
      </w:pPr>
      <w:r>
        <w:t xml:space="preserve">Second, as they move, flowers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reasonable to assume that it is the same individual and not that the old flower wilted/disappeared and a new one developed. The parameter</w:t>
      </w:r>
      <w:r>
        <w:t xml:space="preserve"> </w:t>
      </w:r>
      <w:r>
        <w:rPr>
          <w:bCs/>
          <w:b/>
        </w:rPr>
        <w:t xml:space="preserve">max gap size</w:t>
      </w:r>
      <w:r>
        <w:t xml:space="preserve"> </w:t>
      </w:r>
      <w:r>
        <w:t xml:space="preserve">sets the number of frames a track can be lost before a new track is initiated for points appearing in the same area. Concurrently, this deals with potential false negatives. If a given flower has not been detected in a few frames, the track will not be lost.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do that with the parameter</w:t>
      </w:r>
      <w:r>
        <w:t xml:space="preserve"> </w:t>
      </w:r>
      <w:r>
        <w:rPr>
          <w:bCs/>
          <w:b/>
        </w:rPr>
        <w:t xml:space="preserve">max distance</w:t>
      </w:r>
      <w:r>
        <w:t xml:space="preserve">.</w:t>
      </w:r>
    </w:p>
    <w:bookmarkEnd w:id="29"/>
    <w:bookmarkEnd w:id="30"/>
    <w:bookmarkStart w:id="31" w:name="X410b44dbd4006677bcd0e3d871c484df47b4c81"/>
    <w:p>
      <w:pPr>
        <w:pStyle w:val="Heading1"/>
      </w:pPr>
      <w:r>
        <w:t xml:space="preserve">EDIT FIGURES: Zoom in, bigger dots, combine into one figure.</w:t>
      </w:r>
    </w:p>
    <w:bookmarkEnd w:id="31"/>
    <w:bookmarkStart w:id="33" w:name="section-5"/>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2"/>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3"/>
    <w:bookmarkStart w:id="35" w:name="section-6"/>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4"/>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5"/>
    <w:bookmarkStart w:id="37" w:name="section-7"/>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7"/>
    <w:bookmarkStart w:id="39" w:name="section-8"/>
    <w:p>
      <w:pPr>
        <w:pStyle w:val="Heading1"/>
      </w:pPr>
    </w:p>
    <w:bookmarkStart w:id="38" w:name="input-data-for-the-tracking-algorithm"/>
    <w:p>
      <w:pPr>
        <w:pStyle w:val="Heading3"/>
      </w:pPr>
      <w:r>
        <w:t xml:space="preserve">Input data for the tracking algorithm</w:t>
      </w:r>
    </w:p>
    <w:p>
      <w:pPr>
        <w:pStyle w:val="FirstParagraph"/>
      </w:pPr>
      <w:r>
        <w:t xml:space="preserve">The input data for the tracking algorithm are bounding box coordinates for each object in each frame given in the following format: frame number, x-min, y-min, x-max, y-max. Here, x-min, y-min is the top left corner of the bounding box and x-max, y-max is the bottom right corner. The bounding box centroid is calculated on the basis of these coordinates within the algorithm. Calculating tracking accuracy requires a ground truth ID for each bounding box which can be given as the sixth column. As this data structure is outputted from both manual object annotations and object detection methods using CNNs, the method can be applied on both manually and automatically derived data. Further, as the algorithm handles frames sequentially, it can be applied both offline and online.</w:t>
      </w:r>
    </w:p>
    <w:bookmarkEnd w:id="38"/>
    <w:bookmarkEnd w:id="39"/>
    <w:bookmarkStart w:id="41" w:name="section-9"/>
    <w:p>
      <w:pPr>
        <w:pStyle w:val="Heading1"/>
      </w:pPr>
    </w:p>
    <w:bookmarkStart w:id="40"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applied the tracking algorithm on each of the five image-series with every combination of a range of values for each parameter (3179 combinations): Values for max gap size and running mean were 0-160 with a step size of 10 and for max distance we used values 0-1000 with a step size of 100. Note that max distance set to zero ignores the parameter altogether. We identified the setting(s) that returned the lowest number of track mismatches and compare the tracking results between optimal settings and all parameters set to zero.</w:t>
      </w:r>
    </w:p>
    <w:bookmarkEnd w:id="40"/>
    <w:bookmarkEnd w:id="41"/>
    <w:bookmarkStart w:id="43" w:name="section-10"/>
    <w:p>
      <w:pPr>
        <w:pStyle w:val="Heading1"/>
      </w:pPr>
    </w:p>
    <w:bookmarkStart w:id="42" w:name="evaluating-tracking-performance"/>
    <w:p>
      <w:pPr>
        <w:pStyle w:val="Heading2"/>
      </w:pPr>
      <w:r>
        <w:t xml:space="preserve">Evaluating tracking performance</w:t>
      </w:r>
    </w:p>
    <w:p>
      <w:pPr>
        <w:pStyle w:val="FirstParagraph"/>
      </w:pPr>
      <w:r>
        <w:t xml:space="preserve">The optimal way of quantifying tracking performance depends on the goal of the tracking. To associate other information obtained in the images to the individual flower, for example flower visits, requires as much as possible of the track to be correct. To derive flowering length, in theory just requires correct association between the first and the last image of a flower while intermediate points can be ignored. Lastly, in some scenarios one may be interested in the number of flowers that existed in a plot, in which case the number of tracks obtained by automatic tracking should closely resemble the actual number of individuals in the series.</w:t>
      </w:r>
    </w:p>
    <w:p>
      <w:pPr>
        <w:pStyle w:val="BodyText"/>
      </w:pPr>
      <w:r>
        <w:t xml:space="preserve">The commonly used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use three evaluation metrics: We calculate the number of mismatches and derive the MOTA score (number of mismatches in relation to the total number of points) to evaluate performance of our tracking and filtering algorithms. Finally, we compare the number of tracks identified by the automatic tracking with the true number of flowers in a series. These should ideally be equal. However, a correct number of tracks (i.e. number of tracks equal to number of objects) does not necessarily translate to correct tracking, since individual tracks can be erroneously split by the tracking algorithm and several tracks can be combined. We present the tracking performance by both the lowets number of mismatches/highest MOTA given overall and for combinations that returned a number opf tracks equal to the number of flowers in the series.</w:t>
      </w:r>
    </w:p>
    <w:bookmarkEnd w:id="42"/>
    <w:bookmarkEnd w:id="43"/>
    <w:bookmarkStart w:id="45" w:name="section-11"/>
    <w:p>
      <w:pPr>
        <w:pStyle w:val="Heading1"/>
      </w:pPr>
    </w:p>
    <w:bookmarkStart w:id="44"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three points or more, we calculate the convex hull of all the points included in the track and derive the polygon from the vertices of the convex hull and calculate the centroid of this polygon. For tracks that contain more than two points but where the points a colinear, we establish the line through the points and calculate the centroid of the line.</w:t>
      </w:r>
    </w:p>
    <w:p>
      <w:pPr>
        <w:pStyle w:val="BodyText"/>
      </w:pPr>
      <w:r>
        <w:t xml:space="preserve">We then apply the filtering based on the geometry centroids to remove tracks in areas with a high density of tracks as these have a high risk of tracking mismatches. The filtering is done in two steps. First, the DBSCAN clustering algorithm</w:t>
      </w:r>
      <w:r>
        <w:t xml:space="preserve"> </w:t>
      </w:r>
      <w:r>
        <w:t xml:space="preserve">(Ester et al., 1996)</w:t>
      </w:r>
      <w:r>
        <w:t xml:space="preserve"> </w:t>
      </w:r>
      <w:r>
        <w:t xml:space="preserve">is run on the centroids with a conservatively high value for the eps parameter (350), meaning that tracks in close vicinity to each other will be clustered together. The value for eps was chosen by applying the filtering algorithm across the three series at range of eps values from x to x and a step size of x and identifying the value that returned the highest number of tracks across the three series at the lowest number of mismatches.</w:t>
      </w:r>
    </w:p>
    <w:p>
      <w:pPr>
        <w:pStyle w:val="BodyText"/>
      </w:pPr>
      <w:r>
        <w:t xml:space="preserve">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bookmarkEnd w:id="44"/>
    <w:bookmarkEnd w:id="45"/>
    <w:bookmarkStart w:id="46" w:name="section-12"/>
    <w:p>
      <w:pPr>
        <w:pStyle w:val="Heading1"/>
      </w:pPr>
    </w:p>
    <w:bookmarkEnd w:id="46"/>
    <w:bookmarkStart w:id="49"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7"/>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gap size and max distance, respectively).</w:t>
      </w:r>
    </w:p>
    <w:p>
      <w:pPr>
        <w:pStyle w:val="BodyText"/>
      </w:pPr>
      <w:r>
        <w:rPr>
          <w:bCs/>
          <w:b/>
        </w:rPr>
        <w:t xml:space="preserve">Table 2:</w:t>
      </w:r>
      <w:r>
        <w:t xml:space="preserve"> </w:t>
      </w:r>
      <w:r>
        <w:t xml:space="preserve">Results of the filtering algorithm with an eps value of 350 applied across all three .</w:t>
      </w:r>
      <w:r>
        <w:t xml:space="preserve"> </w:t>
      </w:r>
      <w:commentRangeStart w:id="0"/>
      <w:r>
        <w:t xml:space="preserve">Table 1</w:t>
      </w:r>
      <w:commentRangeEnd w:id="0"/>
      <w:r>
        <w:rPr>
          <w:rStyle w:val="CommentReference"/>
        </w:rPr>
        <w:commentReference w:id="0"/>
      </w:r>
      <w:r>
        <w:t xml:space="preserve"> </w:t>
      </w:r>
      <w:r>
        <w:t xml:space="preserve">series.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8"/>
                    <a:stretch>
                      <a:fillRect/>
                    </a:stretch>
                  </pic:blipFill>
                  <pic:spPr bwMode="auto">
                    <a:xfrm>
                      <a:off x="0" y="0"/>
                      <a:ext cx="5334000" cy="1073671"/>
                    </a:xfrm>
                    <a:prstGeom prst="rect">
                      <a:avLst/>
                    </a:prstGeom>
                    <a:noFill/>
                    <a:ln w="9525">
                      <a:noFill/>
                      <a:headEnd/>
                      <a:tailEnd/>
                    </a:ln>
                  </pic:spPr>
                </pic:pic>
              </a:graphicData>
            </a:graphic>
          </wp:inline>
        </w:drawing>
      </w:r>
    </w:p>
    <w:bookmarkEnd w:id="49"/>
    <w:bookmarkStart w:id="53" w:name="section-13"/>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50"/>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51"/>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52"/>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53"/>
    <w:bookmarkStart w:id="54" w:name="discussion"/>
    <w:p>
      <w:pPr>
        <w:pStyle w:val="Heading1"/>
      </w:pPr>
      <w:r>
        <w:t xml:space="preserve">Discussion</w:t>
      </w:r>
    </w:p>
    <w:bookmarkEnd w:id="54"/>
    <w:bookmarkStart w:id="56" w:name="section-14"/>
    <w:p>
      <w:pPr>
        <w:pStyle w:val="Heading1"/>
      </w:pPr>
    </w:p>
    <w:bookmarkStart w:id="55" w:name="tracking"/>
    <w:p>
      <w:pPr>
        <w:pStyle w:val="Heading2"/>
      </w:pPr>
      <w:r>
        <w:t xml:space="preserve">Tracking</w:t>
      </w:r>
    </w:p>
    <w:p>
      <w:pPr>
        <w:pStyle w:val="FirstParagraph"/>
      </w:pPr>
      <w:r>
        <w:t xml:space="preserve">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Some tracking algorithms, such as DeepSORT</w:t>
      </w:r>
      <w:r>
        <w:t xml:space="preserve"> </w:t>
      </w:r>
      <w:r>
        <w:t xml:space="preserve">(Wojke et al., 2017)</w:t>
      </w:r>
      <w:r>
        <w:t xml:space="preserve">, take the tracking-by-detection approach in which convolutional neural networks (CNNs) are applied to leverage appearance information in order to continuously distinguish individuals through time, thus aiding the tracking algorithm. In our case, however, flowers are not clearly distinguishable and one flower may look less alike between two frames than two flowers in a single frame.</w:t>
      </w:r>
    </w:p>
    <w:p>
      <w:pPr>
        <w:pStyle w:val="BodyText"/>
      </w:pPr>
      <w:r>
        <w:t xml:space="preserve">Fine-tuning and evaluating any tracking algorithm requires a ground dataset to compare tracking accuracy against.</w:t>
      </w:r>
    </w:p>
    <w:p>
      <w:pPr>
        <w:pStyle w:val="BodyText"/>
      </w:pPr>
      <w:r>
        <w:t xml:space="preserve">We applied our tracking algorithm on 3179 combinations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We have demonstrated that our tracking algorithm with the three tracking parameters and the subsequent filtering algorithm can substantially increase accuracy of the tracking of flowers despite the fact that they break the assumptions of general tracking methods.</w:t>
      </w:r>
    </w:p>
    <w:p>
      <w:pPr>
        <w:pStyle w:val="BodyText"/>
      </w:pPr>
      <w:r>
        <w:t xml:space="preserve">In a naive setting, a priori knowledge about which settings to use is not available.</w:t>
      </w:r>
    </w:p>
    <w:p>
      <w:pPr>
        <w:pStyle w:val="BodyText"/>
      </w:pPr>
      <w:r>
        <w:t xml:space="preserve">As with any tracking method, accuracy can only be assessed based on visual … or more … based on a subsample of tracks for whih a ground truth exists.</w:t>
      </w:r>
    </w:p>
    <w:p>
      <w:pPr>
        <w:pStyle w:val="BodyText"/>
      </w:pPr>
      <w:r>
        <w:t xml:space="preserve">We recommend to perform a parameter test as demonstrated here on subset of ground truth tracks to derive optimal parameters for application of the method in a new setting.</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w:t>
      </w:r>
    </w:p>
    <w:p>
      <w:pPr>
        <w:pStyle w:val="BodyText"/>
      </w:pPr>
      <w:r>
        <w:t xml:space="preserve">Our tracking algorithm consistently returns high MOTA scores.</w:t>
      </w:r>
    </w:p>
    <w:p>
      <w:pPr>
        <w:pStyle w:val="BodyText"/>
      </w:pPr>
      <w:r>
        <w:t xml:space="preserve">For complex scenes, all three parameters make a difference.</w:t>
      </w:r>
    </w:p>
    <w:p>
      <w:pPr>
        <w:pStyle w:val="BodyText"/>
      </w:pPr>
      <w:r>
        <w:t xml:space="preserve">The parameters are interdependent.</w:t>
      </w:r>
    </w:p>
    <w:p>
      <w:pPr>
        <w:pStyle w:val="BodyText"/>
      </w:pPr>
      <w:r>
        <w:t xml:space="preserve">In cases where we are tracking perfectly with maxDisap = 0, setting it any value will not make a difference. Not quite right. Explore more…</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gap size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5"/>
    <w:bookmarkEnd w:id="56"/>
    <w:bookmarkStart w:id="58" w:name="section-15"/>
    <w:p>
      <w:pPr>
        <w:pStyle w:val="Heading1"/>
      </w:pPr>
    </w:p>
    <w:bookmarkStart w:id="57"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rPr>
          <w:bCs/>
          <w:b/>
        </w:rPr>
        <w:t xml:space="preserve">Alekos: I think it would be good to add a short description or comment on what each of the mentioned parameters is used for (e.g. why did you need to change its value, how this affects the performance of the method on the challenges in your dataset compared to standard computer vision tracking datasets).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57"/>
    <w:bookmarkEnd w:id="58"/>
    <w:bookmarkStart w:id="60" w:name="section-16"/>
    <w:p>
      <w:pPr>
        <w:pStyle w:val="Heading1"/>
      </w:pPr>
    </w:p>
    <w:bookmarkStart w:id="59" w:name="the-image-series"/>
    <w:p>
      <w:pPr>
        <w:pStyle w:val="Heading2"/>
      </w:pPr>
      <w:r>
        <w:t xml:space="preserve">The image series</w:t>
      </w:r>
    </w:p>
    <w:p>
      <w:pPr>
        <w:pStyle w:val="FirstParagraph"/>
      </w:pPr>
      <w:r>
        <w:t xml:space="preserve">A point on the fact the these series are complex.</w:t>
      </w:r>
    </w:p>
    <w:bookmarkEnd w:id="59"/>
    <w:bookmarkEnd w:id="60"/>
    <w:bookmarkStart w:id="62" w:name="section-17"/>
    <w:p>
      <w:pPr>
        <w:pStyle w:val="Heading1"/>
      </w:pPr>
    </w:p>
    <w:bookmarkStart w:id="61" w:name="conclusion"/>
    <w:p>
      <w:pPr>
        <w:pStyle w:val="Heading2"/>
      </w:pPr>
      <w:r>
        <w:t xml:space="preserve">Conclusion</w:t>
      </w:r>
    </w:p>
    <w:p>
      <w:pPr>
        <w:pStyle w:val="FirstParagraph"/>
      </w:pPr>
      <w:r>
        <w:t xml:space="preserve">A paragraph about the ecological perspectives of being able to track the individual flowers (at scale).</w:t>
      </w:r>
    </w:p>
    <w:bookmarkEnd w:id="61"/>
    <w:bookmarkEnd w:id="62"/>
    <w:bookmarkStart w:id="63" w:name="acknowledgements"/>
    <w:p>
      <w:pPr>
        <w:pStyle w:val="Heading1"/>
      </w:pPr>
      <w:r>
        <w:t xml:space="preserve">Acknowledgements</w:t>
      </w:r>
    </w:p>
    <w:bookmarkEnd w:id="63"/>
    <w:bookmarkStart w:id="66"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4">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5">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The number of flowers produced by an individual is also a factor.</w:t>
      </w:r>
    </w:p>
    <w:p>
      <w:pPr>
        <w:pStyle w:val="BodyText"/>
      </w:pPr>
      <w:r>
        <w:t xml:space="preserve">For each series, we calculate the ratio of flowers for which the automatic tracking algorithm returns the correct flowering length compared to the ground truth tracks.</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truth tracks. First, we calculated the largest distance between any two points within any track for any flower in each of the five series. Further, we calculated the maximum number of frames a flower track was lost and subsequently reappeared for each series.</w:t>
      </w:r>
    </w:p>
    <w:p>
      <w:r>
        <w:br w:type="page"/>
      </w:r>
    </w:p>
    <w:bookmarkEnd w:id="66"/>
    <w:bookmarkStart w:id="101" w:name="references"/>
    <w:p>
      <w:pPr>
        <w:pStyle w:val="Heading1"/>
      </w:pPr>
      <w:r>
        <w:t xml:space="preserve">References</w:t>
      </w:r>
      <w:r>
        <w:br/>
      </w:r>
    </w:p>
    <w:bookmarkStart w:id="100" w:name="refs"/>
    <w:bookmarkStart w:id="68" w:name="ref-ashman2004"/>
    <w:p>
      <w:pPr>
        <w:pStyle w:val="Bibliography"/>
      </w:pPr>
      <w:r>
        <w:t xml:space="preserve">Ashman, T.-L., Knight, T. M., Steets, J. A., Amarasekare, P., Burd, M., Campbell, D. R., Dudash, M. R., Johnston, M. O., Mazer, S. J., Mitchell, R. J., Morgan, M. T., &amp; Wilson, W. G. (2004). POLLEN LIMITATION OF PLANT REPRODUCTION: ECOLOGICAL AND EVOLUTIONARY CAUSES AND CONSEQUENCES.</w:t>
      </w:r>
      <w:r>
        <w:t xml:space="preserve"> </w:t>
      </w:r>
      <w:r>
        <w:rPr>
          <w:iCs/>
          <w:i/>
        </w:rPr>
        <w:t xml:space="preserve">Ecology</w:t>
      </w:r>
      <w:r>
        <w:t xml:space="preserve">,</w:t>
      </w:r>
      <w:r>
        <w:t xml:space="preserve"> </w:t>
      </w:r>
      <w:r>
        <w:rPr>
          <w:iCs/>
          <w:i/>
        </w:rPr>
        <w:t xml:space="preserve">85</w:t>
      </w:r>
      <w:r>
        <w:t xml:space="preserve">(9), 2408–2421. https://doi.org/</w:t>
      </w:r>
      <w:hyperlink r:id="rId67">
        <w:r>
          <w:rPr>
            <w:rStyle w:val="Hyperlink"/>
          </w:rPr>
          <w:t xml:space="preserve">https://doi.org/10.1890/03-8024</w:t>
        </w:r>
      </w:hyperlink>
    </w:p>
    <w:bookmarkEnd w:id="68"/>
    <w:bookmarkStart w:id="69"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69"/>
    <w:bookmarkStart w:id="71"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70">
        <w:r>
          <w:rPr>
            <w:rStyle w:val="Hyperlink"/>
          </w:rPr>
          <w:t xml:space="preserve">https://doi.org/10.1109/icip.2016.7533003</w:t>
        </w:r>
      </w:hyperlink>
    </w:p>
    <w:bookmarkEnd w:id="71"/>
    <w:bookmarkStart w:id="73" w:name="ref-bolmgren2015"/>
    <w:p>
      <w:pPr>
        <w:pStyle w:val="Bibliography"/>
      </w:pPr>
      <w:r>
        <w:t xml:space="preserve">Bolmgren, K., &amp; Eriksson, O. (2015). Are mismatches the norm? Timing of flowering, fruiting, dispersal and germination and their fitness effects in frangula alnus (rhamnaceae).</w:t>
      </w:r>
      <w:r>
        <w:t xml:space="preserve"> </w:t>
      </w:r>
      <w:r>
        <w:rPr>
          <w:iCs/>
          <w:i/>
        </w:rPr>
        <w:t xml:space="preserve">Oikos</w:t>
      </w:r>
      <w:r>
        <w:t xml:space="preserve">,</w:t>
      </w:r>
      <w:r>
        <w:t xml:space="preserve"> </w:t>
      </w:r>
      <w:r>
        <w:rPr>
          <w:iCs/>
          <w:i/>
        </w:rPr>
        <w:t xml:space="preserve">124</w:t>
      </w:r>
      <w:r>
        <w:t xml:space="preserve">(5), 639–648. https://doi.org/</w:t>
      </w:r>
      <w:hyperlink r:id="rId72">
        <w:r>
          <w:rPr>
            <w:rStyle w:val="Hyperlink"/>
          </w:rPr>
          <w:t xml:space="preserve">https://doi.org/10.1111/oik.01491</w:t>
        </w:r>
      </w:hyperlink>
    </w:p>
    <w:bookmarkEnd w:id="73"/>
    <w:bookmarkStart w:id="75" w:name="ref-cook2012"/>
    <w:p>
      <w:pPr>
        <w:pStyle w:val="Bibliography"/>
      </w:pPr>
      <w:r>
        <w:t xml:space="preserve">Cook, B. I., Wolkovich, E. M., &amp; Parmesan, C. (2012).</w:t>
      </w:r>
      <w:r>
        <w:t xml:space="preserve"> </w:t>
      </w:r>
      <w:r>
        <w:t xml:space="preserve">Divergent responses to spring and winter warming drive community level flowering trends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109</w:t>
      </w:r>
      <w:r>
        <w:t xml:space="preserve">(23), 9000–9005.</w:t>
      </w:r>
      <w:r>
        <w:t xml:space="preserve"> </w:t>
      </w:r>
      <w:hyperlink r:id="rId74">
        <w:r>
          <w:rPr>
            <w:rStyle w:val="Hyperlink"/>
          </w:rPr>
          <w:t xml:space="preserve">https://doi.org/10.1073/pnas.1118364109</w:t>
        </w:r>
      </w:hyperlink>
    </w:p>
    <w:bookmarkEnd w:id="75"/>
    <w:bookmarkStart w:id="77" w:name="ref-dutta2019"/>
    <w:p>
      <w:pPr>
        <w:pStyle w:val="Bibliography"/>
      </w:pPr>
      <w:r>
        <w:t xml:space="preserve">Dutta, A., &amp; Zisserman, A. (2019).</w:t>
      </w:r>
      <w:r>
        <w:t xml:space="preserve"> </w:t>
      </w:r>
      <w:r>
        <w:t xml:space="preserve">The VIA annotation software for images, audio and video</w:t>
      </w:r>
      <w:r>
        <w:t xml:space="preserve">.</w:t>
      </w:r>
      <w:r>
        <w:t xml:space="preserve"> </w:t>
      </w:r>
      <w:r>
        <w:rPr>
          <w:iCs/>
          <w:i/>
        </w:rPr>
        <w:t xml:space="preserve">MM 2019 - Proceedings of the 27th ACM International Conference on Multimedia</w:t>
      </w:r>
      <w:r>
        <w:t xml:space="preserve">, 2276–2279.</w:t>
      </w:r>
      <w:r>
        <w:t xml:space="preserve"> </w:t>
      </w:r>
      <w:hyperlink r:id="rId76">
        <w:r>
          <w:rPr>
            <w:rStyle w:val="Hyperlink"/>
          </w:rPr>
          <w:t xml:space="preserve">https://doi.org/10.1145/3343031.3350535</w:t>
        </w:r>
      </w:hyperlink>
    </w:p>
    <w:bookmarkEnd w:id="77"/>
    <w:bookmarkStart w:id="79"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78">
        <w:r>
          <w:rPr>
            <w:rStyle w:val="Hyperlink"/>
          </w:rPr>
          <w:t xml:space="preserve">https://doi.org/10.1016/j.tree.2007.05.006</w:t>
        </w:r>
      </w:hyperlink>
    </w:p>
    <w:bookmarkEnd w:id="79"/>
    <w:bookmarkStart w:id="80" w:name="ref-ester1996"/>
    <w:p>
      <w:pPr>
        <w:pStyle w:val="Bibliography"/>
      </w:pPr>
      <w:r>
        <w:t xml:space="preserve">Ester, M., Kriegel, H.-P., Sander, J., Xu, X., &amp; others. (1996). A density-based algorithm for discovering clusters in large spatial databases with noise.</w:t>
      </w:r>
      <w:r>
        <w:t xml:space="preserve"> </w:t>
      </w:r>
      <w:r>
        <w:rPr>
          <w:iCs/>
          <w:i/>
        </w:rPr>
        <w:t xml:space="preserve">Kdd</w:t>
      </w:r>
      <w:r>
        <w:t xml:space="preserve">,</w:t>
      </w:r>
      <w:r>
        <w:t xml:space="preserve"> </w:t>
      </w:r>
      <w:r>
        <w:rPr>
          <w:iCs/>
          <w:i/>
        </w:rPr>
        <w:t xml:space="preserve">96</w:t>
      </w:r>
      <w:r>
        <w:t xml:space="preserve">, 226–231.</w:t>
      </w:r>
    </w:p>
    <w:bookmarkEnd w:id="80"/>
    <w:bookmarkStart w:id="82" w:name="ref-hoye2013"/>
    <w:p>
      <w:pPr>
        <w:pStyle w:val="Bibliography"/>
      </w:pPr>
      <w:r>
        <w:t xml:space="preserve">Høye, T. T., Post, E., Schmidt, N. M., Trøjelsgaard, K., &amp; Forchhammer, M. C. (2013).</w:t>
      </w:r>
      <w:r>
        <w:t xml:space="preserve"> </w:t>
      </w:r>
      <w:r>
        <w:t xml:space="preserve">Shorter flowering seasons and declining abundance of flower visitors in a warmer Arctic</w:t>
      </w:r>
      <w:r>
        <w:t xml:space="preserve">.</w:t>
      </w:r>
      <w:r>
        <w:t xml:space="preserve"> </w:t>
      </w:r>
      <w:r>
        <w:rPr>
          <w:iCs/>
          <w:i/>
        </w:rPr>
        <w:t xml:space="preserve">Nature Climate Change</w:t>
      </w:r>
      <w:r>
        <w:t xml:space="preserve">,</w:t>
      </w:r>
      <w:r>
        <w:t xml:space="preserve"> </w:t>
      </w:r>
      <w:r>
        <w:rPr>
          <w:iCs/>
          <w:i/>
        </w:rPr>
        <w:t xml:space="preserve">3</w:t>
      </w:r>
      <w:r>
        <w:t xml:space="preserve">(8), 759–763.</w:t>
      </w:r>
      <w:r>
        <w:t xml:space="preserve"> </w:t>
      </w:r>
      <w:hyperlink r:id="rId81">
        <w:r>
          <w:rPr>
            <w:rStyle w:val="Hyperlink"/>
          </w:rPr>
          <w:t xml:space="preserve">https://doi.org/10.1038/nclimate1909</w:t>
        </w:r>
      </w:hyperlink>
    </w:p>
    <w:bookmarkEnd w:id="82"/>
    <w:bookmarkStart w:id="84" w:name="ref-inouye2019"/>
    <w:p>
      <w:pPr>
        <w:pStyle w:val="Bibliography"/>
      </w:pPr>
      <w:r>
        <w:t xml:space="preserve">Inouye, B. D., Ehrlén, J., &amp; Underwood, N. (2019). Phenology as a process rather than an event: From individual reaction norms to community metrics.</w:t>
      </w:r>
      <w:r>
        <w:t xml:space="preserve"> </w:t>
      </w:r>
      <w:r>
        <w:rPr>
          <w:iCs/>
          <w:i/>
        </w:rPr>
        <w:t xml:space="preserve">Ecological Monographs</w:t>
      </w:r>
      <w:r>
        <w:t xml:space="preserve">,</w:t>
      </w:r>
      <w:r>
        <w:t xml:space="preserve"> </w:t>
      </w:r>
      <w:r>
        <w:rPr>
          <w:iCs/>
          <w:i/>
        </w:rPr>
        <w:t xml:space="preserve">89</w:t>
      </w:r>
      <w:r>
        <w:t xml:space="preserve">(2), e01352. https://doi.org/</w:t>
      </w:r>
      <w:hyperlink r:id="rId83">
        <w:r>
          <w:rPr>
            <w:rStyle w:val="Hyperlink"/>
          </w:rPr>
          <w:t xml:space="preserve">https://doi.org/10.1002/ecm.1352</w:t>
        </w:r>
      </w:hyperlink>
    </w:p>
    <w:bookmarkEnd w:id="84"/>
    <w:bookmarkStart w:id="86"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85">
        <w:r>
          <w:rPr>
            <w:rStyle w:val="Hyperlink"/>
          </w:rPr>
          <w:t xml:space="preserve">https://doi.org/10.1115/1.3662552</w:t>
        </w:r>
      </w:hyperlink>
    </w:p>
    <w:bookmarkEnd w:id="86"/>
    <w:bookmarkStart w:id="88" w:name="ref-larson1999"/>
    <w:p>
      <w:pPr>
        <w:pStyle w:val="Bibliography"/>
      </w:pPr>
      <w:r>
        <w:t xml:space="preserve">Larson, B. M. H., &amp; Barrett, S. C. H. (1999). The ecology of pollen limitation in buzz-pollinated rhexia virginica (melastomataceae).</w:t>
      </w:r>
      <w:r>
        <w:t xml:space="preserve"> </w:t>
      </w:r>
      <w:r>
        <w:rPr>
          <w:iCs/>
          <w:i/>
        </w:rPr>
        <w:t xml:space="preserve">Journal of Ecology</w:t>
      </w:r>
      <w:r>
        <w:t xml:space="preserve">,</w:t>
      </w:r>
      <w:r>
        <w:t xml:space="preserve"> </w:t>
      </w:r>
      <w:r>
        <w:rPr>
          <w:iCs/>
          <w:i/>
        </w:rPr>
        <w:t xml:space="preserve">87</w:t>
      </w:r>
      <w:r>
        <w:t xml:space="preserve">(3), 371–381.</w:t>
      </w:r>
      <w:r>
        <w:t xml:space="preserve"> </w:t>
      </w:r>
      <w:hyperlink r:id="rId87">
        <w:r>
          <w:rPr>
            <w:rStyle w:val="Hyperlink"/>
          </w:rPr>
          <w:t xml:space="preserve">http://www.jstor.org/stable/2648356</w:t>
        </w:r>
      </w:hyperlink>
    </w:p>
    <w:bookmarkEnd w:id="88"/>
    <w:bookmarkStart w:id="89" w:name="ref-linden2018"/>
    <w:p>
      <w:pPr>
        <w:pStyle w:val="Bibliography"/>
      </w:pPr>
      <w:r>
        <w:t xml:space="preserve">Lindén, A. (2018). Adaptive and nonadaptive changes in phenological synchrony.</w:t>
      </w:r>
      <w:r>
        <w:t xml:space="preserve"> </w:t>
      </w:r>
      <w:r>
        <w:rPr>
          <w:iCs/>
          <w:i/>
        </w:rPr>
        <w:t xml:space="preserve">Proceedings of the National Academy of Sciences</w:t>
      </w:r>
      <w:r>
        <w:t xml:space="preserve">,</w:t>
      </w:r>
      <w:r>
        <w:t xml:space="preserve"> </w:t>
      </w:r>
      <w:r>
        <w:rPr>
          <w:iCs/>
          <w:i/>
        </w:rPr>
        <w:t xml:space="preserve">115</w:t>
      </w:r>
      <w:r>
        <w:t xml:space="preserve">(20), 5057–5059.</w:t>
      </w:r>
    </w:p>
    <w:bookmarkEnd w:id="89"/>
    <w:bookmarkStart w:id="91" w:name="ref-miller2008"/>
    <w:p>
      <w:pPr>
        <w:pStyle w:val="Bibliography"/>
      </w:pPr>
      <w:r>
        <w:t xml:space="preserve">Miller-Rushing, A. J., Inouye, D. W., &amp; Primack, R. B. (2008). How well do first flowering dates measure plant responses to climate change? The effects of population size and sampling frequency.</w:t>
      </w:r>
      <w:r>
        <w:t xml:space="preserve"> </w:t>
      </w:r>
      <w:r>
        <w:rPr>
          <w:iCs/>
          <w:i/>
        </w:rPr>
        <w:t xml:space="preserve">Journal of Ecology</w:t>
      </w:r>
      <w:r>
        <w:t xml:space="preserve">,</w:t>
      </w:r>
      <w:r>
        <w:t xml:space="preserve"> </w:t>
      </w:r>
      <w:r>
        <w:rPr>
          <w:iCs/>
          <w:i/>
        </w:rPr>
        <w:t xml:space="preserve">96</w:t>
      </w:r>
      <w:r>
        <w:t xml:space="preserve">(6), 1289–1296. https://doi.org/</w:t>
      </w:r>
      <w:hyperlink r:id="rId90">
        <w:r>
          <w:rPr>
            <w:rStyle w:val="Hyperlink"/>
          </w:rPr>
          <w:t xml:space="preserve">https://doi.org/10.1111/j.1365-2745.2008.01436.x</w:t>
        </w:r>
      </w:hyperlink>
    </w:p>
    <w:bookmarkEnd w:id="91"/>
    <w:bookmarkStart w:id="93" w:name="ref-ogilvie2017"/>
    <w:p>
      <w:pPr>
        <w:pStyle w:val="Bibliography"/>
      </w:pPr>
      <w:r>
        <w:t xml:space="preserve">Ogilvie, J., Griffin, S., Gezon, Z., Inouye, B., Underwood, N., Inouye, D., &amp; Irwin, R. (2017). Interannual bumble bee abundance is driven by indirect climate effects on floral resource phenology.</w:t>
      </w:r>
      <w:r>
        <w:t xml:space="preserve"> </w:t>
      </w:r>
      <w:r>
        <w:rPr>
          <w:iCs/>
          <w:i/>
        </w:rPr>
        <w:t xml:space="preserve">Ecology Letters</w:t>
      </w:r>
      <w:r>
        <w:t xml:space="preserve">,</w:t>
      </w:r>
      <w:r>
        <w:t xml:space="preserve"> </w:t>
      </w:r>
      <w:r>
        <w:rPr>
          <w:iCs/>
          <w:i/>
        </w:rPr>
        <w:t xml:space="preserve">20</w:t>
      </w:r>
      <w:r>
        <w:t xml:space="preserve">, 1507–1515.</w:t>
      </w:r>
      <w:r>
        <w:t xml:space="preserve"> </w:t>
      </w:r>
      <w:hyperlink r:id="rId92">
        <w:r>
          <w:rPr>
            <w:rStyle w:val="Hyperlink"/>
          </w:rPr>
          <w:t xml:space="preserve">https://doi.org/10.1111/ele.12854</w:t>
        </w:r>
      </w:hyperlink>
    </w:p>
    <w:bookmarkEnd w:id="93"/>
    <w:bookmarkStart w:id="95" w:name="ref-philipp2003"/>
    <w:p>
      <w:pPr>
        <w:pStyle w:val="Bibliography"/>
      </w:pPr>
      <w:r>
        <w:t xml:space="preserve">Philipp, M., &amp; Siegismund, H. R. (2003).</w:t>
      </w:r>
      <w:r>
        <w:t xml:space="preserve"> </w:t>
      </w:r>
      <w:r>
        <w:t xml:space="preserve">What can morphology and isozymes tell us about the history of the Dryas integrifolia-octopetala complex?</w:t>
      </w:r>
      <w:r>
        <w:t xml:space="preserve"> </w:t>
      </w:r>
      <w:r>
        <w:rPr>
          <w:iCs/>
          <w:i/>
        </w:rPr>
        <w:t xml:space="preserve">Molecular Ecology</w:t>
      </w:r>
      <w:r>
        <w:t xml:space="preserve">,</w:t>
      </w:r>
      <w:r>
        <w:t xml:space="preserve"> </w:t>
      </w:r>
      <w:r>
        <w:rPr>
          <w:iCs/>
          <w:i/>
        </w:rPr>
        <w:t xml:space="preserve">12</w:t>
      </w:r>
      <w:r>
        <w:t xml:space="preserve">(8), 2231–2242.</w:t>
      </w:r>
      <w:r>
        <w:t xml:space="preserve"> </w:t>
      </w:r>
      <w:hyperlink r:id="rId94">
        <w:r>
          <w:rPr>
            <w:rStyle w:val="Hyperlink"/>
          </w:rPr>
          <w:t xml:space="preserve">https://doi.org/10.1046/j.1365-294X.2003.01875.x</w:t>
        </w:r>
      </w:hyperlink>
    </w:p>
    <w:bookmarkEnd w:id="95"/>
    <w:bookmarkStart w:id="97" w:name="ref-Prevey2021"/>
    <w:p>
      <w:pPr>
        <w:pStyle w:val="Bibliography"/>
      </w:pPr>
      <w:r>
        <w:t xml:space="preserve">Prevéy, J. S., Elmendorf, S., Bjorkman, A., Alatalo, J., Ashton, I., Assmann, J., Björk, R. G., Björkman, M. P., Cannone, N., Carbognani, M., Chisholm, C., Clark, K., Collins, C., Cooper, E. J., Elberling, B., Frei, E., Henry, G. H. R., Hollister, R. D., Høye, T., … Yang, Y. (2021).</w:t>
      </w:r>
      <w:r>
        <w:t xml:space="preserve"> </w:t>
      </w:r>
      <w:r>
        <w:t xml:space="preserve">The tundra phenology database: More than two decades of tundra phenology responses to climate change</w:t>
      </w:r>
      <w:r>
        <w:t xml:space="preserve">.</w:t>
      </w:r>
      <w:r>
        <w:t xml:space="preserve"> </w:t>
      </w:r>
      <w:r>
        <w:rPr>
          <w:iCs/>
          <w:i/>
        </w:rPr>
        <w:t xml:space="preserve">Arctic Science (in Press)</w:t>
      </w:r>
      <w:r>
        <w:t xml:space="preserve">.</w:t>
      </w:r>
      <w:r>
        <w:t xml:space="preserve"> </w:t>
      </w:r>
      <w:hyperlink r:id="rId96">
        <w:r>
          <w:rPr>
            <w:rStyle w:val="Hyperlink"/>
          </w:rPr>
          <w:t xml:space="preserve">https://doi.org/10.1139/as-2020-0041</w:t>
        </w:r>
      </w:hyperlink>
    </w:p>
    <w:bookmarkEnd w:id="97"/>
    <w:bookmarkStart w:id="99" w:name="ref-deepsort2017"/>
    <w:p>
      <w:pPr>
        <w:pStyle w:val="Bibliography"/>
      </w:pPr>
      <w:r>
        <w:t xml:space="preserve">Wojke, N., Bewley, A., &amp; Paulus, D. (2017).</w:t>
      </w:r>
      <w:r>
        <w:t xml:space="preserve"> </w:t>
      </w:r>
      <w:r>
        <w:rPr>
          <w:iCs/>
          <w:i/>
        </w:rPr>
        <w:t xml:space="preserve">Simple online and realtime tracking with a deep association metric</w:t>
      </w:r>
      <w:r>
        <w:t xml:space="preserve">.</w:t>
      </w:r>
      <w:r>
        <w:t xml:space="preserve"> </w:t>
      </w:r>
      <w:hyperlink r:id="rId98">
        <w:r>
          <w:rPr>
            <w:rStyle w:val="Hyperlink"/>
          </w:rPr>
          <w:t xml:space="preserve">http://arxiv.org/abs/1703.07402</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Note to self. Table shows to what degree a tr track contains points from a single gt track, but does not show whether all points of the gt track are included in the tr track. We know that is the case, but should it be tested/shown?</w:t>
      </w:r>
    </w:p>
  </w:comment>
  <w:comment w:id="0" w:author="Hjalte M." w:date="2020-01">
    <w:p>
      <w:pPr>
        <w:pStyle w:val="CommentText"/>
      </w:pPr>
      <w:r>
        <w:rPr>
          <w:rStyle w:val="CommentReference"/>
          <w:annotationRef/>
        </w:rPr>
      </w:r>
      <w:r>
        <w:t xml:space="preserve">I haven’t included these results. Not sure if they should be.</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34" Target="media/rId34.jp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hyperlink" Id="rId98" Target="http://arxiv.org/abs/1703.07402" TargetMode="External" /><Relationship Type="http://schemas.openxmlformats.org/officeDocument/2006/relationships/hyperlink" Id="rId87" Target="http://www.jstor.org/stable/2648356" TargetMode="External" /><Relationship Type="http://schemas.openxmlformats.org/officeDocument/2006/relationships/hyperlink" Id="rId83" Target="https://doi.org/10.1002/ecm.1352" TargetMode="External" /><Relationship Type="http://schemas.openxmlformats.org/officeDocument/2006/relationships/hyperlink" Id="rId78" Target="https://doi.org/10.1016/j.tree.2007.05.006" TargetMode="External" /><Relationship Type="http://schemas.openxmlformats.org/officeDocument/2006/relationships/hyperlink" Id="rId81" Target="https://doi.org/10.1038/nclimate1909" TargetMode="External" /><Relationship Type="http://schemas.openxmlformats.org/officeDocument/2006/relationships/hyperlink" Id="rId94" Target="https://doi.org/10.1046/j.1365-294X.2003.01875.x" TargetMode="External" /><Relationship Type="http://schemas.openxmlformats.org/officeDocument/2006/relationships/hyperlink" Id="rId74" Target="https://doi.org/10.1073/pnas.1118364109" TargetMode="External" /><Relationship Type="http://schemas.openxmlformats.org/officeDocument/2006/relationships/hyperlink" Id="rId70" Target="https://doi.org/10.1109/icip.2016.7533003" TargetMode="External" /><Relationship Type="http://schemas.openxmlformats.org/officeDocument/2006/relationships/hyperlink" Id="rId92" Target="https://doi.org/10.1111/ele.12854" TargetMode="External" /><Relationship Type="http://schemas.openxmlformats.org/officeDocument/2006/relationships/hyperlink" Id="rId90" Target="https://doi.org/10.1111/j.1365-2745.2008.01436.x" TargetMode="External" /><Relationship Type="http://schemas.openxmlformats.org/officeDocument/2006/relationships/hyperlink" Id="rId72" Target="https://doi.org/10.1111/oik.01491" TargetMode="External" /><Relationship Type="http://schemas.openxmlformats.org/officeDocument/2006/relationships/hyperlink" Id="rId85" Target="https://doi.org/10.1115/1.3662552" TargetMode="External" /><Relationship Type="http://schemas.openxmlformats.org/officeDocument/2006/relationships/hyperlink" Id="rId96" Target="https://doi.org/10.1139/as-2020-0041" TargetMode="External" /><Relationship Type="http://schemas.openxmlformats.org/officeDocument/2006/relationships/hyperlink" Id="rId76" Target="https://doi.org/10.1145/3343031.3350535" TargetMode="External" /><Relationship Type="http://schemas.openxmlformats.org/officeDocument/2006/relationships/hyperlink" Id="rId67" Target="https://doi.org/10.1890/03-8024" TargetMode="External" /><Relationship Type="http://schemas.openxmlformats.org/officeDocument/2006/relationships/hyperlink" Id="rId64" Target="https://github.com/TECOLOGYxyz/FlowerTracking" TargetMode="External" /><Relationship Type="http://schemas.openxmlformats.org/officeDocument/2006/relationships/hyperlink" Id="rId65"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98" Target="http://arxiv.org/abs/1703.07402" TargetMode="External" /><Relationship Type="http://schemas.openxmlformats.org/officeDocument/2006/relationships/hyperlink" Id="rId87" Target="http://www.jstor.org/stable/2648356" TargetMode="External" /><Relationship Type="http://schemas.openxmlformats.org/officeDocument/2006/relationships/hyperlink" Id="rId83" Target="https://doi.org/10.1002/ecm.1352" TargetMode="External" /><Relationship Type="http://schemas.openxmlformats.org/officeDocument/2006/relationships/hyperlink" Id="rId78" Target="https://doi.org/10.1016/j.tree.2007.05.006" TargetMode="External" /><Relationship Type="http://schemas.openxmlformats.org/officeDocument/2006/relationships/hyperlink" Id="rId81" Target="https://doi.org/10.1038/nclimate1909" TargetMode="External" /><Relationship Type="http://schemas.openxmlformats.org/officeDocument/2006/relationships/hyperlink" Id="rId94" Target="https://doi.org/10.1046/j.1365-294X.2003.01875.x" TargetMode="External" /><Relationship Type="http://schemas.openxmlformats.org/officeDocument/2006/relationships/hyperlink" Id="rId74" Target="https://doi.org/10.1073/pnas.1118364109" TargetMode="External" /><Relationship Type="http://schemas.openxmlformats.org/officeDocument/2006/relationships/hyperlink" Id="rId70" Target="https://doi.org/10.1109/icip.2016.7533003" TargetMode="External" /><Relationship Type="http://schemas.openxmlformats.org/officeDocument/2006/relationships/hyperlink" Id="rId92" Target="https://doi.org/10.1111/ele.12854" TargetMode="External" /><Relationship Type="http://schemas.openxmlformats.org/officeDocument/2006/relationships/hyperlink" Id="rId90" Target="https://doi.org/10.1111/j.1365-2745.2008.01436.x" TargetMode="External" /><Relationship Type="http://schemas.openxmlformats.org/officeDocument/2006/relationships/hyperlink" Id="rId72" Target="https://doi.org/10.1111/oik.01491" TargetMode="External" /><Relationship Type="http://schemas.openxmlformats.org/officeDocument/2006/relationships/hyperlink" Id="rId85" Target="https://doi.org/10.1115/1.3662552" TargetMode="External" /><Relationship Type="http://schemas.openxmlformats.org/officeDocument/2006/relationships/hyperlink" Id="rId96" Target="https://doi.org/10.1139/as-2020-0041" TargetMode="External" /><Relationship Type="http://schemas.openxmlformats.org/officeDocument/2006/relationships/hyperlink" Id="rId76" Target="https://doi.org/10.1145/3343031.3350535" TargetMode="External" /><Relationship Type="http://schemas.openxmlformats.org/officeDocument/2006/relationships/hyperlink" Id="rId67" Target="https://doi.org/10.1890/03-8024" TargetMode="External" /><Relationship Type="http://schemas.openxmlformats.org/officeDocument/2006/relationships/hyperlink" Id="rId64" Target="https://github.com/TECOLOGYxyz/FlowerTracking" TargetMode="External" /><Relationship Type="http://schemas.openxmlformats.org/officeDocument/2006/relationships/hyperlink" Id="rId65"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individual-based pollination ecology: Automatic tracking of life histories of individual flowers</dc:title>
  <dc:creator>Hjalte M. R. Mann; Alexandros Iosifidis; Toke T. Høye</dc:creator>
  <cp:keywords/>
  <dcterms:created xsi:type="dcterms:W3CDTF">2022-01-26T09:19:56Z</dcterms:created>
  <dcterms:modified xsi:type="dcterms:W3CDTF">2022-01-26T09:19:56Z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A fundamental problem in pollination ecology is that plant reproduction consequences of pollinator visits to a flower throughout its lifespan is very difficult to track. Often simple statistics are used to describe the flowering phenology of a population of plants, e.g. onset or peak of flowering. Similarly, flower visitation rates are based on crude observation of flower populations. Here we show that image-based monitoring of field plots at very high temporal resolution can return information on flowering phenology at the level of individuals. Further, we present a framework for automatically tracking, filtering, and evaluating flowers in time-lapse image series. We compare the results of automatic tracking with manual tracking. Individual flower tracking could facilitate finegrained studies on plant reproductive success…. and we show that performance achieved by following automatic tracking can be reliable enough to estimate X, Y, Z…</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26,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