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206" w:type="dxa"/>
        <w:jc w:val="left"/>
        <w:tblInd w:w="99" w:type="dxa"/>
        <w:tblBorders/>
        <w:tblCellMar>
          <w:top w:w="0" w:type="dxa"/>
          <w:left w:w="99" w:type="dxa"/>
          <w:bottom w:w="0" w:type="dxa"/>
          <w:right w:w="99" w:type="dxa"/>
        </w:tblCellMar>
        <w:tblLook w:val="0000" w:noVBand="0" w:noHBand="0" w:lastColumn="0" w:firstColumn="0" w:lastRow="0" w:firstRow="0"/>
      </w:tblPr>
      <w:tblGrid>
        <w:gridCol w:w="10206"/>
      </w:tblGrid>
      <w:tr>
        <w:trPr>
          <w:trHeight w:val="542" w:hRule="atLeast"/>
        </w:trPr>
        <w:tc>
          <w:tcPr>
            <w:tcW w:w="10206" w:type="dxa"/>
            <w:tcBorders/>
            <w:shd w:fill="auto" w:val="clear"/>
          </w:tcPr>
          <w:p>
            <w:pPr>
              <w:pStyle w:val="Style24"/>
              <w:spacing w:lineRule="auto" w:line="264" w:before="120" w:after="0"/>
              <w:ind w:left="851" w:right="851" w:hanging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  <w:bookmarkStart w:id="0" w:name="OLE_LINK2"/>
            <w:bookmarkStart w:id="1" w:name="OLE_LINK1"/>
            <w:r>
              <w:rPr>
                <w:sz w:val="32"/>
                <w:szCs w:val="32"/>
              </w:rPr>
              <w:t xml:space="preserve">dgeX Foundry </w:t>
            </w:r>
            <w:r>
              <w:rPr>
                <w:sz w:val="32"/>
                <w:szCs w:val="32"/>
              </w:rPr>
              <w:t xml:space="preserve">기반의 </w:t>
            </w:r>
            <w:r>
              <w:rPr>
                <w:sz w:val="32"/>
                <w:szCs w:val="32"/>
              </w:rPr>
              <w:t xml:space="preserve">IoT </w:t>
            </w:r>
            <w:bookmarkEnd w:id="0"/>
            <w:bookmarkEnd w:id="1"/>
            <w:r>
              <w:rPr>
                <w:sz w:val="32"/>
                <w:szCs w:val="32"/>
              </w:rPr>
              <w:t>제어 시스템 구현</w:t>
            </w:r>
          </w:p>
        </w:tc>
      </w:tr>
      <w:tr>
        <w:trPr>
          <w:trHeight w:val="230" w:hRule="atLeast"/>
        </w:trPr>
        <w:tc>
          <w:tcPr>
            <w:tcW w:w="10206" w:type="dxa"/>
            <w:tcBorders/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Style30"/>
        <w:rPr/>
      </w:pPr>
      <w:r>
        <w:rPr/>
      </w:r>
    </w:p>
    <w:p>
      <w:pPr>
        <w:pStyle w:val="Style30"/>
        <w:rPr/>
      </w:pPr>
      <w:r>
        <w:rPr/>
      </w:r>
    </w:p>
    <w:p>
      <w:pPr>
        <w:pStyle w:val="Style30"/>
        <w:pBdr/>
        <w:jc w:val="center"/>
        <w:rPr>
          <w:rStyle w:val="Pagenumber"/>
        </w:rPr>
      </w:pPr>
      <w:r>
        <w:rPr/>
      </w:r>
    </w:p>
    <w:p>
      <w:pPr>
        <w:pStyle w:val="Style25"/>
        <w:rPr>
          <w:sz w:val="20"/>
        </w:rPr>
      </w:pPr>
      <w:r>
        <w:rPr>
          <w:sz w:val="20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851" w:right="851" w:header="567" w:top="1701" w:footer="567" w:bottom="964" w:gutter="0"/>
          <w:pgNumType w:fmt="decimal"/>
          <w:formProt w:val="false"/>
          <w:textDirection w:val="lrTb"/>
          <w:docGrid w:type="default" w:linePitch="272" w:charSpace="2047"/>
        </w:sectPr>
      </w:pPr>
    </w:p>
    <w:p>
      <w:pPr>
        <w:pStyle w:val="Style25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1906" w:h="16838"/>
          <w:pgMar w:left="851" w:right="851" w:header="567" w:top="1701" w:footer="567" w:bottom="964" w:gutter="0"/>
          <w:formProt w:val="false"/>
          <w:textDirection w:val="lrTb"/>
          <w:docGrid w:type="default" w:linePitch="272" w:charSpace="2047"/>
        </w:sectPr>
      </w:pPr>
    </w:p>
    <w:p>
      <w:pPr>
        <w:pStyle w:val="Style33"/>
        <w:rPr/>
      </w:pPr>
      <w:r>
        <w:rPr/>
      </w:r>
    </w:p>
    <w:p>
      <w:pPr>
        <w:sectPr>
          <w:type w:val="continuous"/>
          <w:pgSz w:w="11906" w:h="16838"/>
          <w:pgMar w:left="851" w:right="851" w:header="567" w:top="1701" w:footer="567" w:bottom="964" w:gutter="0"/>
          <w:formProt w:val="false"/>
          <w:textDirection w:val="lrTb"/>
          <w:docGrid w:type="default" w:linePitch="272" w:charSpace="2047"/>
        </w:sectPr>
      </w:pPr>
    </w:p>
    <w:tbl>
      <w:tblPr>
        <w:tblW w:w="10206" w:type="dxa"/>
        <w:jc w:val="left"/>
        <w:tblInd w:w="99" w:type="dxa"/>
        <w:tblBorders/>
        <w:tblCellMar>
          <w:top w:w="0" w:type="dxa"/>
          <w:left w:w="99" w:type="dxa"/>
          <w:bottom w:w="0" w:type="dxa"/>
          <w:right w:w="99" w:type="dxa"/>
        </w:tblCellMar>
        <w:tblLook w:val="0000" w:noVBand="0" w:noHBand="0" w:lastColumn="0" w:firstColumn="0" w:lastRow="0" w:firstRow="0"/>
      </w:tblPr>
      <w:tblGrid>
        <w:gridCol w:w="10206"/>
      </w:tblGrid>
      <w:tr>
        <w:trPr/>
        <w:tc>
          <w:tcPr>
            <w:tcW w:w="10206" w:type="dxa"/>
            <w:tcBorders/>
            <w:shd w:fill="auto" w:val="clear"/>
          </w:tcPr>
          <w:p>
            <w:pPr>
              <w:pStyle w:val="Style25"/>
              <w:rPr/>
            </w:pPr>
            <w:r>
              <w:rPr>
                <w:sz w:val="20"/>
              </w:rPr>
              <w:t>권도형</w:t>
            </w:r>
            <w:r>
              <w:rPr>
                <w:sz w:val="20"/>
              </w:rPr>
              <w:t xml:space="preserve">*, </w:t>
            </w:r>
            <w:r>
              <w:rPr>
                <w:sz w:val="20"/>
              </w:rPr>
              <w:t>임현교</w:t>
            </w:r>
            <w:r>
              <w:rPr>
                <w:sz w:val="20"/>
              </w:rPr>
              <w:t xml:space="preserve">*, </w:t>
            </w:r>
            <w:r>
              <w:rPr>
                <w:sz w:val="20"/>
              </w:rPr>
              <w:t>한연희</w:t>
            </w:r>
            <w:r>
              <w:rPr>
                <w:sz w:val="20"/>
              </w:rPr>
              <w:t xml:space="preserve">**, </w:t>
            </w:r>
            <w:r>
              <w:rPr>
                <w:sz w:val="20"/>
              </w:rPr>
              <w:t>김민석</w:t>
            </w:r>
            <w:r>
              <w:rPr>
                <w:sz w:val="20"/>
              </w:rPr>
              <w:t xml:space="preserve">***, </w:t>
            </w:r>
            <w:r>
              <w:rPr>
                <w:sz w:val="20"/>
              </w:rPr>
              <w:t>홍용근</w:t>
            </w:r>
            <w:r>
              <w:rPr>
                <w:sz w:val="20"/>
              </w:rPr>
              <w:t>***</w:t>
            </w:r>
            <w:r>
              <w:rPr>
                <w:rStyle w:val="Style16"/>
                <w:sz w:val="20"/>
              </w:rPr>
              <w:footnoteReference w:id="2"/>
            </w:r>
          </w:p>
          <w:p>
            <w:pPr>
              <w:pStyle w:val="Style25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z w:val="20"/>
              </w:rPr>
              <w:t>한국기술교육대학교 창의융합공학협동과정</w:t>
            </w:r>
          </w:p>
          <w:p>
            <w:pPr>
              <w:pStyle w:val="Style25"/>
              <w:rPr/>
            </w:pPr>
            <w:r>
              <w:rPr>
                <w:sz w:val="20"/>
              </w:rPr>
              <w:t>**</w:t>
            </w:r>
            <w:r>
              <w:rPr>
                <w:sz w:val="20"/>
              </w:rPr>
              <w:t>한국기술교육대학교 컴퓨터공학과</w:t>
            </w:r>
          </w:p>
          <w:p>
            <w:pPr>
              <w:pStyle w:val="Style25"/>
              <w:rPr/>
            </w:pPr>
            <w:r>
              <w:rPr>
                <w:sz w:val="20"/>
              </w:rPr>
              <w:t>***</w:t>
            </w:r>
            <w:r>
              <w:rPr>
                <w:sz w:val="20"/>
              </w:rPr>
              <w:t>한국전자통신연구원</w:t>
            </w:r>
          </w:p>
          <w:p>
            <w:pPr>
              <w:pStyle w:val="Style25"/>
              <w:rPr/>
            </w:pPr>
            <w:r>
              <w:rPr>
                <w:sz w:val="20"/>
              </w:rPr>
              <w:t>e-mail : {dohk, glenn89, yhhan}@koreatech.ac.kr, {</w:t>
            </w:r>
            <w:r>
              <w:rPr>
                <w:sz w:val="20"/>
              </w:rPr>
              <w:t>mskim16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</w:rPr>
              <w:t>yghong</w:t>
            </w:r>
            <w:r>
              <w:rPr>
                <w:sz w:val="20"/>
              </w:rPr>
              <w:t>}@</w:t>
            </w:r>
            <w:r>
              <w:rPr>
                <w:sz w:val="20"/>
              </w:rPr>
              <w:t>etri.re</w:t>
            </w:r>
            <w:r>
              <w:rPr>
                <w:sz w:val="20"/>
              </w:rPr>
              <w:t>.kr</w:t>
            </w:r>
          </w:p>
        </w:tc>
      </w:tr>
      <w:tr>
        <w:trPr>
          <w:trHeight w:val="296" w:hRule="atLeast"/>
        </w:trPr>
        <w:tc>
          <w:tcPr>
            <w:tcW w:w="10206" w:type="dxa"/>
            <w:tcBorders/>
            <w:shd w:fill="auto" w:val="clear"/>
          </w:tcPr>
          <w:p>
            <w:pPr>
              <w:pStyle w:val="Style34"/>
              <w:shd w:fill="FFFFFF" w:val="clear"/>
              <w:spacing w:lineRule="auto" w:line="31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0206" w:type="dxa"/>
            <w:tcBorders/>
            <w:shd w:fill="auto" w:val="clear"/>
          </w:tcPr>
          <w:p>
            <w:pPr>
              <w:pStyle w:val="Style26"/>
              <w:spacing w:lineRule="auto" w:line="264" w:before="120" w:after="0"/>
              <w:ind w:left="851" w:right="851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Implementation of IoT control system based on EdgeX Foundry</w:t>
            </w:r>
          </w:p>
        </w:tc>
      </w:tr>
      <w:tr>
        <w:trPr>
          <w:trHeight w:val="338" w:hRule="atLeast"/>
        </w:trPr>
        <w:tc>
          <w:tcPr>
            <w:tcW w:w="10206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206" w:type="dxa"/>
            <w:tcBorders/>
            <w:shd w:fill="auto" w:val="clear"/>
          </w:tcPr>
          <w:p>
            <w:pPr>
              <w:pStyle w:val="Style27"/>
              <w:rPr/>
            </w:pPr>
            <w:r>
              <w:rPr>
                <w:sz w:val="20"/>
              </w:rPr>
              <w:t xml:space="preserve">Do-Hyung Kwon*, Hyun-Kyo Lim*,  Youn-Hee Han*, </w:t>
            </w:r>
            <w:r>
              <w:rPr>
                <w:sz w:val="20"/>
              </w:rPr>
              <w:t>Min-suk Kim**, Yong-Geun Hong**</w:t>
            </w:r>
          </w:p>
          <w:p>
            <w:pPr>
              <w:pStyle w:val="Style27"/>
              <w:rPr/>
            </w:pPr>
            <w:r>
              <w:rPr>
                <w:sz w:val="20"/>
              </w:rPr>
              <w:t>*</w:t>
            </w:r>
            <w:r>
              <w:rPr>
                <w:sz w:val="20"/>
              </w:rPr>
              <w:t>Korea University of Technology and Education, Republic of Korea</w:t>
            </w:r>
          </w:p>
          <w:p>
            <w:pPr>
              <w:pStyle w:val="Style27"/>
              <w:rPr/>
            </w:pPr>
            <w:r>
              <w:rPr>
                <w:sz w:val="20"/>
              </w:rPr>
              <w:t>**</w:t>
            </w:r>
            <w:r>
              <w:rPr>
                <w:sz w:val="20"/>
              </w:rPr>
              <w:t>Electronics and Telecommunications Research Institute, Korea</w:t>
            </w:r>
          </w:p>
        </w:tc>
      </w:tr>
      <w:tr>
        <w:trPr>
          <w:trHeight w:val="298" w:hRule="atLeast"/>
        </w:trPr>
        <w:tc>
          <w:tcPr>
            <w:tcW w:w="10206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206" w:type="dxa"/>
            <w:tcBorders/>
            <w:shd w:fill="auto" w:val="clear"/>
          </w:tcPr>
          <w:p>
            <w:pPr>
              <w:pStyle w:val="Style28"/>
              <w:spacing w:lineRule="auto" w:line="360"/>
              <w:jc w:val="center"/>
              <w:rPr>
                <w:rFonts w:eastAsia="돋움체"/>
                <w:b/>
                <w:b/>
              </w:rPr>
            </w:pPr>
            <w:r>
              <w:rPr>
                <w:rFonts w:eastAsia="돋움체"/>
                <w:b/>
              </w:rPr>
              <w:t>요       약</w:t>
            </w:r>
          </w:p>
          <w:p>
            <w:pPr>
              <w:pStyle w:val="Style28"/>
              <w:ind w:left="950" w:right="851" w:firstLine="270"/>
              <w:rPr/>
            </w:pPr>
            <w:r>
              <w:rPr/>
              <w:t xml:space="preserve">본 논문에서는 운영체제나 하드웨어에 종속되지 않고 </w:t>
            </w:r>
            <w:r>
              <w:rPr/>
              <w:t xml:space="preserve">IoT </w:t>
            </w:r>
            <w:r>
              <w:rPr/>
              <w:t xml:space="preserve">환경을 구축할 수 있는 </w:t>
            </w:r>
            <w:r>
              <w:rPr/>
              <w:t>EdgeX Foundry</w:t>
            </w:r>
            <w:r>
              <w:rPr/>
              <w:t>를 이용하여 두 대의 라즈베리파이 간의 통신을 구현하였다</w:t>
            </w:r>
            <w:r>
              <w:rPr/>
              <w:t xml:space="preserve">. </w:t>
            </w:r>
            <w:r>
              <w:rPr/>
              <w:t xml:space="preserve">두 라즈베리파이가 보낸 센서 값은 </w:t>
            </w:r>
            <w:r>
              <w:rPr/>
              <w:t>EdgeX</w:t>
            </w:r>
            <w:r>
              <w:rPr/>
              <w:t xml:space="preserve">를 거쳐 </w:t>
            </w:r>
            <w:r>
              <w:rPr/>
              <w:t>EdgeX Client</w:t>
            </w:r>
            <w:r>
              <w:rPr/>
              <w:t>로 전해지며</w:t>
            </w:r>
            <w:r>
              <w:rPr/>
              <w:t xml:space="preserve">, </w:t>
            </w:r>
            <w:r>
              <w:rPr/>
              <w:t xml:space="preserve">처리된 값은 두 라즈베리파이 중 특정 명령을 수행할 라즈베리파이로 </w:t>
            </w:r>
            <w:r>
              <w:rPr/>
              <w:t xml:space="preserve">command </w:t>
            </w:r>
            <w:r>
              <w:rPr/>
              <w:t>메세지가 전송되어 디바이스를 작동 시키게 된다</w:t>
            </w:r>
            <w:r>
              <w:rPr/>
              <w:t xml:space="preserve">. </w:t>
            </w:r>
            <w:r>
              <w:rPr/>
              <w:t xml:space="preserve"> </w:t>
            </w:r>
          </w:p>
        </w:tc>
      </w:tr>
      <w:tr>
        <w:trPr>
          <w:trHeight w:val="327" w:hRule="atLeast"/>
        </w:trPr>
        <w:tc>
          <w:tcPr>
            <w:tcW w:w="10206" w:type="dxa"/>
            <w:tcBorders/>
            <w:shd w:fill="auto" w:val="clear"/>
          </w:tcPr>
          <w:p>
            <w:pPr>
              <w:pStyle w:val="Style32"/>
              <w:rPr/>
            </w:pPr>
            <w:r>
              <w:rPr/>
            </w:r>
          </w:p>
        </w:tc>
      </w:tr>
    </w:tbl>
    <w:p>
      <w:pPr>
        <w:sectPr>
          <w:footnotePr>
            <w:numFmt w:val="decimal"/>
            <w:numStart w:val="2"/>
          </w:footnotePr>
          <w:type w:val="continuous"/>
          <w:pgSz w:w="11906" w:h="16838"/>
          <w:pgMar w:left="851" w:right="851" w:header="567" w:top="1701" w:footer="567" w:bottom="964" w:gutter="0"/>
          <w:pgNumType w:fmt="decimal"/>
          <w:formProt w:val="false"/>
          <w:textDirection w:val="lrTb"/>
          <w:docGrid w:type="default" w:linePitch="272" w:charSpace="2047"/>
        </w:sectPr>
      </w:pPr>
    </w:p>
    <w:p>
      <w:pPr>
        <w:pStyle w:val="Style31"/>
        <w:numPr>
          <w:ilvl w:val="0"/>
          <w:numId w:val="1"/>
        </w:numPr>
        <w:ind w:hanging="227"/>
        <w:rPr/>
      </w:pPr>
      <w:bookmarkStart w:id="2" w:name="OLE_LINK4"/>
      <w:bookmarkStart w:id="3" w:name="OLE_LINK3"/>
      <w:bookmarkEnd w:id="2"/>
      <w:bookmarkEnd w:id="3"/>
      <w:r>
        <w:rPr/>
        <w:t>서론</w:t>
      </w:r>
    </w:p>
    <w:p>
      <w:pPr>
        <w:pStyle w:val="Style29"/>
        <w:rPr/>
      </w:pPr>
      <w:r>
        <w:rPr/>
        <w:t>사물 인터넷</w:t>
      </w:r>
      <w:r>
        <w:rPr/>
        <w:t>(IoT: Int</w:t>
      </w:r>
      <w:bookmarkStart w:id="4" w:name="_GoBack"/>
      <w:bookmarkEnd w:id="4"/>
      <w:r>
        <w:rPr/>
        <w:t xml:space="preserve">ernet of Things) </w:t>
      </w:r>
      <w:r>
        <w:rPr/>
        <w:t>서비스에 대한 수요는 증가하고 있는 추세인 반면</w:t>
      </w:r>
      <w:r>
        <w:rPr/>
        <w:t xml:space="preserve">, </w:t>
      </w:r>
      <w:r>
        <w:rPr/>
        <w:t>연결하려는 장치들끼리 서로 다른 프로토콜을 사용하는 것으로 인해</w:t>
      </w:r>
      <w:r>
        <w:rPr/>
        <w:t xml:space="preserve">, </w:t>
      </w:r>
      <w:r>
        <w:rPr/>
        <w:t>장치 간 호환성이 떨어진다는 문제점이 있다</w:t>
      </w:r>
      <w:r>
        <w:rPr/>
        <w:t>. EdgeX Foundry</w:t>
      </w:r>
      <w:r>
        <w:rPr/>
        <w:t>는 이러한 호환성 문제를 해결하기 위하여 제안 된 오픈 프레임워크로서</w:t>
      </w:r>
      <w:r>
        <w:rPr/>
        <w:t xml:space="preserve">, </w:t>
      </w:r>
      <w:r>
        <w:rPr/>
        <w:t xml:space="preserve">특정 하드웨어나 운영체제의 종류에 종속되지 않고서 </w:t>
      </w:r>
      <w:r>
        <w:rPr/>
        <w:t xml:space="preserve">IoT </w:t>
      </w:r>
      <w:r>
        <w:rPr/>
        <w:t>서비스 환경을 구성할 수 있게 해준다</w:t>
      </w:r>
      <w:r>
        <w:rPr/>
        <w:t>.[</w:t>
      </w:r>
      <w:r>
        <w:rPr>
          <w:color w:val="000000" w:themeColor="text1"/>
        </w:rPr>
        <w:t>1</w:t>
      </w:r>
      <w:r>
        <w:rPr/>
        <w:t>]</w:t>
      </w:r>
    </w:p>
    <w:p>
      <w:pPr>
        <w:pStyle w:val="Style29"/>
        <w:rPr>
          <w:rFonts w:ascii="Times" w:hAnsi="Times" w:cs="Times"/>
          <w:color w:val="000000"/>
          <w:szCs w:val="24"/>
        </w:rPr>
      </w:pPr>
      <w:r>
        <w:rPr>
          <w:rFonts w:cs="Times" w:ascii="Times" w:hAnsi="Times"/>
          <w:color w:val="000000"/>
          <w:szCs w:val="24"/>
        </w:rPr>
      </w:r>
    </w:p>
    <w:p>
      <w:pPr>
        <w:pStyle w:val="Style31"/>
        <w:numPr>
          <w:ilvl w:val="0"/>
          <w:numId w:val="1"/>
        </w:numPr>
        <w:ind w:hanging="227"/>
        <w:rPr/>
      </w:pPr>
      <w:r>
        <w:rPr/>
        <w:t>본론</w:t>
      </w:r>
    </w:p>
    <w:p>
      <w:pPr>
        <w:pStyle w:val="Style29"/>
        <w:rPr/>
      </w:pPr>
      <w:r>
        <w:rPr/>
        <w:t>여러 대의 라즈베리파이와 별도의 데스크탑을 묶어 하나의 네트워크 환경을 구축하여 통신이 가능하게 하는 방법은 여러가지가 있다</w:t>
      </w:r>
      <w:r>
        <w:rPr/>
        <w:t xml:space="preserve">. </w:t>
      </w:r>
      <w:r>
        <w:rPr/>
        <w:t>UDP</w:t>
      </w:r>
      <w:r>
        <w:rPr/>
        <w:t xml:space="preserve">나 </w:t>
      </w:r>
      <w:r>
        <w:rPr/>
        <w:t>TCP</w:t>
      </w:r>
      <w:r>
        <w:rPr/>
        <w:t>를 이용하여 통신이 이루어지게 할 수도 있으며</w:t>
      </w:r>
      <w:r>
        <w:rPr/>
        <w:t xml:space="preserve">, IoT </w:t>
      </w:r>
      <w:r>
        <w:rPr/>
        <w:t>기기들간의 통신 프로토콜로 주목 받는</w:t>
      </w:r>
      <w:r>
        <w:rPr/>
        <w:t xml:space="preserve"> </w:t>
      </w:r>
      <w:r>
        <w:rPr/>
        <w:t xml:space="preserve">MQTT </w:t>
      </w:r>
      <w:r>
        <w:rPr/>
        <w:t>프로토콜을 이용하여 통신이 이루어지게 할 수도 있다</w:t>
      </w:r>
      <w:r>
        <w:rPr/>
        <w:t>.</w:t>
      </w:r>
    </w:p>
    <w:p>
      <w:pPr>
        <w:pStyle w:val="Style29"/>
        <w:rPr/>
      </w:pPr>
      <w:r>
        <w:rPr/>
        <w:t xml:space="preserve">그러나 라즈베리파이 이외의 </w:t>
      </w:r>
      <w:r>
        <w:rPr/>
        <w:t>CCTV</w:t>
      </w:r>
      <w:r>
        <w:rPr/>
        <w:t>와 같은 디바이스들은 이와 같은 프로토콜을 지원하지 않을 수도 있다</w:t>
      </w:r>
      <w:r>
        <w:rPr/>
        <w:t xml:space="preserve">. </w:t>
      </w:r>
      <w:r>
        <w:rPr/>
        <w:t>이와 같은 디바이스들로부터 데이터를 전송 받을 뿐만 아니라 디바이스들을 조작하기 위해서는 기기들끼리 합의된 프로토콜이 있어야 한다</w:t>
      </w:r>
      <w:r>
        <w:rPr/>
        <w:t xml:space="preserve">.  </w:t>
      </w:r>
      <w:r>
        <w:rPr/>
        <w:t>디바이스의 종류가 다양해질수록 이러한 문제는 더욱 커진다</w:t>
      </w:r>
      <w:r>
        <w:rPr/>
        <w:t xml:space="preserve">. </w:t>
      </w:r>
    </w:p>
    <w:p>
      <w:pPr>
        <w:pStyle w:val="Style29"/>
        <w:rPr/>
      </w:pPr>
      <w:r>
        <w:rPr/>
        <w:t>EdgeX</w:t>
      </w:r>
      <w:r>
        <w:rPr/>
        <w:t xml:space="preserve">는 이와 같이 서로 상이한 프로토콜을 가진 여러 대의 </w:t>
      </w:r>
      <w:r>
        <w:rPr/>
        <w:t>디바이스들을 하나의 서비스로 구성할 수 있는 프레임워크를 제공해준다</w:t>
      </w:r>
      <w:r>
        <w:rPr/>
        <w:t xml:space="preserve">. </w:t>
      </w:r>
      <w:r>
        <w:rPr/>
        <w:t xml:space="preserve">이를 위하여 </w:t>
      </w:r>
      <w:r>
        <w:rPr/>
        <w:t>복수의 마이크로서비스 묶어서 실행할 수 있는 환경을 제공해준다</w:t>
      </w:r>
      <w:r>
        <w:rPr/>
        <w:t xml:space="preserve">. </w:t>
      </w:r>
      <w:r>
        <w:rPr/>
        <w:t xml:space="preserve">공식 홈페이지의 가이드에 따르면 </w:t>
      </w:r>
      <w:r>
        <w:rPr/>
        <w:t>12</w:t>
      </w:r>
      <w:r>
        <w:rPr/>
        <w:t>개의 마이크로서비스들이 기본적으로 제공되며</w:t>
      </w:r>
      <w:r>
        <w:rPr/>
        <w:t>[</w:t>
      </w:r>
      <w:r>
        <w:rPr>
          <w:color w:val="000000" w:themeColor="text1"/>
        </w:rPr>
        <w:t>2</w:t>
      </w:r>
      <w:r>
        <w:rPr/>
        <w:t xml:space="preserve">], </w:t>
      </w:r>
      <w:r>
        <w:rPr/>
        <w:t>12</w:t>
      </w:r>
      <w:r>
        <w:rPr/>
        <w:t xml:space="preserve">개 중 </w:t>
      </w:r>
      <w:r>
        <w:rPr/>
        <w:t>필요한 마이크로서비스만을 선택적으로 사용할 수도 있다</w:t>
      </w:r>
      <w:r>
        <w:rPr/>
        <w:t xml:space="preserve">. </w:t>
      </w:r>
      <w:r>
        <w:rPr/>
        <w:t>또한 개발자가 직접 필요한 마이크로서비스를 만들어 배포하는 것도 가능하다</w:t>
      </w:r>
      <w:r>
        <w:rPr/>
        <w:t xml:space="preserve">. </w:t>
      </w:r>
    </w:p>
    <w:p>
      <w:pPr>
        <w:pStyle w:val="Style29"/>
        <w:rPr/>
      </w:pPr>
      <w:r>
        <w:rPr/>
        <w:t>EdgeX</w:t>
      </w:r>
      <w:r>
        <w:rPr/>
        <w:t>를 실행시키기 위한 방법은 크게 세 가지로</w:t>
      </w:r>
      <w:r>
        <w:rPr/>
        <w:t>, User mode, Developer mode, Hybrid mode</w:t>
      </w:r>
      <w:r>
        <w:rPr/>
        <w:t>가 있다</w:t>
      </w:r>
      <w:r>
        <w:rPr/>
        <w:t xml:space="preserve">. </w:t>
      </w:r>
      <w:r>
        <w:rPr/>
        <w:t xml:space="preserve">본 논문에서는 실험과 디버깅을 위하여 </w:t>
      </w:r>
      <w:r>
        <w:rPr/>
        <w:t>Developer mode</w:t>
      </w:r>
      <w:r>
        <w:rPr/>
        <w:t xml:space="preserve">로 </w:t>
      </w:r>
      <w:r>
        <w:rPr/>
        <w:t xml:space="preserve">core-data, core-metadata, core-command, export-client, export-distro, rulesengine </w:t>
      </w:r>
      <w:r>
        <w:rPr/>
        <w:t xml:space="preserve">그리고 </w:t>
      </w:r>
      <w:r>
        <w:rPr/>
        <w:t>device-mqtt</w:t>
      </w:r>
      <w:r>
        <w:rPr/>
        <w:t xml:space="preserve">를 구성하였으며 별도로 </w:t>
      </w:r>
      <w:r>
        <w:rPr/>
        <w:t>mongoDB</w:t>
      </w:r>
      <w:r>
        <w:rPr/>
        <w:t>를 실행하</w:t>
      </w:r>
      <w:r>
        <w:rPr/>
        <w:t>다</w:t>
      </w:r>
      <w:r>
        <w:rPr/>
        <w:t xml:space="preserve">. </w:t>
      </w:r>
    </w:p>
    <w:p>
      <w:pPr>
        <w:pStyle w:val="Style29"/>
        <w:rPr/>
      </w:pPr>
      <w:r>
        <w:rPr/>
        <w:t xml:space="preserve">실험 환경 구성은 그림 </w:t>
      </w:r>
      <w:r>
        <w:rPr/>
        <w:t>1</w:t>
      </w:r>
      <w:r>
        <w:rPr/>
        <w:t>과 같다</w:t>
      </w:r>
      <w:r>
        <w:rPr/>
        <w:t xml:space="preserve">. </w:t>
      </w:r>
      <w:r>
        <w:rPr/>
        <w:t xml:space="preserve">먼저 스위치를 통하여 두 대의 라즈베리파이가 </w:t>
      </w:r>
      <w:r>
        <w:rPr/>
        <w:t>EdgeX</w:t>
      </w:r>
      <w:r>
        <w:rPr/>
        <w:t xml:space="preserve">의 </w:t>
      </w:r>
      <w:r>
        <w:rPr/>
        <w:t>device-mqtt</w:t>
      </w:r>
      <w:r>
        <w:rPr/>
        <w:t>서비스로 센서 값을 보낸다</w:t>
      </w:r>
      <w:r>
        <w:rPr/>
        <w:t xml:space="preserve">. </w:t>
      </w:r>
      <w:r>
        <w:rPr/>
        <w:t>이 때 보내어지는 센서 값은 비 동기방식으로서</w:t>
      </w:r>
      <w:r>
        <w:rPr/>
        <w:t xml:space="preserve">, </w:t>
      </w:r>
      <w:r>
        <w:rPr/>
        <w:t xml:space="preserve">각 </w:t>
      </w:r>
      <w:r>
        <w:rPr/>
        <w:t>디바이스가 독립적으로 센서 값을 전송한다</w:t>
      </w:r>
      <w:r>
        <w:rPr/>
        <w:t xml:space="preserve">. </w:t>
      </w:r>
    </w:p>
    <w:p>
      <w:pPr>
        <w:pStyle w:val="Style29"/>
        <w:rPr/>
      </w:pPr>
      <w:r>
        <w:rPr/>
        <w:t xml:space="preserve">전송은 </w:t>
      </w:r>
      <w:r>
        <w:rPr/>
        <w:t>MQTT</w:t>
      </w:r>
      <w:r>
        <w:rPr/>
        <w:t>방식으로 이루어지며</w:t>
      </w:r>
      <w:r>
        <w:rPr/>
        <w:t xml:space="preserve">, </w:t>
      </w:r>
      <w:r>
        <w:rPr/>
        <w:t xml:space="preserve">값을 보내는 주체인 라즈베리파이가 </w:t>
      </w:r>
      <w:r>
        <w:rPr/>
        <w:t>MQTT broker</w:t>
      </w:r>
      <w:r>
        <w:rPr/>
        <w:t xml:space="preserve">의 </w:t>
      </w:r>
      <w:r>
        <w:rPr/>
        <w:t>client</w:t>
      </w:r>
      <w:r>
        <w:rPr/>
        <w:t>가 되어</w:t>
      </w:r>
      <w:r>
        <w:rPr/>
        <w:t xml:space="preserve">, </w:t>
      </w:r>
      <w:r>
        <w:rPr/>
        <w:t xml:space="preserve">각각 독립적인 토픽으로 </w:t>
      </w:r>
      <w:r>
        <w:rPr/>
        <w:t>EdgeX</w:t>
      </w:r>
      <w:r>
        <w:rPr/>
        <w:t xml:space="preserve">에게 </w:t>
      </w:r>
      <w:r>
        <w:rPr/>
        <w:t>publish</w:t>
      </w:r>
      <w:r>
        <w:rPr/>
        <w:t>를 수행한다</w:t>
      </w:r>
      <w:r>
        <w:rPr/>
        <w:t xml:space="preserve">. </w:t>
      </w:r>
      <w:r>
        <w:rPr/>
        <w:t xml:space="preserve">이 값들은 </w:t>
      </w:r>
      <w:r>
        <w:rPr/>
        <w:t>EdgeX</w:t>
      </w:r>
      <w:r>
        <w:rPr/>
        <w:t xml:space="preserve">외부에 위치해 있는 </w:t>
      </w:r>
      <w:r>
        <w:rPr/>
        <w:t>EdgeX client</w:t>
      </w:r>
      <w:r>
        <w:rPr/>
        <w:t xml:space="preserve">가 </w:t>
      </w:r>
      <w:r>
        <w:rPr/>
        <w:t>subscribe</w:t>
      </w:r>
      <w:r>
        <w:rPr/>
        <w:t>하는데</w:t>
      </w:r>
      <w:r>
        <w:rPr/>
        <w:t xml:space="preserve">, </w:t>
      </w:r>
      <w:r>
        <w:rPr/>
        <w:t xml:space="preserve">이 때 </w:t>
      </w:r>
      <w:r>
        <w:rPr/>
        <w:t xml:space="preserve">device-mqtt </w:t>
      </w:r>
      <w:r>
        <w:rPr/>
        <w:t>서비스를 거쳐야만 하며</w:t>
      </w:r>
      <w:r>
        <w:rPr/>
        <w:t xml:space="preserve">, </w:t>
      </w:r>
      <w:r>
        <w:rPr/>
        <w:t xml:space="preserve">REST API </w:t>
      </w:r>
      <w:r>
        <w:rPr/>
        <w:t>방식을 통해 값을 받게 된다</w:t>
      </w:r>
      <w:r>
        <w:rPr/>
        <w:t xml:space="preserve">. </w:t>
      </w:r>
      <w:r>
        <w:rPr/>
        <w:t xml:space="preserve">따라서 </w:t>
      </w:r>
      <w:r>
        <w:rPr/>
        <w:t>device-mqtt</w:t>
      </w:r>
      <w:r>
        <w:rPr/>
        <w:t>도</w:t>
      </w:r>
      <w:r>
        <w:rPr/>
        <w:t xml:space="preserve"> </w:t>
      </w:r>
      <w:r>
        <w:rPr/>
        <w:t>MQTT broker</w:t>
      </w:r>
      <w:r>
        <w:rPr/>
        <w:t xml:space="preserve">의 </w:t>
      </w:r>
      <w:r>
        <w:rPr/>
        <w:t>client</w:t>
      </w:r>
      <w:r>
        <w:rPr/>
        <w:t>가 된다</w:t>
      </w:r>
      <w:r>
        <w:rPr/>
        <w:t xml:space="preserve">. </w:t>
      </w:r>
      <w:r>
        <w:rPr/>
        <w:t xml:space="preserve">EdgeX </w:t>
      </w:r>
      <w:r>
        <w:rPr/>
        <w:t xml:space="preserve">외부에 위치해 있는 </w:t>
      </w:r>
      <w:r>
        <w:rPr/>
        <w:t>EdgeX client</w:t>
      </w:r>
      <w:r>
        <w:rPr/>
        <w:t xml:space="preserve">는 </w:t>
      </w:r>
      <w:r>
        <w:rPr/>
        <w:t>EdgeX</w:t>
      </w:r>
      <w:r>
        <w:rPr/>
        <w:t xml:space="preserve">의 </w:t>
      </w:r>
      <w:r>
        <w:rPr/>
        <w:t>rulesengine</w:t>
      </w:r>
      <w:r>
        <w:rPr/>
        <w:t xml:space="preserve">서비스와 </w:t>
      </w:r>
      <w:r>
        <w:rPr/>
        <w:t>export-distro</w:t>
      </w:r>
      <w:r>
        <w:rPr/>
        <w:t>서비스를 통해 값을 전송 받을 수 있다</w:t>
      </w:r>
      <w:r>
        <w:rPr/>
        <w:t>.</w:t>
      </w:r>
    </w:p>
    <w:p>
      <w:pPr>
        <w:pStyle w:val="Style29"/>
        <w:rPr/>
      </w:pPr>
      <w:r>
        <w:rPr/>
        <w:t>EdgeX</w:t>
      </w:r>
      <w:r>
        <w:rPr/>
        <w:t xml:space="preserve">의 </w:t>
      </w:r>
      <w:r>
        <w:rPr/>
        <w:t>device-mqtt</w:t>
      </w:r>
      <w:r>
        <w:rPr/>
        <w:t xml:space="preserve">서비스는 전송 받은 값을 다시 </w:t>
      </w:r>
      <w:r>
        <w:rPr/>
        <w:t>EdgeX client</w:t>
      </w:r>
      <w:r>
        <w:rPr/>
        <w:t>로 전송하며</w:t>
      </w:r>
      <w:r>
        <w:rPr/>
        <w:t xml:space="preserve">, </w:t>
      </w:r>
      <w:r>
        <w:rPr/>
        <w:t>값을 처리한다</w:t>
      </w:r>
      <w:r>
        <w:rPr/>
        <w:t xml:space="preserve">. </w:t>
      </w:r>
      <w:r>
        <w:rPr/>
        <w:t>처리된 값은 두 라즈베리파이 중 특정 라즈베리파이</w:t>
      </w:r>
      <w:r>
        <w:rPr/>
        <w:t>(</w:t>
      </w:r>
      <w:r>
        <w:rPr/>
        <w:t xml:space="preserve">이하 라즈베리파이 </w:t>
      </w:r>
      <w:r>
        <w:rPr/>
        <w:t>1</w:t>
      </w:r>
      <w:r>
        <w:rPr/>
        <w:t>번</w:t>
      </w:r>
      <w:r>
        <w:rPr/>
        <w:t>)</w:t>
      </w:r>
      <w:r>
        <w:rPr/>
        <w:t xml:space="preserve">를 동작 시키는 데에 쓰일 </w:t>
      </w:r>
      <w:r>
        <w:rPr/>
        <w:t>command</w:t>
      </w:r>
      <w:r>
        <w:rPr/>
        <w:t>이다</w:t>
      </w:r>
      <w:r>
        <w:rPr/>
        <w:t>. command</w:t>
      </w:r>
      <w:r>
        <w:rPr/>
        <w:t xml:space="preserve">는 다시 </w:t>
      </w:r>
      <w:r>
        <w:rPr/>
        <w:t>EdgeX</w:t>
      </w:r>
      <w:r>
        <w:rPr/>
        <w:t xml:space="preserve">의 </w:t>
      </w:r>
      <w:r>
        <w:rPr/>
        <w:t>device-mqtt</w:t>
      </w:r>
      <w:r>
        <w:rPr/>
        <w:t xml:space="preserve">서비스를 거쳐 라즈베리파이 </w:t>
      </w:r>
      <w:r>
        <w:rPr/>
        <w:t>1</w:t>
      </w:r>
      <w:r>
        <w:rPr/>
        <w:t>번으로 전송된다</w:t>
      </w:r>
      <w:r>
        <w:rPr/>
        <w:t>. command</w:t>
      </w:r>
      <w:r>
        <w:rPr/>
        <w:t>를 전송할 때</w:t>
      </w:r>
      <w:r>
        <w:rPr/>
        <w:t>, EdgeX</w:t>
      </w:r>
      <w:r>
        <w:rPr/>
        <w:t xml:space="preserve">의 </w:t>
      </w:r>
      <w:r>
        <w:rPr/>
        <w:t xml:space="preserve">device-mqtt </w:t>
      </w:r>
      <w:r>
        <w:rPr/>
        <w:t xml:space="preserve">대한 호출은 </w:t>
      </w:r>
      <w:r>
        <w:rPr/>
        <w:t xml:space="preserve">REST API </w:t>
      </w:r>
      <w:r>
        <w:rPr/>
        <w:t>방식으로 이루어진다</w:t>
      </w:r>
      <w:r>
        <w:rPr/>
        <w:t>. EdgeX</w:t>
      </w:r>
      <w:r>
        <w:rPr/>
        <w:t xml:space="preserve">의 </w:t>
      </w:r>
      <w:r>
        <w:rPr/>
        <w:t>core-command</w:t>
      </w:r>
      <w:r>
        <w:rPr/>
        <w:t>서비스가 이 과정에 개입하며</w:t>
      </w:r>
      <w:r>
        <w:rPr/>
        <w:t xml:space="preserve">, </w:t>
      </w:r>
      <w:r>
        <w:rPr/>
        <w:t xml:space="preserve">모든 로그와 주고받는 데이터는 </w:t>
      </w:r>
      <w:r>
        <w:rPr/>
        <w:t>core-data</w:t>
      </w:r>
      <w:r>
        <w:rPr/>
        <w:t xml:space="preserve">서비스에 의하여 </w:t>
      </w:r>
      <w:r>
        <w:rPr/>
        <w:t xml:space="preserve">mongoDB </w:t>
      </w:r>
      <w:r>
        <w:rPr/>
        <w:t>데이터베이스에 쌓인다</w:t>
      </w:r>
      <w:r>
        <w:rPr/>
        <w:t xml:space="preserve">.  </w:t>
      </w:r>
    </w:p>
    <w:p>
      <w:pPr>
        <w:pStyle w:val="Style29"/>
        <w:rPr/>
      </w:pPr>
      <w:r>
        <w:rPr/>
      </w:r>
    </w:p>
    <w:p>
      <w:pPr>
        <w:pStyle w:val="Style29"/>
        <w:ind w:hanging="0"/>
        <w:rPr/>
      </w:pPr>
      <w:r>
        <w:rPr/>
        <w:drawing>
          <wp:inline distT="0" distB="635" distL="0" distR="4445">
            <wp:extent cx="3132455" cy="1409065"/>
            <wp:effectExtent l="0" t="0" r="0" b="0"/>
            <wp:docPr id="2" name="그림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b w:val="false"/>
        </w:rPr>
        <w:t>(</w:t>
      </w:r>
      <w:r>
        <w:rPr>
          <w:b w:val="false"/>
        </w:rPr>
        <w:t xml:space="preserve">그림  </w:t>
      </w:r>
      <w:r>
        <w:rPr>
          <w:b w:val="false"/>
        </w:rPr>
        <w:t>1</w:t>
      </w:r>
      <w:r>
        <w:rPr>
          <w:b w:val="false"/>
        </w:rPr>
        <w:t>) device-mqtt</w:t>
      </w:r>
      <w:r>
        <w:rPr>
          <w:b w:val="false"/>
        </w:rPr>
        <w:t>서비스를 이용한 센서 값 수신</w:t>
      </w:r>
    </w:p>
    <w:p>
      <w:pPr>
        <w:pStyle w:val="Style29"/>
        <w:rPr/>
      </w:pPr>
      <w:r>
        <w:rPr/>
        <w:t>EdgeX Client</w:t>
      </w:r>
      <w:r>
        <w:rPr/>
        <w:t xml:space="preserve">에서 값을 받은 결과는 그림 </w:t>
      </w:r>
      <w:r>
        <w:rPr/>
        <w:t>2</w:t>
      </w:r>
      <w:r>
        <w:rPr/>
        <w:t>와 같다</w:t>
      </w:r>
      <w:r>
        <w:rPr/>
        <w:t>. REST API</w:t>
      </w:r>
      <w:r>
        <w:rPr/>
        <w:t>를 통해 센서 값을 받았으며</w:t>
      </w:r>
      <w:r>
        <w:rPr/>
        <w:t xml:space="preserve">, </w:t>
      </w:r>
      <w:r>
        <w:rPr/>
        <w:t xml:space="preserve">약 </w:t>
      </w:r>
      <w:r>
        <w:rPr/>
        <w:t>0.01</w:t>
      </w:r>
      <w:r>
        <w:rPr/>
        <w:t xml:space="preserve">초 정도의 </w:t>
      </w:r>
      <w:r>
        <w:rPr/>
        <w:t>time delay</w:t>
      </w:r>
      <w:r>
        <w:rPr/>
        <w:t>가 생기는 것으로 나타난다</w:t>
      </w:r>
      <w:r>
        <w:rPr/>
        <w:t>.</w:t>
      </w:r>
    </w:p>
    <w:p>
      <w:pPr>
        <w:pStyle w:val="Style29"/>
        <w:rPr/>
      </w:pPr>
      <w:r>
        <w:rPr/>
      </w:r>
    </w:p>
    <w:p>
      <w:pPr>
        <w:pStyle w:val="Style29"/>
        <w:ind w:hanging="0"/>
        <w:rPr/>
      </w:pPr>
      <w:r>
        <w:rPr/>
        <w:drawing>
          <wp:inline distT="0" distB="0" distL="0" distR="5715">
            <wp:extent cx="3283585" cy="1017905"/>
            <wp:effectExtent l="0" t="0" r="0" b="0"/>
            <wp:docPr id="3" name="그림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1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b w:val="false"/>
        </w:rPr>
        <w:t>(</w:t>
      </w:r>
      <w:r>
        <w:rPr>
          <w:b w:val="false"/>
        </w:rPr>
        <w:t xml:space="preserve">그림  </w:t>
      </w:r>
      <w:r>
        <w:rPr>
          <w:b w:val="false"/>
        </w:rPr>
        <w:t>2</w:t>
      </w:r>
      <w:r>
        <w:rPr>
          <w:b w:val="false"/>
        </w:rPr>
        <w:t>) EdgeX Client</w:t>
      </w:r>
      <w:r>
        <w:rPr>
          <w:b w:val="false"/>
        </w:rPr>
        <w:t xml:space="preserve">가 </w:t>
      </w:r>
      <w:r>
        <w:rPr>
          <w:b w:val="false"/>
        </w:rPr>
        <w:t>수신 받은</w:t>
      </w:r>
      <w:r>
        <w:rPr>
          <w:b w:val="false"/>
        </w:rPr>
        <w:t xml:space="preserve"> 센서 값</w:t>
      </w:r>
    </w:p>
    <w:p>
      <w:pPr>
        <w:pStyle w:val="Style29"/>
        <w:rPr/>
      </w:pPr>
      <w:r>
        <w:rPr/>
        <w:t xml:space="preserve"> </w:t>
      </w:r>
      <w:bookmarkStart w:id="5" w:name="OLE_LINK6"/>
      <w:bookmarkStart w:id="6" w:name="OLE_LINK5"/>
      <w:r>
        <w:rPr/>
        <w:t>센서</w:t>
      </w:r>
      <w:bookmarkEnd w:id="5"/>
      <w:bookmarkEnd w:id="6"/>
      <w:r>
        <w:rPr/>
        <w:t xml:space="preserve"> 값을 받은 후</w:t>
      </w:r>
      <w:r>
        <w:rPr/>
        <w:t xml:space="preserve">, </w:t>
      </w:r>
      <w:r>
        <w:rPr/>
        <w:t xml:space="preserve">라즈베리파이 </w:t>
      </w:r>
      <w:r>
        <w:rPr/>
        <w:t>1</w:t>
      </w:r>
      <w:r>
        <w:rPr/>
        <w:t xml:space="preserve">번에게 </w:t>
      </w:r>
      <w:r>
        <w:rPr/>
        <w:t>command</w:t>
      </w:r>
      <w:r>
        <w:rPr/>
        <w:t xml:space="preserve">를 내리는 상황은 그림 </w:t>
      </w:r>
      <w:r>
        <w:rPr/>
        <w:t>3</w:t>
      </w:r>
      <w:r>
        <w:rPr/>
        <w:t>과 같다</w:t>
      </w:r>
      <w:r>
        <w:rPr/>
        <w:t>. EdgeX Client</w:t>
      </w:r>
      <w:r>
        <w:rPr/>
        <w:t xml:space="preserve">에서 라즈베리파이 </w:t>
      </w:r>
      <w:r>
        <w:rPr/>
        <w:t>1</w:t>
      </w:r>
      <w:r>
        <w:rPr/>
        <w:t xml:space="preserve">번에게 보낼 </w:t>
      </w:r>
      <w:r>
        <w:rPr/>
        <w:t>command</w:t>
      </w:r>
      <w:r>
        <w:rPr/>
        <w:t xml:space="preserve">는 먼저 </w:t>
      </w:r>
      <w:r>
        <w:rPr/>
        <w:t>EdgeX</w:t>
      </w:r>
      <w:r>
        <w:rPr/>
        <w:t>에게 보내어진 후</w:t>
      </w:r>
      <w:r>
        <w:rPr/>
        <w:t>, EdgeX</w:t>
      </w:r>
      <w:r>
        <w:rPr/>
        <w:t xml:space="preserve">는 이를 </w:t>
      </w:r>
      <w:r>
        <w:rPr/>
        <w:t xml:space="preserve">device-mqtt </w:t>
      </w:r>
      <w:r>
        <w:rPr/>
        <w:t xml:space="preserve">서비스를 통해 라즈베리파이 </w:t>
      </w:r>
      <w:r>
        <w:rPr/>
        <w:t>1</w:t>
      </w:r>
      <w:r>
        <w:rPr/>
        <w:t>번에게 보낸다</w:t>
      </w:r>
      <w:r>
        <w:rPr/>
        <w:t xml:space="preserve">. </w:t>
      </w:r>
    </w:p>
    <w:p>
      <w:pPr>
        <w:pStyle w:val="Style29"/>
        <w:rPr/>
      </w:pPr>
      <w:r>
        <w:rPr/>
      </w:r>
    </w:p>
    <w:p>
      <w:pPr>
        <w:pStyle w:val="Style29"/>
        <w:ind w:hanging="0"/>
        <w:rPr/>
      </w:pPr>
      <w:r>
        <w:rPr/>
        <w:drawing>
          <wp:inline distT="0" distB="0" distL="0" distR="3175">
            <wp:extent cx="3133725" cy="1424305"/>
            <wp:effectExtent l="0" t="0" r="0" b="0"/>
            <wp:docPr id="4" name="그림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b w:val="false"/>
        </w:rPr>
        <w:t>(</w:t>
      </w:r>
      <w:r>
        <w:rPr>
          <w:b w:val="false"/>
        </w:rPr>
        <w:t xml:space="preserve">그림  </w:t>
      </w:r>
      <w:r>
        <w:rPr>
          <w:b w:val="false"/>
        </w:rPr>
        <w:t>3</w:t>
      </w:r>
      <w:r>
        <w:rPr>
          <w:b w:val="false"/>
        </w:rPr>
        <w:t>) device-mqtt</w:t>
      </w:r>
      <w:r>
        <w:rPr>
          <w:b w:val="false"/>
        </w:rPr>
        <w:t xml:space="preserve">서비스를 이용한 </w:t>
      </w:r>
      <w:r>
        <w:rPr>
          <w:b w:val="false"/>
        </w:rPr>
        <w:t xml:space="preserve">command </w:t>
      </w:r>
      <w:r>
        <w:rPr>
          <w:b w:val="false"/>
        </w:rPr>
        <w:t>전송</w:t>
      </w:r>
    </w:p>
    <w:p>
      <w:pPr>
        <w:pStyle w:val="Style29"/>
        <w:rPr/>
      </w:pPr>
      <w:r>
        <w:rPr/>
        <w:t>EdgeX</w:t>
      </w:r>
      <w:r>
        <w:rPr/>
        <w:t xml:space="preserve">의 </w:t>
      </w:r>
      <w:r>
        <w:rPr/>
        <w:t>device-mqtt</w:t>
      </w:r>
      <w:r>
        <w:rPr/>
        <w:t xml:space="preserve">서비스는 </w:t>
      </w:r>
      <w:r>
        <w:rPr/>
        <w:t>command</w:t>
      </w:r>
      <w:r>
        <w:rPr/>
        <w:t xml:space="preserve">가 내려질 때마다 이에 대한 </w:t>
      </w:r>
      <w:r>
        <w:rPr/>
        <w:t>response</w:t>
      </w:r>
      <w:r>
        <w:rPr/>
        <w:t>를 디바이스로부터 전송 받게 되어있다</w:t>
      </w:r>
      <w:r>
        <w:rPr/>
        <w:t xml:space="preserve">. </w:t>
      </w:r>
      <w:r>
        <w:rPr/>
        <w:t xml:space="preserve"> </w:t>
      </w:r>
      <w:r>
        <w:rPr/>
        <w:t>response</w:t>
      </w:r>
      <w:r>
        <w:rPr/>
        <w:t>를</w:t>
      </w:r>
      <w:r>
        <w:rPr/>
        <w:t xml:space="preserve"> 받은 모습은 그림 </w:t>
      </w:r>
      <w:r>
        <w:rPr/>
        <w:t>4</w:t>
      </w:r>
      <w:r>
        <w:rPr/>
        <w:t>와 같다</w:t>
      </w:r>
      <w:r>
        <w:rPr/>
        <w:t xml:space="preserve">. </w:t>
      </w:r>
      <w:r>
        <w:rPr/>
        <w:t>특이하게도</w:t>
      </w:r>
      <w:r>
        <w:rPr/>
        <w:t xml:space="preserve">, </w:t>
      </w:r>
      <w:r>
        <w:rPr/>
        <w:t>c</w:t>
      </w:r>
      <w:r>
        <w:rPr/>
        <w:t>omm</w:t>
      </w:r>
      <w:r>
        <w:rPr/>
        <w:t>an</w:t>
      </w:r>
      <w:r>
        <w:rPr/>
        <w:t>d</w:t>
      </w:r>
      <w:r>
        <w:rPr/>
        <w:t xml:space="preserve">마다 </w:t>
      </w:r>
      <w:r>
        <w:rPr/>
        <w:t>unique</w:t>
      </w:r>
      <w:r>
        <w:rPr/>
        <w:t xml:space="preserve">한 </w:t>
      </w:r>
      <w:r>
        <w:rPr/>
        <w:t>uuid</w:t>
      </w:r>
      <w:r>
        <w:rPr/>
        <w:t>가 주어지고 있는 것을 관찰할 수 있다</w:t>
      </w:r>
      <w:r>
        <w:rPr/>
        <w:t>.</w:t>
      </w:r>
    </w:p>
    <w:p>
      <w:pPr>
        <w:pStyle w:val="Style29"/>
        <w:ind w:hanging="0"/>
        <w:rPr/>
      </w:pPr>
      <w:r>
        <w:rPr/>
        <w:drawing>
          <wp:inline distT="0" distB="5080" distL="0" distR="0">
            <wp:extent cx="3215640" cy="719455"/>
            <wp:effectExtent l="0" t="0" r="0" b="0"/>
            <wp:docPr id="5" name="그림 24" descr="/var/folders/nj/73p31c3x7hdg4fb1yjw9m71h0000gp/T/com.microsoft.Word/WebArchiveCopyPasteTempFiles/p4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24" descr="/var/folders/nj/73p31c3x7hdg4fb1yjw9m71h0000gp/T/com.microsoft.Word/WebArchiveCopyPasteTempFiles/p443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b w:val="false"/>
        </w:rPr>
        <w:t>(</w:t>
      </w:r>
      <w:r>
        <w:rPr>
          <w:b w:val="false"/>
        </w:rPr>
        <w:t xml:space="preserve">그림  </w:t>
      </w:r>
      <w:r>
        <w:rPr>
          <w:b w:val="false"/>
        </w:rPr>
        <w:t>4</w:t>
      </w:r>
      <w:r>
        <w:rPr>
          <w:b w:val="false"/>
        </w:rPr>
        <w:t>) EdgeX</w:t>
      </w:r>
      <w:r>
        <w:rPr>
          <w:b w:val="false"/>
        </w:rPr>
        <w:t xml:space="preserve">에서 출력하는 </w:t>
      </w:r>
      <w:r>
        <w:rPr>
          <w:b w:val="false"/>
        </w:rPr>
        <w:t xml:space="preserve">response </w:t>
      </w:r>
      <w:r>
        <w:rPr>
          <w:b w:val="false"/>
        </w:rPr>
        <w:t>메세지</w:t>
      </w:r>
    </w:p>
    <w:p>
      <w:pPr>
        <w:pStyle w:val="Style29"/>
        <w:rPr/>
      </w:pPr>
      <w:r>
        <w:rPr/>
        <w:t>Comm</w:t>
      </w:r>
      <w:r>
        <w:rPr/>
        <w:t>an</w:t>
      </w:r>
      <w:r>
        <w:rPr/>
        <w:t xml:space="preserve">d </w:t>
      </w:r>
      <w:r>
        <w:rPr/>
        <w:t>메세지를 수신 받은 후</w:t>
      </w:r>
      <w:r>
        <w:rPr/>
        <w:t xml:space="preserve">, </w:t>
      </w:r>
      <w:r>
        <w:rPr/>
        <w:t xml:space="preserve">이에 대한 </w:t>
      </w:r>
      <w:r>
        <w:rPr/>
        <w:t>re</w:t>
      </w:r>
      <w:r>
        <w:rPr/>
        <w:t>s</w:t>
      </w:r>
      <w:r>
        <w:rPr/>
        <w:t xml:space="preserve">ponse </w:t>
      </w:r>
      <w:r>
        <w:rPr/>
        <w:t xml:space="preserve">메세지를 받는 구체적인 상황은 그림 </w:t>
      </w:r>
      <w:r>
        <w:rPr/>
        <w:t>5</w:t>
      </w:r>
      <w:r>
        <w:rPr/>
        <w:t>와 같다</w:t>
      </w:r>
      <w:r>
        <w:rPr/>
        <w:t xml:space="preserve">. </w:t>
      </w:r>
      <w:r>
        <w:rPr/>
        <w:t>c</w:t>
      </w:r>
      <w:r>
        <w:rPr/>
        <w:t>ommand</w:t>
      </w:r>
      <w:r>
        <w:rPr/>
        <w:t xml:space="preserve">메세지를 수신 받은 라즈베리파이 </w:t>
      </w:r>
      <w:r>
        <w:rPr/>
        <w:t>1</w:t>
      </w:r>
      <w:r>
        <w:rPr/>
        <w:t xml:space="preserve">번에서 </w:t>
      </w:r>
      <w:r>
        <w:rPr/>
        <w:t>MQTT broker</w:t>
      </w:r>
      <w:r>
        <w:rPr/>
        <w:t xml:space="preserve">에게 </w:t>
      </w:r>
      <w:r>
        <w:rPr/>
        <w:t>REST API</w:t>
      </w:r>
      <w:r>
        <w:rPr/>
        <w:t xml:space="preserve">를 통해 </w:t>
      </w:r>
      <w:r>
        <w:rPr/>
        <w:t xml:space="preserve">response </w:t>
      </w:r>
      <w:r>
        <w:rPr/>
        <w:t xml:space="preserve">메세지를 전송하여 </w:t>
      </w:r>
      <w:r>
        <w:rPr/>
        <w:t>EdgeX Client</w:t>
      </w:r>
      <w:r>
        <w:rPr/>
        <w:t>에게 해당 메세지를 보내는 상황을 나타내고 있다</w:t>
      </w:r>
      <w:r>
        <w:rPr/>
        <w:t>.</w:t>
      </w:r>
    </w:p>
    <w:p>
      <w:pPr>
        <w:pStyle w:val="Style29"/>
        <w:rPr/>
      </w:pPr>
      <w:r>
        <w:rPr/>
      </w:r>
    </w:p>
    <w:p>
      <w:pPr>
        <w:pStyle w:val="Style29"/>
        <w:ind w:hanging="0"/>
        <w:rPr/>
      </w:pPr>
      <w:r>
        <w:rPr/>
        <w:drawing>
          <wp:inline distT="0" distB="0" distL="0" distR="0">
            <wp:extent cx="3215005" cy="1374140"/>
            <wp:effectExtent l="0" t="0" r="0" b="0"/>
            <wp:docPr id="6" name="그림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005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b w:val="false"/>
        </w:rPr>
        <w:t>(</w:t>
      </w:r>
      <w:r>
        <w:rPr>
          <w:b w:val="false"/>
        </w:rPr>
        <w:t xml:space="preserve">그림  </w:t>
      </w:r>
      <w:r>
        <w:rPr>
          <w:b w:val="false"/>
        </w:rPr>
        <w:t>5</w:t>
      </w:r>
      <w:r>
        <w:rPr>
          <w:b w:val="false"/>
        </w:rPr>
        <w:t>) device-mqtt</w:t>
      </w:r>
      <w:r>
        <w:rPr>
          <w:b w:val="false"/>
        </w:rPr>
        <w:t xml:space="preserve">서비스를 이용한 </w:t>
      </w:r>
      <w:r>
        <w:rPr>
          <w:b w:val="false"/>
        </w:rPr>
        <w:t xml:space="preserve">response </w:t>
      </w:r>
      <w:r>
        <w:rPr>
          <w:b w:val="false"/>
        </w:rPr>
        <w:t>전송</w:t>
      </w:r>
    </w:p>
    <w:p>
      <w:pPr>
        <w:pStyle w:val="Style29"/>
        <w:ind w:hanging="0"/>
        <w:rPr/>
      </w:pPr>
      <w:r>
        <w:rPr/>
      </w:r>
    </w:p>
    <w:p>
      <w:pPr>
        <w:pStyle w:val="Style31"/>
        <w:numPr>
          <w:ilvl w:val="0"/>
          <w:numId w:val="1"/>
        </w:numPr>
        <w:ind w:hanging="227"/>
        <w:rPr/>
      </w:pPr>
      <w:r>
        <w:rPr/>
        <w:t>결론</w:t>
      </w:r>
    </w:p>
    <w:p>
      <w:pPr>
        <w:pStyle w:val="Style29"/>
        <w:ind w:firstLine="100"/>
        <w:rPr/>
      </w:pPr>
      <w:r>
        <w:rPr/>
        <w:t xml:space="preserve">본 논문에서는 </w:t>
      </w:r>
      <w:r>
        <w:rPr/>
        <w:t xml:space="preserve">EdgeX foundry </w:t>
      </w:r>
      <w:r>
        <w:rPr/>
        <w:t>기반의 마이크로서비스를 이용하여</w:t>
      </w:r>
      <w:r>
        <w:rPr/>
        <w:t xml:space="preserve">, </w:t>
      </w:r>
      <w:r>
        <w:rPr/>
        <w:t>복수의 라즈베리파이로부터 센서 값을 받아들인 후</w:t>
      </w:r>
      <w:r>
        <w:rPr/>
        <w:t>, EdgeX Client</w:t>
      </w:r>
      <w:r>
        <w:rPr/>
        <w:t xml:space="preserve">에서 값을 처리하여 해당 값을 또 다른 라즈베리파이에게 </w:t>
      </w:r>
      <w:r>
        <w:rPr/>
        <w:t xml:space="preserve">command </w:t>
      </w:r>
      <w:r>
        <w:rPr/>
        <w:t xml:space="preserve">메세지로 </w:t>
      </w:r>
      <w:r>
        <w:rPr/>
        <w:t>전송</w:t>
      </w:r>
      <w:r>
        <w:rPr/>
        <w:t xml:space="preserve">하고 그에 대한 </w:t>
      </w:r>
      <w:r>
        <w:rPr/>
        <w:t xml:space="preserve">response </w:t>
      </w:r>
      <w:r>
        <w:rPr/>
        <w:t>메세지를 수신하는 일련의 과정</w:t>
      </w:r>
      <w:r>
        <w:rPr/>
        <w:t>을 구현함을 보였다</w:t>
      </w:r>
      <w:r>
        <w:rPr/>
        <w:t xml:space="preserve">. </w:t>
      </w:r>
    </w:p>
    <w:p>
      <w:pPr>
        <w:pStyle w:val="Style29"/>
        <w:ind w:firstLine="100"/>
        <w:rPr/>
      </w:pPr>
      <w:r>
        <w:rPr/>
      </w:r>
    </w:p>
    <w:p>
      <w:pPr>
        <w:pStyle w:val="Style29"/>
        <w:ind w:hanging="0"/>
        <w:rPr/>
      </w:pPr>
      <w:r>
        <w:rPr/>
      </w:r>
    </w:p>
    <w:p>
      <w:pPr>
        <w:pStyle w:val="Style32"/>
        <w:spacing w:lineRule="auto" w:line="360"/>
        <w:jc w:val="center"/>
        <w:rPr>
          <w:rFonts w:eastAsia="돋움체"/>
          <w:b/>
          <w:b/>
        </w:rPr>
      </w:pPr>
      <w:r>
        <w:rPr>
          <w:rFonts w:eastAsia="돋움체"/>
          <w:b/>
        </w:rPr>
        <w:t>참고문헌</w:t>
      </w:r>
    </w:p>
    <w:p>
      <w:pPr>
        <w:pStyle w:val="Style32"/>
        <w:rPr/>
      </w:pPr>
      <w:r>
        <w:rPr/>
        <w:t xml:space="preserve">[1] </w:t>
      </w:r>
      <w:r>
        <w:rPr/>
        <w:t>이승형</w:t>
      </w:r>
      <w:r>
        <w:rPr/>
        <w:t xml:space="preserve">, </w:t>
      </w:r>
      <w:r>
        <w:rPr/>
        <w:t>권진철</w:t>
      </w:r>
      <w:r>
        <w:rPr/>
        <w:t xml:space="preserve">, </w:t>
      </w:r>
      <w:r>
        <w:rPr/>
        <w:t>김종원</w:t>
      </w:r>
      <w:r>
        <w:rPr/>
        <w:t xml:space="preserve">, “EdgeX Open Framework </w:t>
      </w:r>
      <w:r>
        <w:rPr/>
        <w:t xml:space="preserve">기반의 </w:t>
      </w:r>
      <w:r>
        <w:rPr/>
        <w:t xml:space="preserve">IoT-Cloud </w:t>
      </w:r>
      <w:r>
        <w:rPr/>
        <w:t>대응 서비스의 시험적 구성</w:t>
      </w:r>
      <w:r>
        <w:rPr/>
        <w:t xml:space="preserve">,” </w:t>
      </w:r>
      <w:r>
        <w:rPr/>
        <w:t>한국통신학회</w:t>
      </w:r>
      <w:r>
        <w:rPr/>
        <w:t>, 2018</w:t>
      </w:r>
    </w:p>
    <w:p>
      <w:pPr>
        <w:pStyle w:val="Style32"/>
        <w:rPr/>
      </w:pPr>
      <w:r>
        <w:rPr/>
      </w:r>
    </w:p>
    <w:p>
      <w:pPr>
        <w:pStyle w:val="Style32"/>
        <w:rPr/>
      </w:pPr>
      <w:r>
        <w:rPr/>
        <w:t>[2] https://github.com/edgexfoundry</w:t>
      </w:r>
    </w:p>
    <w:sectPr>
      <w:footnotePr>
        <w:numFmt w:val="decimal"/>
        <w:numStart w:val="2"/>
      </w:footnotePr>
      <w:type w:val="continuous"/>
      <w:pgSz w:w="11906" w:h="16838"/>
      <w:pgMar w:left="851" w:right="851" w:header="567" w:top="1701" w:footer="567" w:bottom="964" w:gutter="0"/>
      <w:cols w:num="2" w:space="284" w:equalWidth="true" w:sep="false"/>
      <w:formProt w:val="false"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바탕">
    <w:charset w:val="01"/>
    <w:family w:val="roman"/>
    <w:pitch w:val="variable"/>
  </w:font>
  <w:font w:name="굴림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3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TopAndBottom/>
              <wp:docPr id="1" name="프레임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33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05pt;height:11.55pt;mso-wrap-distance-left:0pt;mso-wrap-distance-right:0pt;mso-wrap-distance-top:0pt;mso-wrap-distance-bottom:0pt;margin-top:0.05pt;mso-position-vertical-relative:text;margin-left:252.6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Style33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topAndBottom"/>
            </v:rect>
          </w:pict>
        </mc:Fallback>
      </mc:AlternateConten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/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rPr/>
      </w:pPr>
      <w:r>
        <w:rPr>
          <w:rStyle w:val="Footnotereference"/>
        </w:rPr>
        <w:footnoteRef/>
        <w:tab/>
      </w:r>
      <w:r>
        <w:rPr/>
        <w:t xml:space="preserve"> </w:t>
      </w:r>
      <w:r>
        <w:rPr/>
        <w:t>교신 저자</w:t>
      </w:r>
      <w:r>
        <w:rPr/>
        <w:t xml:space="preserve">: </w:t>
      </w:r>
      <w:r>
        <w:rPr/>
        <w:t>한연희</w:t>
      </w:r>
      <w:r>
        <w:rPr/>
        <w:t>(</w:t>
      </w:r>
      <w:r>
        <w:rPr/>
        <w:t>한국기술교육대학교</w:t>
      </w:r>
      <w:r>
        <w:rPr/>
        <w:t>)</w:t>
      </w:r>
    </w:p>
    <w:p>
      <w:pPr>
        <w:pStyle w:val="Footnotetext"/>
        <w:rPr/>
      </w:pPr>
      <w:r>
        <w:rPr/>
        <w:tab/>
        <w:t>"</w:t>
      </w:r>
      <w:r>
        <w:rPr/>
        <w:t xml:space="preserve">이 논문은 </w:t>
      </w:r>
      <w:r>
        <w:rPr/>
        <w:t>2016</w:t>
      </w:r>
      <w:r>
        <w:rPr/>
        <w:t xml:space="preserve">년도 및 </w:t>
      </w:r>
      <w:r>
        <w:rPr/>
        <w:t>2018</w:t>
      </w:r>
      <w:r>
        <w:rPr/>
        <w:t>년도 정부</w:t>
      </w:r>
      <w:r>
        <w:rPr/>
        <w:t>(</w:t>
      </w:r>
      <w:r>
        <w:rPr/>
        <w:t>교육부</w:t>
      </w:r>
      <w:r>
        <w:rPr/>
        <w:t>)</w:t>
      </w:r>
      <w:r>
        <w:rPr/>
        <w:t>의 재원으로 한국연구재단의 지원을 받아 수행된 기초연구사업임</w:t>
      </w:r>
      <w:r>
        <w:rPr/>
        <w:t>(No. NRF-2016R1D1A3B03933355, No. 2018R1A6A1A03025526)"</w:t>
      </w:r>
    </w:p>
    <w:p>
      <w:pPr>
        <w:pStyle w:val="Footnotetext"/>
        <w:rPr/>
      </w:pPr>
      <w:r>
        <w:rPr/>
        <w:tab/>
        <w:t>"</w:t>
      </w:r>
      <w:r>
        <w:rPr/>
        <w:t xml:space="preserve">이 논문은 </w:t>
      </w:r>
      <w:r>
        <w:rPr/>
        <w:t>2018</w:t>
      </w:r>
      <w:r>
        <w:rPr/>
        <w:t>년도 정부</w:t>
      </w:r>
      <w:r>
        <w:rPr/>
        <w:t>(</w:t>
      </w:r>
      <w:r>
        <w:rPr/>
        <w:t>교육부</w:t>
      </w:r>
      <w:r>
        <w:rPr/>
        <w:t>)</w:t>
      </w:r>
      <w:r>
        <w:rPr/>
        <w:t>의 재원으로 한국연구재단의 지원을 받아 수행된 기초연구사업임</w:t>
      </w:r>
      <w:r>
        <w:rPr/>
        <w:t>(No. 2018R1A6A1A03025526)"</w:t>
      </w:r>
    </w:p>
    <w:p>
      <w:pPr>
        <w:pStyle w:val="Footnotetext"/>
        <w:rPr/>
      </w:pPr>
      <w:r>
        <w:rP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0"/>
      <w:rPr/>
    </w:pPr>
    <w:r>
      <w:rPr/>
    </w:r>
  </w:p>
  <w:p>
    <w:pPr>
      <w:pStyle w:val="Style3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849"/>
        </w:tabs>
        <w:ind w:left="849" w:hanging="2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embedSystemFonts/>
  <w:defaultTabStop w:val="851"/>
  <w:footnotePr>
    <w:numFmt w:val="decimal"/>
    <w:numStart w:val="2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바탕체" w:cs="Times New Roman"/>
        <w:lang w:val="en-US" w:eastAsia="ko-KR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Times New Roman" w:hAnsi="Times New Roman" w:eastAsia="바탕체" w:cs="Times New Roman"/>
      <w:color w:val="auto"/>
      <w:sz w:val="20"/>
      <w:szCs w:val="20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인터넷 링크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Pagenumber">
    <w:name w:val="page number"/>
    <w:basedOn w:val="DefaultParagraphFont"/>
    <w:qFormat/>
    <w:rPr/>
  </w:style>
  <w:style w:type="character" w:styleId="Strong">
    <w:name w:val="Strong"/>
    <w:qFormat/>
    <w:rsid w:val="005d6372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e27e07"/>
    <w:rPr>
      <w:color w:val="808080"/>
    </w:rPr>
  </w:style>
  <w:style w:type="character" w:styleId="Char" w:customStyle="1">
    <w:name w:val="각주 텍스트 Char"/>
    <w:basedOn w:val="DefaultParagraphFont"/>
    <w:link w:val="af6"/>
    <w:qFormat/>
    <w:rsid w:val="00ef487e"/>
    <w:rPr/>
  </w:style>
  <w:style w:type="character" w:styleId="Footnotereference">
    <w:name w:val="footnote reference"/>
    <w:basedOn w:val="DefaultParagraphFont"/>
    <w:qFormat/>
    <w:rsid w:val="00ef487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b68b9"/>
    <w:rPr>
      <w:color w:val="808080"/>
      <w:shd w:fill="E6E6E6" w:val="clear"/>
    </w:rPr>
  </w:style>
  <w:style w:type="character" w:styleId="ListLabel1">
    <w:name w:val="ListLabel 1"/>
    <w:qFormat/>
    <w:rPr>
      <w:rFonts w:eastAsia="바탕체" w:cs="Times New Roman"/>
    </w:rPr>
  </w:style>
  <w:style w:type="character" w:styleId="ListLabel2">
    <w:name w:val="ListLabel 2"/>
    <w:qFormat/>
    <w:rPr>
      <w:color w:val="00000A"/>
      <w:sz w:val="16"/>
    </w:rPr>
  </w:style>
  <w:style w:type="character" w:styleId="ListLabel3">
    <w:name w:val="ListLabel 3"/>
    <w:qFormat/>
    <w:rPr>
      <w:color w:val="00000A"/>
      <w:sz w:val="16"/>
    </w:rPr>
  </w:style>
  <w:style w:type="character" w:styleId="ListLabel4">
    <w:name w:val="ListLabel 4"/>
    <w:qFormat/>
    <w:rPr>
      <w:color w:val="00000A"/>
      <w:sz w:val="10"/>
    </w:rPr>
  </w:style>
  <w:style w:type="character" w:styleId="Style15">
    <w:name w:val="각주 기호"/>
    <w:qFormat/>
    <w:rPr/>
  </w:style>
  <w:style w:type="character" w:styleId="Style16">
    <w:name w:val="각주 기준 위치"/>
    <w:rPr>
      <w:vertAlign w:val="superscript"/>
    </w:rPr>
  </w:style>
  <w:style w:type="character" w:styleId="Style17">
    <w:name w:val="미주 고정 기준"/>
    <w:rPr>
      <w:vertAlign w:val="superscript"/>
    </w:rPr>
  </w:style>
  <w:style w:type="character" w:styleId="Style18">
    <w:name w:val="미주 기호"/>
    <w:qFormat/>
    <w:rPr/>
  </w:style>
  <w:style w:type="paragraph" w:styleId="Style19">
    <w:name w:val="제목"/>
    <w:basedOn w:val="Normal"/>
    <w:next w:val="Style20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20">
    <w:name w:val="Body Text"/>
    <w:basedOn w:val="Normal"/>
    <w:pPr>
      <w:spacing w:lineRule="auto" w:line="288" w:before="0" w:after="140"/>
    </w:pPr>
    <w:rPr/>
  </w:style>
  <w:style w:type="paragraph" w:styleId="Style21">
    <w:name w:val="List"/>
    <w:basedOn w:val="Style20"/>
    <w:pPr/>
    <w:rPr>
      <w:rFonts w:cs="Free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3">
    <w:name w:val="색인"/>
    <w:basedOn w:val="Normal"/>
    <w:qFormat/>
    <w:pPr>
      <w:suppressLineNumbers/>
    </w:pPr>
    <w:rPr>
      <w:rFonts w:cs="FreeSans"/>
    </w:rPr>
  </w:style>
  <w:style w:type="paragraph" w:styleId="Style24" w:customStyle="1">
    <w:name w:val="국문 제목"/>
    <w:basedOn w:val="Normal"/>
    <w:qFormat/>
    <w:pPr>
      <w:spacing w:lineRule="auto" w:line="264" w:before="120" w:after="0"/>
      <w:ind w:left="851" w:right="851" w:hanging="0"/>
      <w:jc w:val="center"/>
    </w:pPr>
    <w:rPr>
      <w:b/>
      <w:sz w:val="40"/>
    </w:rPr>
  </w:style>
  <w:style w:type="paragraph" w:styleId="Style25" w:customStyle="1">
    <w:name w:val="국문 저자명"/>
    <w:basedOn w:val="Normal"/>
    <w:qFormat/>
    <w:pPr>
      <w:ind w:left="851" w:right="851" w:hanging="0"/>
      <w:jc w:val="center"/>
    </w:pPr>
    <w:rPr>
      <w:sz w:val="24"/>
    </w:rPr>
  </w:style>
  <w:style w:type="paragraph" w:styleId="Style26" w:customStyle="1">
    <w:name w:val="영문 제목"/>
    <w:basedOn w:val="Normal"/>
    <w:qFormat/>
    <w:pPr>
      <w:spacing w:lineRule="auto" w:line="264" w:before="120" w:after="0"/>
      <w:ind w:left="851" w:right="851" w:hanging="0"/>
      <w:jc w:val="center"/>
    </w:pPr>
    <w:rPr>
      <w:b/>
      <w:sz w:val="36"/>
    </w:rPr>
  </w:style>
  <w:style w:type="paragraph" w:styleId="Style27" w:customStyle="1">
    <w:name w:val="영문 저자명"/>
    <w:basedOn w:val="Normal"/>
    <w:qFormat/>
    <w:pPr>
      <w:ind w:left="851" w:right="851" w:hanging="0"/>
      <w:jc w:val="center"/>
    </w:pPr>
    <w:rPr>
      <w:sz w:val="24"/>
    </w:rPr>
  </w:style>
  <w:style w:type="paragraph" w:styleId="Style28" w:customStyle="1">
    <w:name w:val="요약"/>
    <w:basedOn w:val="Normal"/>
    <w:qFormat/>
    <w:pPr>
      <w:spacing w:lineRule="auto" w:line="264"/>
      <w:ind w:left="851" w:right="851" w:hanging="0"/>
    </w:pPr>
    <w:rPr>
      <w:sz w:val="18"/>
    </w:rPr>
  </w:style>
  <w:style w:type="paragraph" w:styleId="Style29" w:customStyle="1">
    <w:name w:val="논문 내용"/>
    <w:basedOn w:val="Normal"/>
    <w:qFormat/>
    <w:pPr>
      <w:ind w:firstLine="227"/>
    </w:pPr>
    <w:rPr/>
  </w:style>
  <w:style w:type="paragraph" w:styleId="Caption">
    <w:name w:val="caption"/>
    <w:basedOn w:val="Normal"/>
    <w:qFormat/>
    <w:pPr>
      <w:spacing w:before="120" w:after="240"/>
    </w:pPr>
    <w:rPr>
      <w:b/>
    </w:rPr>
  </w:style>
  <w:style w:type="paragraph" w:styleId="Style30">
    <w:name w:val="Header"/>
    <w:basedOn w:val="Normal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Style31" w:customStyle="1">
    <w:name w:val="논문 내용 제목"/>
    <w:basedOn w:val="Style29"/>
    <w:qFormat/>
    <w:pPr>
      <w:tabs>
        <w:tab w:val="left" w:pos="284" w:leader="none"/>
      </w:tabs>
      <w:spacing w:lineRule="auto" w:line="360"/>
      <w:ind w:left="227" w:hanging="227"/>
    </w:pPr>
    <w:rPr>
      <w:rFonts w:eastAsia="돋움체"/>
      <w:b/>
    </w:rPr>
  </w:style>
  <w:style w:type="paragraph" w:styleId="Style32" w:customStyle="1">
    <w:name w:val="참고문헌"/>
    <w:basedOn w:val="Style29"/>
    <w:qFormat/>
    <w:pPr>
      <w:ind w:hanging="0"/>
    </w:pPr>
    <w:rPr/>
  </w:style>
  <w:style w:type="paragraph" w:styleId="Style33">
    <w:name w:val="Footer"/>
    <w:basedOn w:val="Normal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NormalWeb">
    <w:name w:val="Normal (Web)"/>
    <w:basedOn w:val="Normal"/>
    <w:qFormat/>
    <w:pPr>
      <w:widowControl/>
      <w:spacing w:beforeAutospacing="1" w:afterAutospacing="1"/>
      <w:jc w:val="left"/>
    </w:pPr>
    <w:rPr>
      <w:rFonts w:ascii="바탕" w:hAnsi="바탕" w:eastAsia="바탕"/>
      <w:sz w:val="24"/>
      <w:szCs w:val="24"/>
    </w:rPr>
  </w:style>
  <w:style w:type="paragraph" w:styleId="Style34" w:customStyle="1">
    <w:name w:val="바탕글"/>
    <w:basedOn w:val="Normal"/>
    <w:qFormat/>
    <w:rsid w:val="006377dd"/>
    <w:pPr>
      <w:shd w:val="clear" w:color="auto" w:fill="FFFFFF"/>
      <w:snapToGrid w:val="false"/>
      <w:spacing w:lineRule="auto" w:line="384"/>
      <w:textAlignment w:val="baseline"/>
    </w:pPr>
    <w:rPr>
      <w:rFonts w:ascii="굴림" w:hAnsi="굴림" w:eastAsia="굴림" w:cs="굴림"/>
      <w:color w:val="000000"/>
    </w:rPr>
  </w:style>
  <w:style w:type="paragraph" w:styleId="ListParagraph">
    <w:name w:val="List Paragraph"/>
    <w:basedOn w:val="Normal"/>
    <w:uiPriority w:val="34"/>
    <w:qFormat/>
    <w:rsid w:val="00436203"/>
    <w:pPr>
      <w:ind w:left="800" w:hanging="0"/>
    </w:pPr>
    <w:rPr/>
  </w:style>
  <w:style w:type="paragraph" w:styleId="Footnotetext">
    <w:name w:val="footnote text"/>
    <w:basedOn w:val="Normal"/>
    <w:link w:val="Char"/>
    <w:qFormat/>
    <w:rsid w:val="00ef487e"/>
    <w:pPr>
      <w:snapToGrid w:val="false"/>
      <w:jc w:val="left"/>
    </w:pPr>
    <w:rPr/>
  </w:style>
  <w:style w:type="paragraph" w:styleId="Style35">
    <w:name w:val="프레임 내용"/>
    <w:basedOn w:val="Normal"/>
    <w:qFormat/>
    <w:pPr/>
    <w:rPr/>
  </w:style>
  <w:style w:type="paragraph" w:styleId="Style36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9">
    <w:name w:val="Table Grid"/>
    <w:basedOn w:val="a2"/>
    <w:uiPriority w:val="39"/>
    <w:rsid w:val="00b74cfa"/>
    <w:pPr>
      <w:jc w:val="both"/>
    </w:pPr>
    <w:rPr>
      <w:rFonts w:asciiTheme="minorHAnsi" w:hAnsiTheme="minorHAnsi" w:eastAsiaTheme="minorEastAsia" w:cstheme="minorBidi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otnotes" Target="footnotes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</a:spPr>
      <a:bodyPr wrap="square" rtlCol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5C6791-0E21-DF42-8FF1-DD8FE4714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Office\Templates\Normal.dot</Template>
  <TotalTime>5980</TotalTime>
  <Application>LibreOffice/5.1.6.2$Linux_X86_64 LibreOffice_project/10m0$Build-2</Application>
  <Pages>2</Pages>
  <Words>2000</Words>
  <Characters>3145</Characters>
  <CharactersWithSpaces>3827</CharactersWithSpaces>
  <Paragraphs>45</Paragraphs>
  <Company>KAIST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2018-09-17T04:31:00Z</dcterms:created>
  <dc:creator>류성호</dc:creator>
  <dc:description/>
  <dc:language>ko-KR</dc:language>
  <cp:lastModifiedBy/>
  <cp:lastPrinted>1999-08-15T14:43:00Z</cp:lastPrinted>
  <dcterms:modified xsi:type="dcterms:W3CDTF">2018-09-26T18:39:05Z</dcterms:modified>
  <cp:revision>68</cp:revision>
  <dc:subject/>
  <dc:title>국문제목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KAIST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