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AF69" w14:textId="77777777" w:rsidR="009249CB" w:rsidRDefault="00183FCD">
      <w:pPr>
        <w:spacing w:before="120" w:after="280"/>
        <w:jc w:val="center"/>
      </w:pPr>
      <w:r>
        <w:rPr>
          <w:rFonts w:eastAsia="黑体"/>
          <w:sz w:val="32"/>
        </w:rPr>
        <w:t>中国信用利差驱动因素的非线性机制与样本外预测</w:t>
      </w:r>
      <w:r>
        <w:rPr>
          <w:rFonts w:eastAsia="黑体"/>
          <w:sz w:val="32"/>
        </w:rPr>
        <w:t>——</w:t>
      </w:r>
      <w:r>
        <w:rPr>
          <w:rFonts w:eastAsia="黑体"/>
          <w:sz w:val="32"/>
        </w:rPr>
        <w:t>基于</w:t>
      </w:r>
      <w:r>
        <w:rPr>
          <w:rFonts w:eastAsia="黑体"/>
          <w:sz w:val="32"/>
        </w:rPr>
        <w:t>XGBoost</w:t>
      </w:r>
      <w:r>
        <w:rPr>
          <w:rFonts w:eastAsia="黑体"/>
          <w:sz w:val="32"/>
        </w:rPr>
        <w:t>与</w:t>
      </w:r>
      <w:r>
        <w:rPr>
          <w:rFonts w:eastAsia="黑体"/>
          <w:sz w:val="32"/>
        </w:rPr>
        <w:t>SHAP</w:t>
      </w:r>
      <w:r>
        <w:rPr>
          <w:rFonts w:eastAsia="黑体"/>
          <w:sz w:val="32"/>
        </w:rPr>
        <w:t>的可解释机器学习分析</w:t>
      </w:r>
    </w:p>
    <w:p w14:paraId="0A5FFA28" w14:textId="7A674E26" w:rsidR="009249CB" w:rsidRDefault="00183FCD">
      <w:pPr>
        <w:spacing w:after="160"/>
        <w:jc w:val="center"/>
      </w:pPr>
      <w:r>
        <w:rPr>
          <w:rFonts w:eastAsia="楷体"/>
          <w:sz w:val="24"/>
        </w:rPr>
        <w:t>作者：童欣慧（华南师范大学国际商学院）</w:t>
      </w:r>
      <w:r>
        <w:rPr>
          <w:rStyle w:val="affb"/>
          <w:rFonts w:eastAsia="楷体" w:hint="eastAsia"/>
          <w:sz w:val="24"/>
        </w:rPr>
        <w:footnoteReference w:customMarkFollows="1" w:id="1"/>
        <w:t>①</w:t>
      </w:r>
    </w:p>
    <w:p w14:paraId="1F0C8E0D" w14:textId="77777777" w:rsidR="009249CB" w:rsidRDefault="00183FCD">
      <w:pPr>
        <w:spacing w:after="60"/>
        <w:ind w:firstLine="360"/>
      </w:pPr>
      <w:r>
        <w:rPr>
          <w:rFonts w:eastAsia="仿宋"/>
          <w:b/>
          <w:sz w:val="18"/>
        </w:rPr>
        <w:t>【摘　要】</w:t>
      </w:r>
      <w:r>
        <w:rPr>
          <w:rFonts w:eastAsia="仿宋"/>
          <w:sz w:val="18"/>
        </w:rPr>
        <w:t>信用利差是信用债收益率高于同期限无风险利率的部分，反映投资者承担信用风险与流动性风险所要求的补偿，其驱动机制一直是固定收益研究的核心问题。本文以中短期票据与商业银行债相对同期限国债的利差为研究对象，基于</w:t>
      </w:r>
      <w:r>
        <w:rPr>
          <w:rFonts w:eastAsia="仿宋"/>
          <w:sz w:val="18"/>
        </w:rPr>
        <w:t>2016—2026</w:t>
      </w:r>
      <w:r>
        <w:rPr>
          <w:rFonts w:eastAsia="仿宋"/>
          <w:sz w:val="18"/>
        </w:rPr>
        <w:t>年周度数据，构建包含宏观、流动性与市场情绪共</w:t>
      </w:r>
      <w:r>
        <w:rPr>
          <w:rFonts w:eastAsia="仿宋"/>
          <w:sz w:val="18"/>
        </w:rPr>
        <w:t>10</w:t>
      </w:r>
      <w:r>
        <w:rPr>
          <w:rFonts w:eastAsia="仿宋"/>
          <w:sz w:val="18"/>
        </w:rPr>
        <w:t>类外部特征及自回归滞后项的特征体系，比较</w:t>
      </w:r>
      <w:r>
        <w:rPr>
          <w:rFonts w:eastAsia="仿宋"/>
          <w:sz w:val="18"/>
        </w:rPr>
        <w:t>OLS</w:t>
      </w:r>
      <w:r>
        <w:rPr>
          <w:rFonts w:eastAsia="仿宋"/>
          <w:sz w:val="18"/>
        </w:rPr>
        <w:t>、随机森林与</w:t>
      </w:r>
      <w:r>
        <w:rPr>
          <w:rFonts w:eastAsia="仿宋"/>
          <w:sz w:val="18"/>
        </w:rPr>
        <w:t>XGBoost</w:t>
      </w:r>
      <w:r>
        <w:rPr>
          <w:rFonts w:eastAsia="仿宋"/>
          <w:sz w:val="18"/>
        </w:rPr>
        <w:t>三种模型的样本内解释力，借助</w:t>
      </w:r>
      <w:r>
        <w:rPr>
          <w:rFonts w:eastAsia="仿宋"/>
          <w:sz w:val="18"/>
        </w:rPr>
        <w:t>SHAP</w:t>
      </w:r>
      <w:r>
        <w:rPr>
          <w:rFonts w:eastAsia="仿宋"/>
          <w:sz w:val="18"/>
        </w:rPr>
        <w:t>值分解特征贡献，并在</w:t>
      </w:r>
      <w:r>
        <w:rPr>
          <w:rFonts w:eastAsia="仿宋"/>
          <w:sz w:val="18"/>
        </w:rPr>
        <w:t>expanding-window</w:t>
      </w:r>
      <w:r>
        <w:rPr>
          <w:rFonts w:eastAsia="仿宋"/>
          <w:sz w:val="18"/>
        </w:rPr>
        <w:t>滚动框架下检验样本外预测表现。结果显示：</w:t>
      </w:r>
      <w:r>
        <w:rPr>
          <w:rFonts w:eastAsia="仿宋"/>
          <w:sz w:val="18"/>
        </w:rPr>
        <w:t>3</w:t>
      </w:r>
      <w:r>
        <w:rPr>
          <w:rFonts w:eastAsia="仿宋"/>
          <w:sz w:val="18"/>
        </w:rPr>
        <w:t>年期利差上线性模型测试集</w:t>
      </w:r>
      <w:r>
        <w:rPr>
          <w:rFonts w:eastAsia="仿宋"/>
          <w:sz w:val="18"/>
        </w:rPr>
        <w:t>R²</w:t>
      </w:r>
      <w:r>
        <w:rPr>
          <w:rFonts w:eastAsia="仿宋"/>
          <w:sz w:val="18"/>
        </w:rPr>
        <w:t>为负，随机森林与</w:t>
      </w:r>
      <w:r>
        <w:rPr>
          <w:rFonts w:eastAsia="仿宋"/>
          <w:sz w:val="18"/>
        </w:rPr>
        <w:t>XGBoost</w:t>
      </w:r>
      <w:r>
        <w:rPr>
          <w:rFonts w:eastAsia="仿宋"/>
          <w:sz w:val="18"/>
        </w:rPr>
        <w:t>则达到</w:t>
      </w:r>
      <w:r>
        <w:rPr>
          <w:rFonts w:eastAsia="仿宋"/>
          <w:sz w:val="18"/>
        </w:rPr>
        <w:t>0.36—0.69</w:t>
      </w:r>
      <w:r>
        <w:rPr>
          <w:rFonts w:eastAsia="仿宋"/>
          <w:sz w:val="18"/>
        </w:rPr>
        <w:t>，利差的驱动关系存在明显的非线性；</w:t>
      </w:r>
      <w:r>
        <w:rPr>
          <w:rFonts w:eastAsia="仿宋"/>
          <w:sz w:val="18"/>
        </w:rPr>
        <w:t>SHAP</w:t>
      </w:r>
      <w:r>
        <w:rPr>
          <w:rFonts w:eastAsia="仿宋"/>
          <w:sz w:val="18"/>
        </w:rPr>
        <w:t>分解中利差自身滞后项与</w:t>
      </w:r>
      <w:r>
        <w:rPr>
          <w:rFonts w:eastAsia="仿宋"/>
          <w:sz w:val="18"/>
        </w:rPr>
        <w:t>SHIBOR</w:t>
      </w:r>
      <w:r>
        <w:rPr>
          <w:rFonts w:eastAsia="仿宋"/>
          <w:sz w:val="18"/>
        </w:rPr>
        <w:t>流动性指标贡献了绝大部分可解释变异，</w:t>
      </w:r>
      <w:r>
        <w:rPr>
          <w:rFonts w:eastAsia="仿宋"/>
          <w:sz w:val="18"/>
        </w:rPr>
        <w:t>CPI</w:t>
      </w:r>
      <w:r>
        <w:rPr>
          <w:rFonts w:eastAsia="仿宋"/>
          <w:sz w:val="18"/>
        </w:rPr>
        <w:t>、</w:t>
      </w:r>
      <w:r>
        <w:rPr>
          <w:rFonts w:eastAsia="仿宋"/>
          <w:sz w:val="18"/>
        </w:rPr>
        <w:t>PPI</w:t>
      </w:r>
      <w:r>
        <w:rPr>
          <w:rFonts w:eastAsia="仿宋"/>
          <w:sz w:val="18"/>
        </w:rPr>
        <w:t>等宏观变量作用有限；四条利差的滚动预测</w:t>
      </w:r>
      <w:r>
        <w:rPr>
          <w:rFonts w:eastAsia="仿宋"/>
          <w:sz w:val="18"/>
        </w:rPr>
        <w:t>RMSE</w:t>
      </w:r>
      <w:r>
        <w:rPr>
          <w:rFonts w:eastAsia="仿宋"/>
          <w:sz w:val="18"/>
        </w:rPr>
        <w:t>较随机游走改善</w:t>
      </w:r>
      <w:r>
        <w:rPr>
          <w:rFonts w:eastAsia="仿宋"/>
          <w:sz w:val="18"/>
        </w:rPr>
        <w:t>9%—25%</w:t>
      </w:r>
      <w:r>
        <w:rPr>
          <w:rFonts w:eastAsia="仿宋"/>
          <w:sz w:val="18"/>
        </w:rPr>
        <w:t>。上述结果为信用利差的定价机制研究补充了非线性证据，也为固定收益投资中的利差监测提供了方法参考。</w:t>
      </w:r>
    </w:p>
    <w:p w14:paraId="3FB24112" w14:textId="77777777" w:rsidR="009249CB" w:rsidRDefault="00183FCD">
      <w:pPr>
        <w:spacing w:after="60"/>
        <w:ind w:firstLine="360"/>
      </w:pPr>
      <w:r>
        <w:rPr>
          <w:rFonts w:eastAsia="仿宋"/>
          <w:b/>
          <w:sz w:val="18"/>
        </w:rPr>
        <w:t>【关</w:t>
      </w:r>
      <w:r>
        <w:rPr>
          <w:rFonts w:eastAsia="仿宋"/>
          <w:b/>
          <w:sz w:val="18"/>
        </w:rPr>
        <w:t xml:space="preserve"> </w:t>
      </w:r>
      <w:r>
        <w:rPr>
          <w:rFonts w:eastAsia="仿宋"/>
          <w:b/>
          <w:sz w:val="18"/>
        </w:rPr>
        <w:t>键</w:t>
      </w:r>
      <w:r>
        <w:rPr>
          <w:rFonts w:eastAsia="仿宋"/>
          <w:b/>
          <w:sz w:val="18"/>
        </w:rPr>
        <w:t xml:space="preserve"> </w:t>
      </w:r>
      <w:r>
        <w:rPr>
          <w:rFonts w:eastAsia="仿宋"/>
          <w:b/>
          <w:sz w:val="18"/>
        </w:rPr>
        <w:t>词】</w:t>
      </w:r>
      <w:r>
        <w:rPr>
          <w:rFonts w:eastAsia="仿宋"/>
          <w:sz w:val="18"/>
        </w:rPr>
        <w:t>信用利差；</w:t>
      </w:r>
      <w:r>
        <w:rPr>
          <w:rFonts w:eastAsia="仿宋"/>
          <w:sz w:val="18"/>
        </w:rPr>
        <w:t>XGBoost</w:t>
      </w:r>
      <w:r>
        <w:rPr>
          <w:rFonts w:eastAsia="仿宋"/>
          <w:sz w:val="18"/>
        </w:rPr>
        <w:t>；</w:t>
      </w:r>
      <w:r>
        <w:rPr>
          <w:rFonts w:eastAsia="仿宋"/>
          <w:sz w:val="18"/>
        </w:rPr>
        <w:t>SHAP</w:t>
      </w:r>
      <w:r>
        <w:rPr>
          <w:rFonts w:eastAsia="仿宋"/>
          <w:sz w:val="18"/>
        </w:rPr>
        <w:t>可解释性；机器学习；样本外预测</w:t>
      </w:r>
    </w:p>
    <w:p w14:paraId="347719CB" w14:textId="77777777" w:rsidR="009249CB" w:rsidRDefault="00183FCD">
      <w:r>
        <w:rPr>
          <w:rFonts w:eastAsia="仿宋"/>
          <w:sz w:val="18"/>
        </w:rPr>
        <w:t>【中图分类号】</w:t>
      </w:r>
      <w:r>
        <w:rPr>
          <w:rFonts w:eastAsia="仿宋"/>
          <w:sz w:val="18"/>
        </w:rPr>
        <w:t>F830.91</w:t>
      </w:r>
      <w:r>
        <w:rPr>
          <w:rFonts w:eastAsia="仿宋"/>
          <w:sz w:val="18"/>
        </w:rPr>
        <w:t xml:space="preserve">　【文献标识码】</w:t>
      </w:r>
      <w:r>
        <w:rPr>
          <w:rFonts w:eastAsia="仿宋"/>
          <w:sz w:val="18"/>
        </w:rPr>
        <w:t>A</w:t>
      </w:r>
    </w:p>
    <w:p w14:paraId="58255ACF" w14:textId="77777777" w:rsidR="009249CB" w:rsidRDefault="00183FCD">
      <w:pPr>
        <w:spacing w:before="200"/>
        <w:jc w:val="center"/>
      </w:pPr>
      <w:r>
        <w:rPr>
          <w:rFonts w:eastAsia="黑体"/>
          <w:sz w:val="24"/>
        </w:rPr>
        <w:t>一、引言</w:t>
      </w:r>
    </w:p>
    <w:p w14:paraId="2C199DC7" w14:textId="77777777" w:rsidR="009249CB" w:rsidRDefault="00183FCD">
      <w:pPr>
        <w:spacing w:after="40" w:line="360" w:lineRule="auto"/>
        <w:ind w:firstLine="420"/>
      </w:pPr>
      <w:r>
        <w:t>信用利差是信用债收益率高于同期限无风险利率的部分。截至</w:t>
      </w:r>
      <w:r>
        <w:t>2026</w:t>
      </w:r>
      <w:r>
        <w:t>年上半年，我国债券市场托管规模已超过</w:t>
      </w:r>
      <w:r>
        <w:t>180</w:t>
      </w:r>
      <w:r>
        <w:t>万亿元，信用类债券占比接近四成。近年来信用债市场的定价环境发生了明显变化：城投债与房地产债风险持续出清，理财净值化转型改变了机构交易行为，刚性兑付预期逐步打破，信用风险溢价重新显性化，流动性分层则放大了利差的短期波动。在此背景下，哪些因素在驱动信用利差、模型能否做出可靠的样本外预测，对债券投资、风险定价和宏观审慎监管都有现实意义。</w:t>
      </w:r>
    </w:p>
    <w:p w14:paraId="6DC6A851" w14:textId="77777777" w:rsidR="009249CB" w:rsidRDefault="00183FCD">
      <w:pPr>
        <w:spacing w:after="40" w:line="360" w:lineRule="auto"/>
        <w:ind w:firstLine="420"/>
      </w:pPr>
      <w:r>
        <w:t>理论上，自</w:t>
      </w:r>
      <w:r>
        <w:t>Merton</w:t>
      </w:r>
      <w:r>
        <w:t>（</w:t>
      </w:r>
      <w:r>
        <w:t>1974</w:t>
      </w:r>
      <w:r>
        <w:t>）的结构化模型与</w:t>
      </w:r>
      <w:r>
        <w:t>Longstaff</w:t>
      </w:r>
      <w:r>
        <w:t>和</w:t>
      </w:r>
      <w:r>
        <w:t>Schwartz</w:t>
      </w:r>
      <w:r>
        <w:t>（</w:t>
      </w:r>
      <w:r>
        <w:t>1995</w:t>
      </w:r>
      <w:r>
        <w:t>）的简约化模型之后，信用利差定价已形成较完整的框架，但</w:t>
      </w:r>
      <w:r>
        <w:t>Collin-Dufresne</w:t>
      </w:r>
      <w:r>
        <w:t>等（</w:t>
      </w:r>
      <w:r>
        <w:t>2001</w:t>
      </w:r>
      <w:r>
        <w:t>）的经典实证表明，传统理论变量只能解释利差变动的一小部分，这就是所谓</w:t>
      </w:r>
      <w:r>
        <w:t>"</w:t>
      </w:r>
      <w:r>
        <w:t>信用利差之谜</w:t>
      </w:r>
      <w:r>
        <w:t>"</w:t>
      </w:r>
      <w:r>
        <w:t>。后续研究从流动性溢价、税收效应、市场摩擦等角度寻求解释，主流做法仍是线性回归。机器学习方法在资产定价领域的应用为这一问题提供了新工具，</w:t>
      </w:r>
      <w:r>
        <w:t>Bianchi</w:t>
      </w:r>
      <w:r>
        <w:t>等（</w:t>
      </w:r>
      <w:r>
        <w:t>2021</w:t>
      </w:r>
      <w:r>
        <w:t>）证明非线性模型在债券风险溢价预测上显著优于传统方法，但国内信用利差研究中机器学习仍不多见，解释力与预测力往往顾此失彼。</w:t>
      </w:r>
    </w:p>
    <w:p w14:paraId="79342123" w14:textId="77777777" w:rsidR="009249CB" w:rsidRDefault="00183FCD">
      <w:pPr>
        <w:spacing w:after="40" w:line="360" w:lineRule="auto"/>
        <w:ind w:firstLine="420"/>
      </w:pPr>
      <w:r>
        <w:t>本文利用中债估值曲线构建品种</w:t>
      </w:r>
      <w:r>
        <w:t>×</w:t>
      </w:r>
      <w:r>
        <w:t>期限维度的四组信用利差，比较</w:t>
      </w:r>
      <w:r>
        <w:t>OLS</w:t>
      </w:r>
      <w:r>
        <w:t>、随机森林与</w:t>
      </w:r>
      <w:r>
        <w:t>XGBoost</w:t>
      </w:r>
      <w:r>
        <w:t>的样本内表现，用</w:t>
      </w:r>
      <w:r>
        <w:t>SHAP</w:t>
      </w:r>
      <w:r>
        <w:t>方法分解特征贡献，并通过滚动样本外检验考察预测能力，试图回答三个问题：利差驱动机制是否存在非线性？哪些因素主导利差的周度变动？机器学习模型能否超越随机游走？</w:t>
      </w:r>
    </w:p>
    <w:p w14:paraId="5FE82357" w14:textId="77777777" w:rsidR="009249CB" w:rsidRDefault="00183FCD">
      <w:pPr>
        <w:spacing w:after="40" w:line="360" w:lineRule="auto"/>
        <w:ind w:firstLine="420"/>
      </w:pPr>
      <w:r>
        <w:t>与既有研究相比，本文的不同之处主要有两点：一是将</w:t>
      </w:r>
      <w:r>
        <w:t>SHAP</w:t>
      </w:r>
      <w:r>
        <w:t>可解释性分析与样本外滚动检验放在同一框架下，兼顾</w:t>
      </w:r>
      <w:r>
        <w:t>"</w:t>
      </w:r>
      <w:r>
        <w:t>解释</w:t>
      </w:r>
      <w:r>
        <w:t>"</w:t>
      </w:r>
      <w:r>
        <w:t>与</w:t>
      </w:r>
      <w:r>
        <w:t>"</w:t>
      </w:r>
      <w:r>
        <w:t>预测</w:t>
      </w:r>
      <w:r>
        <w:t>"</w:t>
      </w:r>
      <w:r>
        <w:t>；二是样本同时覆盖中短期票据与商业银行债两个品种、</w:t>
      </w:r>
      <w:r>
        <w:t>3</w:t>
      </w:r>
      <w:r>
        <w:t>年与</w:t>
      </w:r>
      <w:r>
        <w:t>5</w:t>
      </w:r>
      <w:r>
        <w:t>年两个期限，可以观察驱动机制的品种与期限差异。数据与代码全部开源，宏观变量的对齐严格按照发布时滞处理，避免未来信息泄漏。</w:t>
      </w:r>
    </w:p>
    <w:p w14:paraId="67A0A289" w14:textId="77777777" w:rsidR="009249CB" w:rsidRDefault="00183FCD">
      <w:pPr>
        <w:spacing w:after="40" w:line="360" w:lineRule="auto"/>
        <w:ind w:firstLine="420"/>
      </w:pPr>
      <w:r>
        <w:lastRenderedPageBreak/>
        <w:t>后文安排如下：第二部分回顾相关文献；第三部分说明研究设计；第四部分介绍数据与处理方法；第五部分报告实证结果；第六部分总结全文。</w:t>
      </w:r>
    </w:p>
    <w:p w14:paraId="18884B1F" w14:textId="77777777" w:rsidR="009249CB" w:rsidRDefault="00183FCD">
      <w:pPr>
        <w:spacing w:before="200"/>
        <w:jc w:val="center"/>
      </w:pPr>
      <w:r>
        <w:rPr>
          <w:rFonts w:eastAsia="黑体"/>
          <w:sz w:val="24"/>
        </w:rPr>
        <w:t>二、文献综述</w:t>
      </w:r>
    </w:p>
    <w:p w14:paraId="3FB6A693" w14:textId="77777777" w:rsidR="009249CB" w:rsidRDefault="00183FCD">
      <w:pPr>
        <w:spacing w:before="120" w:after="60"/>
      </w:pPr>
      <w:r>
        <w:rPr>
          <w:rFonts w:eastAsia="仿宋"/>
          <w:b/>
        </w:rPr>
        <w:t>（一）信用利差定价的理论基础</w:t>
      </w:r>
    </w:p>
    <w:p w14:paraId="5D2125B9" w14:textId="77777777" w:rsidR="009249CB" w:rsidRDefault="00183FCD">
      <w:pPr>
        <w:spacing w:after="40" w:line="360" w:lineRule="auto"/>
        <w:ind w:firstLine="420"/>
      </w:pPr>
      <w:r>
        <w:t>信用利差的定价模型大体分两类。结构化模型以</w:t>
      </w:r>
      <w:r>
        <w:t>Merton</w:t>
      </w:r>
      <w:r>
        <w:t>（</w:t>
      </w:r>
      <w:r>
        <w:t>1974</w:t>
      </w:r>
      <w:r>
        <w:t>）为代表，把企业债务看作对企业资产价值的或有要求权，当资产价值低于债务面值时发生违约，利差由杠杆率、资产波动率与无风险利率内生决定；</w:t>
      </w:r>
      <w:r>
        <w:t>Longstaff</w:t>
      </w:r>
      <w:r>
        <w:t>和</w:t>
      </w:r>
      <w:r>
        <w:t>Schwartz</w:t>
      </w:r>
      <w:r>
        <w:t>（</w:t>
      </w:r>
      <w:r>
        <w:t>1995</w:t>
      </w:r>
      <w:r>
        <w:t>）进一步引入随机利率。简约化模型则把违约视为外生的强度过程，直接通过违约概率与回收率定价。两类模型都建立了</w:t>
      </w:r>
      <w:r>
        <w:t>"</w:t>
      </w:r>
      <w:r>
        <w:t>信用风险</w:t>
      </w:r>
      <w:r>
        <w:t>—</w:t>
      </w:r>
      <w:r>
        <w:t>利差</w:t>
      </w:r>
      <w:r>
        <w:t>"</w:t>
      </w:r>
      <w:r>
        <w:t>的理论映射，但实证中理论模型预测的利差远低于实际水平。</w:t>
      </w:r>
      <w:r>
        <w:t>Huang</w:t>
      </w:r>
      <w:r>
        <w:t>和</w:t>
      </w:r>
      <w:r>
        <w:t>Huang</w:t>
      </w:r>
      <w:r>
        <w:t>（</w:t>
      </w:r>
      <w:r>
        <w:t>2012</w:t>
      </w:r>
      <w:r>
        <w:t>）将这一缺口概括为</w:t>
      </w:r>
      <w:r>
        <w:t>"</w:t>
      </w:r>
      <w:r>
        <w:t>信用利差之谜</w:t>
      </w:r>
      <w:r>
        <w:t>"</w:t>
      </w:r>
      <w:r>
        <w:t>：违约风险只解释了企业债与国债利差的一小部分。</w:t>
      </w:r>
      <w:r>
        <w:t>Elton</w:t>
      </w:r>
      <w:r>
        <w:t>等（</w:t>
      </w:r>
      <w:r>
        <w:t>2001</w:t>
      </w:r>
      <w:r>
        <w:t>）的分解研究进一步表明，预期违约损失仅占利差的四分之一左右，系统性风险溢价与税收效应占据主导。理论与实证之间的差距提示，利差的驱动机制可能比线性框架所假设的复杂。</w:t>
      </w:r>
    </w:p>
    <w:p w14:paraId="5BB11F9E" w14:textId="77777777" w:rsidR="009249CB" w:rsidRDefault="00183FCD">
      <w:pPr>
        <w:spacing w:before="120" w:after="60"/>
      </w:pPr>
      <w:r>
        <w:rPr>
          <w:rFonts w:eastAsia="仿宋"/>
          <w:b/>
        </w:rPr>
        <w:t>（二）信用利差决定因素的实证研究</w:t>
      </w:r>
    </w:p>
    <w:p w14:paraId="3516E271" w14:textId="77777777" w:rsidR="009249CB" w:rsidRDefault="00183FCD">
      <w:pPr>
        <w:spacing w:after="40" w:line="360" w:lineRule="auto"/>
        <w:ind w:firstLine="420"/>
      </w:pPr>
      <w:r>
        <w:t>实证研究大致沿宏观、流动性与微观三条线索展开。</w:t>
      </w:r>
      <w:r>
        <w:t>Collin-Dufresne</w:t>
      </w:r>
      <w:r>
        <w:t>等（</w:t>
      </w:r>
      <w:r>
        <w:t>2001</w:t>
      </w:r>
      <w:r>
        <w:t>）发现，传统理论与公司层面变量只能解释美国公司债利差变化的约四分之一，未被解释的共同成分占主导。</w:t>
      </w:r>
      <w:r>
        <w:t>Duffee</w:t>
      </w:r>
      <w:r>
        <w:t>（</w:t>
      </w:r>
      <w:r>
        <w:t>1998</w:t>
      </w:r>
      <w:r>
        <w:t>）报告了国债收益率及其斜率与公司债利差的显著关系。</w:t>
      </w:r>
      <w:r>
        <w:t>Gilchrist</w:t>
      </w:r>
      <w:r>
        <w:t>和</w:t>
      </w:r>
      <w:r>
        <w:t>Zakrajšek</w:t>
      </w:r>
      <w:r>
        <w:t>（</w:t>
      </w:r>
      <w:r>
        <w:t>2012</w:t>
      </w:r>
      <w:r>
        <w:t>）构建的公司债超额溢价指数对宏观经济波动有显著的预测力，确立了利差作为经济周期指示器的地位。</w:t>
      </w:r>
    </w:p>
    <w:p w14:paraId="49F9CE0F" w14:textId="77777777" w:rsidR="009249CB" w:rsidRDefault="00183FCD">
      <w:pPr>
        <w:spacing w:after="40" w:line="360" w:lineRule="auto"/>
        <w:ind w:firstLine="420"/>
      </w:pPr>
      <w:r>
        <w:t>国内研究方面，张燃（</w:t>
      </w:r>
      <w:r>
        <w:t>2008</w:t>
      </w:r>
      <w:r>
        <w:t>）发现短期利率、国债利率差与股票市场回报率对信用价差有显著影响，其中短期利率解释力最强；戴国强和孙新宝（</w:t>
      </w:r>
      <w:r>
        <w:t>2011</w:t>
      </w:r>
      <w:r>
        <w:t>）报告了</w:t>
      </w:r>
      <w:r>
        <w:t>GDP</w:t>
      </w:r>
      <w:r>
        <w:t>、</w:t>
      </w:r>
      <w:r>
        <w:t>M1</w:t>
      </w:r>
      <w:r>
        <w:t>等宏观变量与企业债利差的相关性。纪志宏和曹媛媛（</w:t>
      </w:r>
      <w:r>
        <w:t>2017</w:t>
      </w:r>
      <w:r>
        <w:t>）的证据表明，中国信用债定价中流动性溢价的作用超过信用风险溢价，货币市场利率水平与波动性对利差影响显著。</w:t>
      </w:r>
      <w:r>
        <w:t>Huang</w:t>
      </w:r>
      <w:r>
        <w:t>、</w:t>
      </w:r>
      <w:r>
        <w:t>Liu</w:t>
      </w:r>
      <w:r>
        <w:t>和</w:t>
      </w:r>
      <w:r>
        <w:t>Shi</w:t>
      </w:r>
      <w:r>
        <w:t>（</w:t>
      </w:r>
      <w:r>
        <w:t>2023</w:t>
      </w:r>
      <w:r>
        <w:t>）利用短融市场数据将利差分解为约</w:t>
      </w:r>
      <w:r>
        <w:t>52%</w:t>
      </w:r>
      <w:r>
        <w:t>的流动性溢价与约</w:t>
      </w:r>
      <w:r>
        <w:t>25%</w:t>
      </w:r>
      <w:r>
        <w:t>的信用风险溢价；</w:t>
      </w:r>
      <w:r>
        <w:t>Huang</w:t>
      </w:r>
      <w:r>
        <w:t>、</w:t>
      </w:r>
      <w:r>
        <w:t>Nozawa</w:t>
      </w:r>
      <w:r>
        <w:t>和</w:t>
      </w:r>
      <w:r>
        <w:t>Shi</w:t>
      </w:r>
      <w:r>
        <w:t>（</w:t>
      </w:r>
      <w:r>
        <w:t>2025</w:t>
      </w:r>
      <w:r>
        <w:t>）则从全球视角讨论了信用利差之谜的普遍性。这些研究共同指向两点：中国信用利差的驱动结构不同于成熟市场，流动性与货币环境的作用更突出；宏观基本面变量对利差高频变动的解释力总体有限，线性框架可能遗漏了重要的非线性机制。</w:t>
      </w:r>
    </w:p>
    <w:p w14:paraId="0F62FA75" w14:textId="77777777" w:rsidR="009249CB" w:rsidRDefault="00183FCD">
      <w:pPr>
        <w:spacing w:before="120" w:after="60"/>
      </w:pPr>
      <w:r>
        <w:rPr>
          <w:rFonts w:eastAsia="仿宋"/>
          <w:b/>
        </w:rPr>
        <w:t>（三）机器学习在固定收益领域的应用</w:t>
      </w:r>
    </w:p>
    <w:p w14:paraId="632F0849" w14:textId="77777777" w:rsidR="009249CB" w:rsidRDefault="00183FCD">
      <w:pPr>
        <w:spacing w:after="40" w:line="360" w:lineRule="auto"/>
        <w:ind w:firstLine="420"/>
      </w:pPr>
      <w:r>
        <w:t>机器学习方面，随机森林（</w:t>
      </w:r>
      <w:r>
        <w:t>Breiman</w:t>
      </w:r>
      <w:r>
        <w:t>，</w:t>
      </w:r>
      <w:r>
        <w:t>2001</w:t>
      </w:r>
      <w:r>
        <w:t>）通过自助抽样与特征随机化构建集成树，能自然处理非线性与交互效应；</w:t>
      </w:r>
      <w:r>
        <w:t>XGBoost</w:t>
      </w:r>
      <w:r>
        <w:t>（</w:t>
      </w:r>
      <w:r>
        <w:t>Chen</w:t>
      </w:r>
      <w:r>
        <w:t>和</w:t>
      </w:r>
      <w:r>
        <w:t>Guestrin</w:t>
      </w:r>
      <w:r>
        <w:t>，</w:t>
      </w:r>
      <w:r>
        <w:t>2016</w:t>
      </w:r>
      <w:r>
        <w:t>）在梯度提升框架中引入二阶导数与正则化，在大量金融预测任务中表现居前；</w:t>
      </w:r>
      <w:r>
        <w:t>SHAP</w:t>
      </w:r>
      <w:r>
        <w:t>（</w:t>
      </w:r>
      <w:r>
        <w:t>Lundberg</w:t>
      </w:r>
      <w:r>
        <w:t>和</w:t>
      </w:r>
      <w:r>
        <w:t>Lee</w:t>
      </w:r>
      <w:r>
        <w:t>，</w:t>
      </w:r>
      <w:r>
        <w:t>2017</w:t>
      </w:r>
      <w:r>
        <w:t>）基于博弈论中的</w:t>
      </w:r>
      <w:r>
        <w:t>Shapley</w:t>
      </w:r>
      <w:r>
        <w:t>值把预测结果分解为各特征的边际贡献，为树模型提供事后解释。</w:t>
      </w:r>
      <w:r>
        <w:t>Bianchi</w:t>
      </w:r>
      <w:r>
        <w:t>等（</w:t>
      </w:r>
      <w:r>
        <w:t>2021</w:t>
      </w:r>
      <w:r>
        <w:t>）用机器学习方法预测美国债券超额收益，证实非线性模型优于传统预测因子。国内，周荣喜等（</w:t>
      </w:r>
      <w:r>
        <w:t>2019</w:t>
      </w:r>
      <w:r>
        <w:t>）较早将</w:t>
      </w:r>
      <w:r>
        <w:t>XGBoost</w:t>
      </w:r>
      <w:r>
        <w:t>用于信用债违约预测，但研究对象是违约分类而非利差定价，也未做滚动样本外检验。把机器学习与</w:t>
      </w:r>
      <w:r>
        <w:t>SHAP</w:t>
      </w:r>
      <w:r>
        <w:t>可解释性结合用于中国信用利差驱动机制的研究仍然少见，本文的切入点正在于此。</w:t>
      </w:r>
    </w:p>
    <w:p w14:paraId="1E5DB1B0" w14:textId="77777777" w:rsidR="009249CB" w:rsidRDefault="00183FCD">
      <w:pPr>
        <w:spacing w:before="120" w:after="60"/>
      </w:pPr>
      <w:r>
        <w:rPr>
          <w:rFonts w:eastAsia="仿宋"/>
          <w:b/>
        </w:rPr>
        <w:t>（四）文献评述</w:t>
      </w:r>
    </w:p>
    <w:p w14:paraId="0B766643" w14:textId="77777777" w:rsidR="009249CB" w:rsidRDefault="00183FCD">
      <w:pPr>
        <w:spacing w:after="40" w:line="360" w:lineRule="auto"/>
        <w:ind w:firstLine="420"/>
      </w:pPr>
      <w:r>
        <w:t>总体来看，已有研究有三处可以改进的空间。一是国内信用利差研究以线性回归与</w:t>
      </w:r>
      <w:r>
        <w:t>VAR</w:t>
      </w:r>
      <w:r>
        <w:t>为主，缺少对非线性机制的直接检验；二是机器学习研究侧重预测精度，对经济机制的解释不足，解释与预测很少在同一框架下兼顾；三是部分研究未严格处理宏观数据的发布时滞，样本外结论存在泄漏风险。本文针对这三点分别做了处理。</w:t>
      </w:r>
    </w:p>
    <w:p w14:paraId="583DCA17" w14:textId="77777777" w:rsidR="009249CB" w:rsidRDefault="00183FCD">
      <w:pPr>
        <w:spacing w:before="200"/>
        <w:jc w:val="center"/>
      </w:pPr>
      <w:r>
        <w:rPr>
          <w:rFonts w:eastAsia="黑体"/>
          <w:sz w:val="24"/>
        </w:rPr>
        <w:t>三、研究设计</w:t>
      </w:r>
    </w:p>
    <w:p w14:paraId="557EC592" w14:textId="77777777" w:rsidR="009249CB" w:rsidRDefault="00183FCD">
      <w:pPr>
        <w:spacing w:before="120" w:after="60"/>
      </w:pPr>
      <w:r>
        <w:rPr>
          <w:rFonts w:eastAsia="仿宋"/>
          <w:b/>
        </w:rPr>
        <w:t>（一）研究假设</w:t>
      </w:r>
    </w:p>
    <w:p w14:paraId="7B6E5D7C" w14:textId="77777777" w:rsidR="009249CB" w:rsidRDefault="00183FCD">
      <w:pPr>
        <w:spacing w:after="40" w:line="360" w:lineRule="auto"/>
        <w:ind w:firstLine="420"/>
      </w:pPr>
      <w:r>
        <w:t>结合理论与文献，本文提出三个假设：</w:t>
      </w:r>
      <w:r>
        <w:t>H1</w:t>
      </w:r>
      <w:r>
        <w:t>（非线性假设），利差驱动机制存在显著非线性，机器学习模型的样本内解释力应显著优于线性基准，即</w:t>
      </w:r>
      <w:r>
        <w:t>OLS</w:t>
      </w:r>
      <w:r>
        <w:t>在测试集上弱于随机森林与</w:t>
      </w:r>
      <w:r>
        <w:t>XGBoost</w:t>
      </w:r>
      <w:r>
        <w:t>；</w:t>
      </w:r>
      <w:r>
        <w:t>H2</w:t>
      </w:r>
      <w:r>
        <w:t>（结构假设），利差周度变动由自回归动量与流动性因素主导，宏观基本面变量贡献有限，</w:t>
      </w:r>
      <w:r>
        <w:t>SHAP</w:t>
      </w:r>
      <w:r>
        <w:t>重要性排序中滞后项与</w:t>
      </w:r>
      <w:r>
        <w:t>SHIBOR</w:t>
      </w:r>
      <w:r>
        <w:t>居前、</w:t>
      </w:r>
      <w:r>
        <w:t>CPI</w:t>
      </w:r>
      <w:r>
        <w:t>与</w:t>
      </w:r>
      <w:r>
        <w:t>PPI</w:t>
      </w:r>
      <w:r>
        <w:t>居后；</w:t>
      </w:r>
      <w:r>
        <w:t>H3</w:t>
      </w:r>
      <w:r>
        <w:t>（预测假设），严格无泄漏的样本外设定下，</w:t>
      </w:r>
      <w:r>
        <w:t>XGBoost</w:t>
      </w:r>
      <w:r>
        <w:t>滚动预测误差显著低于随机游走。</w:t>
      </w:r>
    </w:p>
    <w:p w14:paraId="54054A05" w14:textId="77777777" w:rsidR="009249CB" w:rsidRDefault="00183FCD">
      <w:pPr>
        <w:spacing w:before="120" w:after="60"/>
      </w:pPr>
      <w:r>
        <w:rPr>
          <w:rFonts w:eastAsia="仿宋"/>
          <w:b/>
        </w:rPr>
        <w:t>（二）变量选择</w:t>
      </w:r>
    </w:p>
    <w:p w14:paraId="69F571EA" w14:textId="77777777" w:rsidR="009249CB" w:rsidRDefault="00183FCD">
      <w:pPr>
        <w:spacing w:after="40" w:line="360" w:lineRule="auto"/>
        <w:ind w:firstLine="420"/>
      </w:pPr>
      <w:r>
        <w:t xml:space="preserve">1. </w:t>
      </w:r>
      <w:r>
        <w:t>被解释变量。本文以中债估值收益率曲线构造四组信用利差：利差</w:t>
      </w:r>
      <w:r>
        <w:t>=</w:t>
      </w:r>
      <w:r>
        <w:t>信用债收益率</w:t>
      </w:r>
      <w:r>
        <w:t>−</w:t>
      </w:r>
      <w:r>
        <w:t>同期限国债收益率。品种维度选取中短期票据（</w:t>
      </w:r>
      <w:r>
        <w:t>AAA</w:t>
      </w:r>
      <w:r>
        <w:t>）与商业银行债（</w:t>
      </w:r>
      <w:r>
        <w:t>AAA</w:t>
      </w:r>
      <w:r>
        <w:t>）两类信用债，期限维度选取</w:t>
      </w:r>
      <w:r>
        <w:t>3</w:t>
      </w:r>
      <w:r>
        <w:t>年与</w:t>
      </w:r>
      <w:r>
        <w:t>5</w:t>
      </w:r>
      <w:r>
        <w:t>年，构成中票</w:t>
      </w:r>
      <w:r>
        <w:t>3Y</w:t>
      </w:r>
      <w:r>
        <w:t>、中票</w:t>
      </w:r>
      <w:r>
        <w:t>5Y</w:t>
      </w:r>
      <w:r>
        <w:t>、商行债</w:t>
      </w:r>
      <w:r>
        <w:t>3Y</w:t>
      </w:r>
      <w:r>
        <w:t>、商行债</w:t>
      </w:r>
      <w:r>
        <w:t>5Y</w:t>
      </w:r>
      <w:r>
        <w:t>四组利差序列（记为</w:t>
      </w:r>
      <w:r>
        <w:t>spread_cp_3y</w:t>
      </w:r>
      <w:r>
        <w:t>等）。选择</w:t>
      </w:r>
      <w:r>
        <w:t>AAA</w:t>
      </w:r>
      <w:r>
        <w:t>评级意在剥离违约风险的极端扰动，聚焦于利差中流动性溢价与系统性风险溢价的动态；品种与期限的交叉设计则用于考察驱动机制的异质性。</w:t>
      </w:r>
    </w:p>
    <w:p w14:paraId="081FFE85" w14:textId="77777777" w:rsidR="009249CB" w:rsidRDefault="00183FCD">
      <w:pPr>
        <w:spacing w:after="40" w:line="360" w:lineRule="auto"/>
        <w:ind w:firstLine="420"/>
      </w:pPr>
      <w:r>
        <w:t xml:space="preserve">2. </w:t>
      </w:r>
      <w:r>
        <w:t>解释变量。参照</w:t>
      </w:r>
      <w:r>
        <w:t>Collin-Dufresne</w:t>
      </w:r>
      <w:r>
        <w:t>等（</w:t>
      </w:r>
      <w:r>
        <w:t>2001</w:t>
      </w:r>
      <w:r>
        <w:t>）与纪志宏和曹媛媛（</w:t>
      </w:r>
      <w:r>
        <w:t>2017</w:t>
      </w:r>
      <w:r>
        <w:t>）的变量框架，并结合中国市场的可得数据，选取</w:t>
      </w:r>
      <w:r>
        <w:t>10</w:t>
      </w:r>
      <w:r>
        <w:t>个外部特征：（</w:t>
      </w:r>
      <w:r>
        <w:t>1</w:t>
      </w:r>
      <w:r>
        <w:t>）无风险利率水平</w:t>
      </w:r>
      <w:r>
        <w:t>y10_level</w:t>
      </w:r>
      <w:r>
        <w:t>，取</w:t>
      </w:r>
      <w:r>
        <w:t>10</w:t>
      </w:r>
      <w:r>
        <w:t>年期国债到期收益率，刻画利率环境；（</w:t>
      </w:r>
      <w:r>
        <w:t>2</w:t>
      </w:r>
      <w:r>
        <w:t>）期限利差</w:t>
      </w:r>
      <w:r>
        <w:t>term_spread</w:t>
      </w:r>
      <w:r>
        <w:t>，取</w:t>
      </w:r>
      <w:r>
        <w:t>10</w:t>
      </w:r>
      <w:r>
        <w:t>年期与</w:t>
      </w:r>
      <w:r>
        <w:t>1</w:t>
      </w:r>
      <w:r>
        <w:t>年期国债收益率之差，刻画收益率曲线形态；（</w:t>
      </w:r>
      <w:r>
        <w:t>3</w:t>
      </w:r>
      <w:r>
        <w:t>）流动性变量</w:t>
      </w:r>
      <w:r>
        <w:t>shibor3m</w:t>
      </w:r>
      <w:r>
        <w:t>，取</w:t>
      </w:r>
      <w:r>
        <w:t>3</w:t>
      </w:r>
      <w:r>
        <w:t>个月</w:t>
      </w:r>
      <w:r>
        <w:t>SHIBOR</w:t>
      </w:r>
      <w:r>
        <w:t>，刻画货币市场流动性；（</w:t>
      </w:r>
      <w:r>
        <w:t>4</w:t>
      </w:r>
      <w:r>
        <w:t>）</w:t>
      </w:r>
      <w:r>
        <w:t>—</w:t>
      </w:r>
      <w:r>
        <w:t>（</w:t>
      </w:r>
      <w:r>
        <w:t>6</w:t>
      </w:r>
      <w:r>
        <w:t>）宏观基本面</w:t>
      </w:r>
      <w:r>
        <w:t>cpi</w:t>
      </w:r>
      <w:r>
        <w:t>、</w:t>
      </w:r>
      <w:r>
        <w:t>ppi</w:t>
      </w:r>
      <w:r>
        <w:t>、</w:t>
      </w:r>
      <w:r>
        <w:t>pmi</w:t>
      </w:r>
      <w:r>
        <w:t>，分别取</w:t>
      </w:r>
      <w:r>
        <w:t>CPI</w:t>
      </w:r>
      <w:r>
        <w:t>与</w:t>
      </w:r>
      <w:r>
        <w:t>PPI</w:t>
      </w:r>
      <w:r>
        <w:t>同比、制造业</w:t>
      </w:r>
      <w:r>
        <w:t>PMI</w:t>
      </w:r>
      <w:r>
        <w:t>；（</w:t>
      </w:r>
      <w:r>
        <w:t>7</w:t>
      </w:r>
      <w:r>
        <w:t>）货币变量</w:t>
      </w:r>
      <w:r>
        <w:t>m2_yoy</w:t>
      </w:r>
      <w:r>
        <w:t>，取</w:t>
      </w:r>
      <w:r>
        <w:t>M2</w:t>
      </w:r>
      <w:r>
        <w:t>同比增速；（</w:t>
      </w:r>
      <w:r>
        <w:t>8</w:t>
      </w:r>
      <w:r>
        <w:t>）融资变量</w:t>
      </w:r>
      <w:r>
        <w:t>sf_rolling12</w:t>
      </w:r>
      <w:r>
        <w:t>，取社会融资规模增量的</w:t>
      </w:r>
      <w:r>
        <w:t>12</w:t>
      </w:r>
      <w:r>
        <w:t>个月滚动和，以剔除季节性；（</w:t>
      </w:r>
      <w:r>
        <w:t>9</w:t>
      </w:r>
      <w:r>
        <w:t>）</w:t>
      </w:r>
      <w:r>
        <w:t>—</w:t>
      </w:r>
      <w:r>
        <w:t>（</w:t>
      </w:r>
      <w:r>
        <w:t>10</w:t>
      </w:r>
      <w:r>
        <w:t>）市场情绪</w:t>
      </w:r>
      <w:r>
        <w:t>hs300_ret</w:t>
      </w:r>
      <w:r>
        <w:t>与</w:t>
      </w:r>
      <w:r>
        <w:t>hs300_vol</w:t>
      </w:r>
      <w:r>
        <w:t>，分别取沪深</w:t>
      </w:r>
      <w:r>
        <w:t>300</w:t>
      </w:r>
      <w:r>
        <w:t>指数周收益率与周内日收益标准差，刻画股市的收益与风险情绪。此外，为捕捉利差的短期动能，对每个目标变量引入其自身滞后</w:t>
      </w:r>
      <w:r>
        <w:t>1—4</w:t>
      </w:r>
      <w:r>
        <w:t>周项（</w:t>
      </w:r>
      <w:r>
        <w:t>lag_1</w:t>
      </w:r>
      <w:r>
        <w:t>至</w:t>
      </w:r>
      <w:r>
        <w:t>lag_4</w:t>
      </w:r>
      <w:r>
        <w:t>）。本文不将其他品种利差的同期值纳入特征集，以避免强共线性主导模型，保证外部特征的经济含义得以显现。</w:t>
      </w:r>
    </w:p>
    <w:p w14:paraId="4E73E5FE" w14:textId="77777777" w:rsidR="009249CB" w:rsidRDefault="00183FCD">
      <w:pPr>
        <w:spacing w:before="120" w:after="60"/>
      </w:pPr>
      <w:r>
        <w:rPr>
          <w:rFonts w:eastAsia="仿宋"/>
          <w:b/>
        </w:rPr>
        <w:t>（三）模型设定</w:t>
      </w:r>
    </w:p>
    <w:p w14:paraId="4F4B2B85" w14:textId="77777777" w:rsidR="009249CB" w:rsidRDefault="00183FCD">
      <w:pPr>
        <w:spacing w:after="40" w:line="360" w:lineRule="auto"/>
        <w:ind w:firstLine="420"/>
      </w:pPr>
      <w:r>
        <w:t>基准模型采用多元线性回归（</w:t>
      </w:r>
      <w:r>
        <w:t>OLS</w:t>
      </w:r>
      <w:r>
        <w:t>），将目标利差对全部</w:t>
      </w:r>
      <w:r>
        <w:t>14</w:t>
      </w:r>
      <w:r>
        <w:t>个特征回归。作为非线性基准，随机森林（</w:t>
      </w:r>
      <w:r>
        <w:t>Breiman</w:t>
      </w:r>
      <w:r>
        <w:t>，</w:t>
      </w:r>
      <w:r>
        <w:t>2001</w:t>
      </w:r>
      <w:r>
        <w:t>）通过多棵决策树的平均降低方差并捕捉非线性结构；</w:t>
      </w:r>
      <w:r>
        <w:t>XGBoost</w:t>
      </w:r>
      <w:r>
        <w:t>（</w:t>
      </w:r>
      <w:r>
        <w:t>Chen</w:t>
      </w:r>
      <w:r>
        <w:t>和</w:t>
      </w:r>
      <w:r>
        <w:t>Guestrin</w:t>
      </w:r>
      <w:r>
        <w:t>，</w:t>
      </w:r>
      <w:r>
        <w:t>2016</w:t>
      </w:r>
      <w:r>
        <w:t>）在梯度提升框架下以</w:t>
      </w:r>
      <w:r>
        <w:t>CART</w:t>
      </w:r>
      <w:r>
        <w:t>为基学习器，目标函数为损失函数与正则项之和，通过二阶泰勒展开近似优化，并以子采样与列采样控制过拟合。模型参数通过网格搜索与交叉验证确定，主利差（中票</w:t>
      </w:r>
      <w:r>
        <w:t>3Y</w:t>
      </w:r>
      <w:r>
        <w:t>）完成参数寻优后，其余利差复用同一组参数，以保证品种与期限间结果的参数可比性。样本划分采用时间序列顺序分割，前</w:t>
      </w:r>
      <w:r>
        <w:t>80%</w:t>
      </w:r>
      <w:r>
        <w:t>周次用于训练、后</w:t>
      </w:r>
      <w:r>
        <w:t>20%</w:t>
      </w:r>
      <w:r>
        <w:t>用于测试，避免随机划分带来的时间穿越。</w:t>
      </w:r>
    </w:p>
    <w:p w14:paraId="11D17CE3" w14:textId="77777777" w:rsidR="009249CB" w:rsidRDefault="00183FCD">
      <w:pPr>
        <w:spacing w:before="120" w:after="60"/>
      </w:pPr>
      <w:r>
        <w:rPr>
          <w:rFonts w:eastAsia="仿宋"/>
          <w:b/>
        </w:rPr>
        <w:t>（四）</w:t>
      </w:r>
      <w:r>
        <w:rPr>
          <w:rFonts w:eastAsia="仿宋"/>
          <w:b/>
        </w:rPr>
        <w:t>SHAP</w:t>
      </w:r>
      <w:r>
        <w:rPr>
          <w:rFonts w:eastAsia="仿宋"/>
          <w:b/>
        </w:rPr>
        <w:t>可解释性方法</w:t>
      </w:r>
    </w:p>
    <w:p w14:paraId="2CB0D5B3" w14:textId="77777777" w:rsidR="009249CB" w:rsidRDefault="00183FCD">
      <w:pPr>
        <w:spacing w:after="40" w:line="360" w:lineRule="auto"/>
        <w:ind w:firstLine="420"/>
      </w:pPr>
      <w:r>
        <w:t>SHAP</w:t>
      </w:r>
      <w:r>
        <w:t>方法（</w:t>
      </w:r>
      <w:r>
        <w:t>Lundberg</w:t>
      </w:r>
      <w:r>
        <w:t>和</w:t>
      </w:r>
      <w:r>
        <w:t>Lee</w:t>
      </w:r>
      <w:r>
        <w:t>，</w:t>
      </w:r>
      <w:r>
        <w:t>2017</w:t>
      </w:r>
      <w:r>
        <w:t>）将每个预测值分解为各特征的加性贡献，其核心是</w:t>
      </w:r>
      <w:r>
        <w:t>Shapley</w:t>
      </w:r>
      <w:r>
        <w:t>值：特征</w:t>
      </w:r>
      <w:r>
        <w:t>j</w:t>
      </w:r>
      <w:r>
        <w:t>的贡献等于其在所有可能特征子集上边际贡献的加权平均。本文对每个测试样本计算</w:t>
      </w:r>
      <w:r>
        <w:t>SHAP</w:t>
      </w:r>
      <w:r>
        <w:t>值，并以平均绝对</w:t>
      </w:r>
      <w:r>
        <w:t>SHAP</w:t>
      </w:r>
      <w:r>
        <w:t>值度量特征的全局重要性。与基于不纯度或置换的重要性指标相比，</w:t>
      </w:r>
      <w:r>
        <w:t>SHAP</w:t>
      </w:r>
      <w:r>
        <w:t>值具有方向性、可加性与局部分解性，能同时回答</w:t>
      </w:r>
      <w:r>
        <w:t>"</w:t>
      </w:r>
      <w:r>
        <w:t>哪些特征重要</w:t>
      </w:r>
      <w:r>
        <w:t>"</w:t>
      </w:r>
      <w:r>
        <w:t>与</w:t>
      </w:r>
      <w:r>
        <w:t>"</w:t>
      </w:r>
      <w:r>
        <w:t>特征如何起作用</w:t>
      </w:r>
      <w:r>
        <w:t>"</w:t>
      </w:r>
      <w:r>
        <w:t>。</w:t>
      </w:r>
    </w:p>
    <w:p w14:paraId="17030793" w14:textId="77777777" w:rsidR="009249CB" w:rsidRDefault="00183FCD">
      <w:pPr>
        <w:spacing w:before="120" w:after="60"/>
      </w:pPr>
      <w:r>
        <w:rPr>
          <w:rFonts w:eastAsia="仿宋"/>
          <w:b/>
        </w:rPr>
        <w:t>（五）样本外评估设计</w:t>
      </w:r>
    </w:p>
    <w:p w14:paraId="6A465A2E" w14:textId="77777777" w:rsidR="009249CB" w:rsidRDefault="00183FCD">
      <w:pPr>
        <w:spacing w:after="40" w:line="360" w:lineRule="auto"/>
        <w:ind w:firstLine="420"/>
      </w:pPr>
      <w:r>
        <w:t>为检验</w:t>
      </w:r>
      <w:r>
        <w:t>H3</w:t>
      </w:r>
      <w:r>
        <w:t>，采用</w:t>
      </w:r>
      <w:r>
        <w:t>expanding-window</w:t>
      </w:r>
      <w:r>
        <w:t>滚动预测框架：以</w:t>
      </w:r>
      <w:r>
        <w:t>5</w:t>
      </w:r>
      <w:r>
        <w:t>年（约</w:t>
      </w:r>
      <w:r>
        <w:t>260</w:t>
      </w:r>
      <w:r>
        <w:t>周）为初始训练窗，每训练一次预测未来</w:t>
      </w:r>
      <w:r>
        <w:t>4</w:t>
      </w:r>
      <w:r>
        <w:t>周，随后窗口向前滚动</w:t>
      </w:r>
      <w:r>
        <w:t>4</w:t>
      </w:r>
      <w:r>
        <w:t>周并重训，如此直至样本末端。滚动设定确保任一时点的预测仅使用截至该时点的历史信息，从根本上杜绝未来信息泄漏。评估指标包括均方根误差（</w:t>
      </w:r>
      <w:r>
        <w:t>RMSE</w:t>
      </w:r>
      <w:r>
        <w:t>）、平均绝对误差（</w:t>
      </w:r>
      <w:r>
        <w:t>MAE</w:t>
      </w:r>
      <w:r>
        <w:t>）与方向准确率；基准为随机游走模型，即以上一期真实值作为当期预测。若模型</w:t>
      </w:r>
      <w:r>
        <w:t>RMSE</w:t>
      </w:r>
      <w:r>
        <w:t>低于随机游走，则表明其在样本外具有真实的预测增量。</w:t>
      </w:r>
    </w:p>
    <w:p w14:paraId="27FE975D" w14:textId="77777777" w:rsidR="009249CB" w:rsidRDefault="00183FCD">
      <w:pPr>
        <w:spacing w:before="200"/>
        <w:jc w:val="center"/>
      </w:pPr>
      <w:r>
        <w:rPr>
          <w:rFonts w:eastAsia="黑体"/>
          <w:sz w:val="24"/>
        </w:rPr>
        <w:t>四、数据获取与处理</w:t>
      </w:r>
    </w:p>
    <w:p w14:paraId="6D019FE7" w14:textId="77777777" w:rsidR="009249CB" w:rsidRDefault="00183FCD">
      <w:pPr>
        <w:spacing w:before="120" w:after="60"/>
      </w:pPr>
      <w:r>
        <w:rPr>
          <w:rFonts w:eastAsia="仿宋"/>
          <w:b/>
        </w:rPr>
        <w:t>（一）数据来源</w:t>
      </w:r>
    </w:p>
    <w:p w14:paraId="726047F1" w14:textId="77777777" w:rsidR="009249CB" w:rsidRDefault="00183FCD">
      <w:pPr>
        <w:spacing w:after="40" w:line="360" w:lineRule="auto"/>
        <w:ind w:firstLine="420"/>
      </w:pPr>
      <w:r>
        <w:t>本文全部数据通过开源数据接口</w:t>
      </w:r>
      <w:r>
        <w:t>akshare</w:t>
      </w:r>
      <w:r>
        <w:t>以</w:t>
      </w:r>
      <w:r>
        <w:t>Python</w:t>
      </w:r>
      <w:r>
        <w:t>程序化方式获取，原始样本区间为</w:t>
      </w:r>
      <w:r>
        <w:t>2015</w:t>
      </w:r>
      <w:r>
        <w:t>年</w:t>
      </w:r>
      <w:r>
        <w:t>1</w:t>
      </w:r>
      <w:r>
        <w:t>月至</w:t>
      </w:r>
      <w:r>
        <w:t>2026</w:t>
      </w:r>
      <w:r>
        <w:t>年</w:t>
      </w:r>
      <w:r>
        <w:t>8</w:t>
      </w:r>
      <w:r>
        <w:t>月，全部代码开源可复现。具体而言：中债国债与信用债（中短期票据</w:t>
      </w:r>
      <w:r>
        <w:t>AAA</w:t>
      </w:r>
      <w:r>
        <w:t>、商业银行债</w:t>
      </w:r>
      <w:r>
        <w:t>AAA</w:t>
      </w:r>
      <w:r>
        <w:t>）到期收益率曲线来自中国债券信息网的每日估值数据；</w:t>
      </w:r>
      <w:r>
        <w:t>3</w:t>
      </w:r>
      <w:r>
        <w:t>个月</w:t>
      </w:r>
      <w:r>
        <w:t>SHIBOR</w:t>
      </w:r>
      <w:r>
        <w:t>取自上海银行间同业拆借市场；沪深</w:t>
      </w:r>
      <w:r>
        <w:t>300</w:t>
      </w:r>
      <w:r>
        <w:t>指数日度行情取自新浪财经数据源（东财源在获取时段受频率限制，故采用备用源）；</w:t>
      </w:r>
      <w:r>
        <w:t>CPI</w:t>
      </w:r>
      <w:r>
        <w:t>、</w:t>
      </w:r>
      <w:r>
        <w:t>PPI</w:t>
      </w:r>
      <w:r>
        <w:t>同比与制造业</w:t>
      </w:r>
      <w:r>
        <w:t>PMI</w:t>
      </w:r>
      <w:r>
        <w:t>来自国家统计局月度发布数据；</w:t>
      </w:r>
      <w:r>
        <w:t>M2</w:t>
      </w:r>
      <w:r>
        <w:t>同比与社会融资规模增量来自中国人民银行月度数据。所有接口调用均内置指数退避重试机制，以应对临时性接口波动。</w:t>
      </w:r>
    </w:p>
    <w:p w14:paraId="72B4DF76" w14:textId="77777777" w:rsidR="009249CB" w:rsidRDefault="00183FCD">
      <w:pPr>
        <w:spacing w:before="120" w:after="60"/>
      </w:pPr>
      <w:r>
        <w:rPr>
          <w:rFonts w:eastAsia="仿宋"/>
          <w:b/>
        </w:rPr>
        <w:t>（二）利差构建与特征工程</w:t>
      </w:r>
    </w:p>
    <w:p w14:paraId="1FED95E6" w14:textId="77777777" w:rsidR="009249CB" w:rsidRDefault="00183FCD">
      <w:pPr>
        <w:spacing w:after="40" w:line="360" w:lineRule="auto"/>
        <w:ind w:firstLine="420"/>
      </w:pPr>
      <w:r>
        <w:t>原始日频收益率曲线首先按自然周重采样为周频序列。信用利差按品种</w:t>
      </w:r>
      <w:r>
        <w:t>—</w:t>
      </w:r>
      <w:r>
        <w:t>期限配对构造：中票</w:t>
      </w:r>
      <w:r>
        <w:t>3Y</w:t>
      </w:r>
      <w:r>
        <w:t>利差</w:t>
      </w:r>
      <w:r>
        <w:t>=</w:t>
      </w:r>
      <w:r>
        <w:t>中票</w:t>
      </w:r>
      <w:r>
        <w:t>AAA 3</w:t>
      </w:r>
      <w:r>
        <w:t>年期收益率</w:t>
      </w:r>
      <w:r>
        <w:t>−</w:t>
      </w:r>
      <w:r>
        <w:t>国债</w:t>
      </w:r>
      <w:r>
        <w:t>3</w:t>
      </w:r>
      <w:r>
        <w:t>年期收益率，其余类推。外部特征中，股市变量按周汇总（周收益率、周内日收益标准差），宏观与流动性变量为月频或日频，需对齐至周频。</w:t>
      </w:r>
    </w:p>
    <w:p w14:paraId="789C5EE9" w14:textId="77777777" w:rsidR="009249CB" w:rsidRDefault="00183FCD">
      <w:pPr>
        <w:spacing w:before="120" w:after="60"/>
      </w:pPr>
      <w:r>
        <w:rPr>
          <w:rFonts w:eastAsia="仿宋"/>
          <w:b/>
        </w:rPr>
        <w:t>（三）无泄漏对齐设计</w:t>
      </w:r>
    </w:p>
    <w:p w14:paraId="21F1FFFD" w14:textId="77777777" w:rsidR="009249CB" w:rsidRDefault="00183FCD">
      <w:pPr>
        <w:spacing w:after="40" w:line="360" w:lineRule="auto"/>
        <w:ind w:firstLine="420"/>
      </w:pPr>
      <w:r>
        <w:t>宏观月频变量的发布时间存在天然滞后：当月宏观数据一般在次月公布。若直接将数据按其所属月份对齐至周频，则会引入未来信息。本文的处理是：宏观变量在其所属月份结束后的次月月初才进入特征集（即</w:t>
      </w:r>
      <w:r>
        <w:t>"</w:t>
      </w:r>
      <w:r>
        <w:t>次月月初可用</w:t>
      </w:r>
      <w:r>
        <w:t>"</w:t>
      </w:r>
      <w:r>
        <w:t>规则），社融增量取</w:t>
      </w:r>
      <w:r>
        <w:t>12</w:t>
      </w:r>
      <w:r>
        <w:t>个月滚动和以剔除季节性，滚动和的计算同样遵循可用时点规则。该设计使得任一预测时点</w:t>
      </w:r>
      <w:r>
        <w:t>t</w:t>
      </w:r>
      <w:r>
        <w:t>的特征集仅包含</w:t>
      </w:r>
      <w:r>
        <w:t>t</w:t>
      </w:r>
      <w:r>
        <w:t>时点真实可获取的信息。经对齐后，建模样本为</w:t>
      </w:r>
      <w:r>
        <w:t>2016</w:t>
      </w:r>
      <w:r>
        <w:t>年</w:t>
      </w:r>
      <w:r>
        <w:t>1</w:t>
      </w:r>
      <w:r>
        <w:t>月至</w:t>
      </w:r>
      <w:r>
        <w:t>2026</w:t>
      </w:r>
      <w:r>
        <w:t>年</w:t>
      </w:r>
      <w:r>
        <w:t>8</w:t>
      </w:r>
      <w:r>
        <w:t>月的</w:t>
      </w:r>
      <w:r>
        <w:t>602</w:t>
      </w:r>
      <w:r>
        <w:t>个有效周观测。</w:t>
      </w:r>
    </w:p>
    <w:p w14:paraId="5BF663C0" w14:textId="77777777" w:rsidR="009249CB" w:rsidRDefault="00183FCD">
      <w:pPr>
        <w:spacing w:before="120" w:after="60"/>
      </w:pPr>
      <w:r>
        <w:rPr>
          <w:rFonts w:eastAsia="仿宋"/>
          <w:b/>
        </w:rPr>
        <w:t>（四）研究过程与编码实现</w:t>
      </w:r>
    </w:p>
    <w:p w14:paraId="165DAA99" w14:textId="77777777" w:rsidR="009249CB" w:rsidRDefault="00183FCD">
      <w:pPr>
        <w:spacing w:after="40" w:line="360" w:lineRule="auto"/>
        <w:ind w:firstLine="420"/>
      </w:pPr>
      <w:r>
        <w:t>全部数据处理与建模流程由</w:t>
      </w:r>
      <w:r>
        <w:t>Python 3.10</w:t>
      </w:r>
      <w:r>
        <w:t>编写，按</w:t>
      </w:r>
      <w:r>
        <w:t>"</w:t>
      </w:r>
      <w:r>
        <w:t>获取</w:t>
      </w:r>
      <w:r>
        <w:t>—</w:t>
      </w:r>
      <w:r>
        <w:t>特征</w:t>
      </w:r>
      <w:r>
        <w:t>—</w:t>
      </w:r>
      <w:r>
        <w:t>建模</w:t>
      </w:r>
      <w:r>
        <w:t>—</w:t>
      </w:r>
      <w:r>
        <w:t>评估</w:t>
      </w:r>
      <w:r>
        <w:t>—</w:t>
      </w:r>
      <w:r>
        <w:t>图表</w:t>
      </w:r>
      <w:r>
        <w:t>"</w:t>
      </w:r>
      <w:r>
        <w:t>五个模块组织，并采用</w:t>
      </w:r>
      <w:r>
        <w:t>"</w:t>
      </w:r>
      <w:r>
        <w:t>先写测试、再写实现</w:t>
      </w:r>
      <w:r>
        <w:t>"</w:t>
      </w:r>
      <w:r>
        <w:t>的开发方式（</w:t>
      </w:r>
      <w:r>
        <w:t>pytest</w:t>
      </w:r>
      <w:r>
        <w:t>共</w:t>
      </w:r>
      <w:r>
        <w:t>9</w:t>
      </w:r>
      <w:r>
        <w:t>项测试全部通过），保证每个环节可验证、可复现。编码过程中遇到的几类实际问题及其处理如下。</w:t>
      </w:r>
    </w:p>
    <w:p w14:paraId="22666E00" w14:textId="77777777" w:rsidR="009249CB" w:rsidRDefault="00183FCD">
      <w:pPr>
        <w:spacing w:after="40" w:line="360" w:lineRule="auto"/>
        <w:ind w:firstLine="420"/>
      </w:pPr>
      <w:r>
        <w:t>数据获取阶段遇到两个接口层面的意外。一是计划采用的银行间质押式回购利率（</w:t>
      </w:r>
      <w:r>
        <w:t>R007</w:t>
      </w:r>
      <w:r>
        <w:t>）接口返回字段缺失（</w:t>
      </w:r>
      <w:r>
        <w:t>KeyError</w:t>
      </w:r>
      <w:r>
        <w:t>），而该指标是文献中常用的资金面代理，为此改用上海银行间同业拆借利率（</w:t>
      </w:r>
      <w:r>
        <w:t>SHIBOR 3M</w:t>
      </w:r>
      <w:r>
        <w:t>）作为流动性代理变量，经济含义相近且数据完整。二是沪深</w:t>
      </w:r>
      <w:r>
        <w:t>300</w:t>
      </w:r>
      <w:r>
        <w:t>指数的常用行情接口在获取时段被服务端限流，程序自动切换至备用数据源。针对接口的临时性波动，代码中设计了指数退避重试机制：单次失败后等待</w:t>
      </w:r>
      <w:r>
        <w:t>5</w:t>
      </w:r>
      <w:r>
        <w:t>秒重试，最多重试</w:t>
      </w:r>
      <w:r>
        <w:t>3</w:t>
      </w:r>
      <w:r>
        <w:t>次。</w:t>
      </w:r>
    </w:p>
    <w:p w14:paraId="4E96B53D" w14:textId="77777777" w:rsidR="009249CB" w:rsidRDefault="00183FCD">
      <w:pPr>
        <w:spacing w:after="40" w:line="360" w:lineRule="auto"/>
        <w:ind w:firstLine="420"/>
      </w:pPr>
      <w:r>
        <w:t>特征工程阶段，一个容易被忽视的细节是宏观数据的发布时滞：若将月度</w:t>
      </w:r>
      <w:r>
        <w:t>CPI</w:t>
      </w:r>
      <w:r>
        <w:t>、社融等数据直接按其所属月份对齐到周频，实际上是把</w:t>
      </w:r>
      <w:r>
        <w:t>"</w:t>
      </w:r>
      <w:r>
        <w:t>次月才公布的信息</w:t>
      </w:r>
      <w:r>
        <w:t>"</w:t>
      </w:r>
      <w:r>
        <w:t>提前用于当周的预测，构成未来信息泄漏。上述</w:t>
      </w:r>
      <w:r>
        <w:t>"</w:t>
      </w:r>
      <w:r>
        <w:t>次月月初可用</w:t>
      </w:r>
      <w:r>
        <w:t>"</w:t>
      </w:r>
      <w:r>
        <w:t>规则即针对此设计，并在测试中以断言形式固化，确保后续任何修改都不会破坏无泄漏性质。</w:t>
      </w:r>
    </w:p>
    <w:p w14:paraId="06B3CAB1" w14:textId="77777777" w:rsidR="009249CB" w:rsidRDefault="00183FCD">
      <w:pPr>
        <w:spacing w:after="40" w:line="360" w:lineRule="auto"/>
        <w:ind w:firstLine="420"/>
      </w:pPr>
      <w:r>
        <w:t>模型训练与评估阶段同样经历了典型的时间序列陷阱。滚动评估初版代码按列名前缀筛选目标列，将利差的滞后项（如</w:t>
      </w:r>
      <w:r>
        <w:t>spread_cp_3y_lag_1</w:t>
      </w:r>
      <w:r>
        <w:t>）也误当作预测目标，导致每期产生</w:t>
      </w:r>
      <w:r>
        <w:t>20</w:t>
      </w:r>
      <w:r>
        <w:t>个</w:t>
      </w:r>
      <w:r>
        <w:t>"</w:t>
      </w:r>
      <w:r>
        <w:t>预测结果</w:t>
      </w:r>
      <w:r>
        <w:t>"</w:t>
      </w:r>
      <w:r>
        <w:t>。修复方式是将目标列定义为显式白名单，特征与目标严格分离，并以测试锁定正确的目标数量。此外，</w:t>
      </w:r>
      <w:r>
        <w:t>SHAP</w:t>
      </w:r>
      <w:r>
        <w:t>库与较新版本的</w:t>
      </w:r>
      <w:r>
        <w:t>XGBoost</w:t>
      </w:r>
      <w:r>
        <w:t>存在兼容性问题（特征名转换报错），经排查后将</w:t>
      </w:r>
      <w:r>
        <w:t>xgboost</w:t>
      </w:r>
      <w:r>
        <w:t>版本锁定在</w:t>
      </w:r>
      <w:r>
        <w:t>2.1.4</w:t>
      </w:r>
      <w:r>
        <w:t>。</w:t>
      </w:r>
    </w:p>
    <w:p w14:paraId="3A73A07F" w14:textId="77777777" w:rsidR="009249CB" w:rsidRDefault="00183FCD">
      <w:pPr>
        <w:spacing w:after="40" w:line="360" w:lineRule="auto"/>
        <w:ind w:firstLine="420"/>
      </w:pPr>
      <w:r>
        <w:t>上述过程的核心代码结构如下（节选）：</w:t>
      </w:r>
    </w:p>
    <w:p w14:paraId="00E10AD2" w14:textId="77777777" w:rsidR="009249CB" w:rsidRDefault="00183FCD">
      <w:pPr>
        <w:shd w:val="clear" w:color="auto" w:fill="F2F2F2"/>
        <w:spacing w:after="0" w:line="240" w:lineRule="auto"/>
        <w:ind w:left="360"/>
      </w:pPr>
      <w:r>
        <w:rPr>
          <w:rFonts w:ascii="Consolas" w:hAnsi="Consolas"/>
          <w:sz w:val="18"/>
        </w:rPr>
        <w:t>TARGETS = ["spread_cp_3y", "spread_cp_5y", "spread_bank_3y", "spread_bank_5y"]</w:t>
      </w:r>
    </w:p>
    <w:p w14:paraId="5468D63B" w14:textId="77777777" w:rsidR="009249CB" w:rsidRDefault="00183FCD">
      <w:pPr>
        <w:shd w:val="clear" w:color="auto" w:fill="F2F2F2"/>
        <w:spacing w:after="0" w:line="240" w:lineRule="auto"/>
        <w:ind w:left="360"/>
      </w:pPr>
      <w:r>
        <w:rPr>
          <w:rFonts w:ascii="Consolas" w:hAnsi="Consolas"/>
          <w:sz w:val="18"/>
        </w:rPr>
        <w:t>EXTERNAL_FEATS = ["hs300_ret", "hs300_vol", "y10_level", "term_spread",</w:t>
      </w:r>
    </w:p>
    <w:p w14:paraId="54EF7B43" w14:textId="77777777" w:rsidR="009249CB" w:rsidRDefault="00183FCD">
      <w:pPr>
        <w:shd w:val="clear" w:color="auto" w:fill="F2F2F2"/>
        <w:spacing w:after="0" w:line="240" w:lineRule="auto"/>
        <w:ind w:left="360"/>
      </w:pPr>
      <w:r>
        <w:rPr>
          <w:rFonts w:ascii="Consolas" w:hAnsi="Consolas"/>
          <w:sz w:val="18"/>
        </w:rPr>
        <w:t xml:space="preserve">                  "shibor3m", "cpi", "ppi", "pmi", "m2_yoy", "sf_rolling12"]</w:t>
      </w:r>
    </w:p>
    <w:p w14:paraId="025898E1" w14:textId="77777777" w:rsidR="009249CB" w:rsidRDefault="00183FCD">
      <w:pPr>
        <w:shd w:val="clear" w:color="auto" w:fill="F2F2F2"/>
        <w:spacing w:after="0" w:line="240" w:lineRule="auto"/>
        <w:ind w:left="360"/>
      </w:pPr>
      <w:r>
        <w:rPr>
          <w:rFonts w:ascii="Consolas" w:hAnsi="Consolas"/>
          <w:sz w:val="18"/>
        </w:rPr>
        <w:t xml:space="preserve"> </w:t>
      </w:r>
    </w:p>
    <w:p w14:paraId="1BED938E" w14:textId="77777777" w:rsidR="009249CB" w:rsidRDefault="00183FCD">
      <w:pPr>
        <w:shd w:val="clear" w:color="auto" w:fill="F2F2F2"/>
        <w:spacing w:after="0" w:line="240" w:lineRule="auto"/>
        <w:ind w:left="360"/>
      </w:pPr>
      <w:r>
        <w:rPr>
          <w:rFonts w:ascii="Consolas" w:hAnsi="Consolas"/>
          <w:sz w:val="18"/>
        </w:rPr>
        <w:t>def features_for(target):</w:t>
      </w:r>
    </w:p>
    <w:p w14:paraId="044281B0" w14:textId="77777777" w:rsidR="009249CB" w:rsidRDefault="00183FCD">
      <w:pPr>
        <w:shd w:val="clear" w:color="auto" w:fill="F2F2F2"/>
        <w:spacing w:after="0" w:line="240" w:lineRule="auto"/>
        <w:ind w:left="360"/>
      </w:pPr>
      <w:r>
        <w:rPr>
          <w:rFonts w:ascii="Consolas" w:hAnsi="Consolas"/>
          <w:sz w:val="18"/>
        </w:rPr>
        <w:t xml:space="preserve">    """</w:t>
      </w:r>
      <w:r>
        <w:rPr>
          <w:rFonts w:ascii="Consolas" w:hAnsi="Consolas"/>
          <w:sz w:val="18"/>
        </w:rPr>
        <w:t>每个目标：</w:t>
      </w:r>
      <w:r>
        <w:rPr>
          <w:rFonts w:ascii="Consolas" w:hAnsi="Consolas"/>
          <w:sz w:val="18"/>
        </w:rPr>
        <w:t>10</w:t>
      </w:r>
      <w:r>
        <w:rPr>
          <w:rFonts w:ascii="Consolas" w:hAnsi="Consolas"/>
          <w:sz w:val="18"/>
        </w:rPr>
        <w:t>个外部特征</w:t>
      </w:r>
      <w:r>
        <w:rPr>
          <w:rFonts w:ascii="Consolas" w:hAnsi="Consolas"/>
          <w:sz w:val="18"/>
        </w:rPr>
        <w:t xml:space="preserve"> + </w:t>
      </w:r>
      <w:r>
        <w:rPr>
          <w:rFonts w:ascii="Consolas" w:hAnsi="Consolas"/>
          <w:sz w:val="18"/>
        </w:rPr>
        <w:t>自身滞后</w:t>
      </w:r>
      <w:r>
        <w:rPr>
          <w:rFonts w:ascii="Consolas" w:hAnsi="Consolas"/>
          <w:sz w:val="18"/>
        </w:rPr>
        <w:t>1—4</w:t>
      </w:r>
      <w:r>
        <w:rPr>
          <w:rFonts w:ascii="Consolas" w:hAnsi="Consolas"/>
          <w:sz w:val="18"/>
        </w:rPr>
        <w:t>周。</w:t>
      </w:r>
      <w:r>
        <w:rPr>
          <w:rFonts w:ascii="Consolas" w:hAnsi="Consolas"/>
          <w:sz w:val="18"/>
        </w:rPr>
        <w:t>"""</w:t>
      </w:r>
    </w:p>
    <w:p w14:paraId="0675F1EA" w14:textId="77777777" w:rsidR="009249CB" w:rsidRDefault="00183FCD">
      <w:pPr>
        <w:shd w:val="clear" w:color="auto" w:fill="F2F2F2"/>
        <w:spacing w:after="0" w:line="240" w:lineRule="auto"/>
        <w:ind w:left="360"/>
      </w:pPr>
      <w:r>
        <w:rPr>
          <w:rFonts w:ascii="Consolas" w:hAnsi="Consolas"/>
          <w:sz w:val="18"/>
        </w:rPr>
        <w:t xml:space="preserve">    return EXTERNAL_FEATS + [f"{target}_lag_{k}" for k in (1, 2, 3, 4)]</w:t>
      </w:r>
    </w:p>
    <w:p w14:paraId="75CE6197" w14:textId="77777777" w:rsidR="009249CB" w:rsidRDefault="00183FCD">
      <w:pPr>
        <w:shd w:val="clear" w:color="auto" w:fill="F2F2F2"/>
        <w:spacing w:after="0" w:line="240" w:lineRule="auto"/>
        <w:ind w:left="360"/>
      </w:pPr>
      <w:r>
        <w:rPr>
          <w:rFonts w:ascii="Consolas" w:hAnsi="Consolas"/>
          <w:sz w:val="18"/>
        </w:rPr>
        <w:t xml:space="preserve"> </w:t>
      </w:r>
    </w:p>
    <w:p w14:paraId="0982D7EB" w14:textId="77777777" w:rsidR="009249CB" w:rsidRDefault="00183FCD">
      <w:pPr>
        <w:shd w:val="clear" w:color="auto" w:fill="F2F2F2"/>
        <w:spacing w:after="0" w:line="240" w:lineRule="auto"/>
        <w:ind w:left="360"/>
      </w:pPr>
      <w:r>
        <w:rPr>
          <w:rFonts w:ascii="Consolas" w:hAnsi="Consolas"/>
          <w:sz w:val="18"/>
        </w:rPr>
        <w:t xml:space="preserve"># </w:t>
      </w:r>
      <w:r>
        <w:rPr>
          <w:rFonts w:ascii="Consolas" w:hAnsi="Consolas"/>
          <w:sz w:val="18"/>
        </w:rPr>
        <w:t>宏观无泄漏：数据所属月的次月月初才可用</w:t>
      </w:r>
    </w:p>
    <w:p w14:paraId="7BA201CC" w14:textId="77777777" w:rsidR="009249CB" w:rsidRDefault="00183FCD">
      <w:pPr>
        <w:shd w:val="clear" w:color="auto" w:fill="F2F2F2"/>
        <w:spacing w:after="160" w:line="240" w:lineRule="auto"/>
        <w:ind w:left="360"/>
      </w:pPr>
      <w:r>
        <w:rPr>
          <w:rFonts w:ascii="Consolas" w:hAnsi="Consolas"/>
          <w:sz w:val="18"/>
        </w:rPr>
        <w:t>m["</w:t>
      </w:r>
      <w:r>
        <w:rPr>
          <w:rFonts w:ascii="Consolas" w:hAnsi="Consolas"/>
          <w:sz w:val="18"/>
        </w:rPr>
        <w:t>可用月</w:t>
      </w:r>
      <w:r>
        <w:rPr>
          <w:rFonts w:ascii="Consolas" w:hAnsi="Consolas"/>
          <w:sz w:val="18"/>
        </w:rPr>
        <w:t>"] = (m[date_col].dt.to_period("M") + 1).dt.to_timestamp()</w:t>
      </w:r>
    </w:p>
    <w:p w14:paraId="112BEE7E" w14:textId="77777777" w:rsidR="009249CB" w:rsidRDefault="00183FCD">
      <w:pPr>
        <w:spacing w:before="120" w:after="60"/>
      </w:pPr>
      <w:r>
        <w:rPr>
          <w:rFonts w:eastAsia="仿宋"/>
          <w:b/>
        </w:rPr>
        <w:t>（五）描述性统计</w:t>
      </w:r>
    </w:p>
    <w:p w14:paraId="5D690328" w14:textId="77777777" w:rsidR="009249CB" w:rsidRDefault="00183FCD">
      <w:pPr>
        <w:spacing w:after="40" w:line="360" w:lineRule="auto"/>
        <w:ind w:firstLine="420"/>
      </w:pPr>
      <w:r>
        <w:t>表</w:t>
      </w:r>
      <w:r>
        <w:t>1</w:t>
      </w:r>
      <w:r>
        <w:t>报告了四组利差的描述性统计。样本期内中票</w:t>
      </w:r>
      <w:r>
        <w:t>3Y</w:t>
      </w:r>
      <w:r>
        <w:t>利差均值为</w:t>
      </w:r>
      <w:r>
        <w:t>0.73%</w:t>
      </w:r>
      <w:r>
        <w:t>，最高达</w:t>
      </w:r>
      <w:r>
        <w:t>1.69%</w:t>
      </w:r>
      <w:r>
        <w:t>（</w:t>
      </w:r>
      <w:r>
        <w:t>2022</w:t>
      </w:r>
      <w:r>
        <w:t>年理财赎回冲击前后），最低为</w:t>
      </w:r>
      <w:r>
        <w:t>0.27%</w:t>
      </w:r>
      <w:r>
        <w:t>；商行债</w:t>
      </w:r>
      <w:r>
        <w:t>3Y</w:t>
      </w:r>
      <w:r>
        <w:t>利差均值略低（</w:t>
      </w:r>
      <w:r>
        <w:t>0.61%</w:t>
      </w:r>
      <w:r>
        <w:t>）。四条利差均呈右偏分布（偏度</w:t>
      </w:r>
      <w:r>
        <w:t>0.49—1.10</w:t>
      </w:r>
      <w:r>
        <w:t>），中票</w:t>
      </w:r>
      <w:r>
        <w:t>3Y</w:t>
      </w:r>
      <w:r>
        <w:t>与商行债</w:t>
      </w:r>
      <w:r>
        <w:t>3Y</w:t>
      </w:r>
      <w:r>
        <w:t>的峰度为正，表明利差在极端流动性冲击下存在厚尾特征。</w:t>
      </w:r>
      <w:r>
        <w:t>3Y</w:t>
      </w:r>
      <w:r>
        <w:t>利差的波动率（标准差</w:t>
      </w:r>
      <w:r>
        <w:t>0.32%—0.33%</w:t>
      </w:r>
      <w:r>
        <w:t>）相对其水平值而言相当可观，周度利差波动提供了足够的变异，适合做预测研究。</w:t>
      </w:r>
    </w:p>
    <w:tbl>
      <w:tblPr>
        <w:tblW w:w="0" w:type="auto"/>
        <w:jc w:val="center"/>
        <w:tblLook w:val="04A0" w:firstRow="1" w:lastRow="0" w:firstColumn="1" w:lastColumn="0" w:noHBand="0" w:noVBand="1"/>
      </w:tblPr>
      <w:tblGrid>
        <w:gridCol w:w="1792"/>
        <w:gridCol w:w="1792"/>
        <w:gridCol w:w="1792"/>
        <w:gridCol w:w="1792"/>
        <w:gridCol w:w="1792"/>
      </w:tblGrid>
      <w:tr w:rsidR="009249CB" w14:paraId="0FB810D1" w14:textId="77777777">
        <w:trPr>
          <w:jc w:val="center"/>
        </w:trPr>
        <w:tc>
          <w:tcPr>
            <w:tcW w:w="1792" w:type="dxa"/>
            <w:tcBorders>
              <w:top w:val="single" w:sz="12" w:space="0" w:color="000000"/>
              <w:bottom w:val="single" w:sz="6" w:space="0" w:color="000000"/>
            </w:tcBorders>
          </w:tcPr>
          <w:p w14:paraId="20AAF5E4" w14:textId="77777777" w:rsidR="009249CB" w:rsidRDefault="00183FCD">
            <w:pPr>
              <w:jc w:val="center"/>
            </w:pPr>
            <w:r>
              <w:rPr>
                <w:sz w:val="18"/>
              </w:rPr>
              <w:t>统计量</w:t>
            </w:r>
          </w:p>
        </w:tc>
        <w:tc>
          <w:tcPr>
            <w:tcW w:w="1792" w:type="dxa"/>
            <w:tcBorders>
              <w:top w:val="single" w:sz="12" w:space="0" w:color="000000"/>
              <w:bottom w:val="single" w:sz="6" w:space="0" w:color="000000"/>
            </w:tcBorders>
          </w:tcPr>
          <w:p w14:paraId="59A7F5EE" w14:textId="77777777" w:rsidR="009249CB" w:rsidRDefault="00183FCD">
            <w:pPr>
              <w:jc w:val="center"/>
            </w:pPr>
            <w:r>
              <w:rPr>
                <w:sz w:val="18"/>
              </w:rPr>
              <w:t>中票</w:t>
            </w:r>
            <w:r>
              <w:rPr>
                <w:sz w:val="18"/>
              </w:rPr>
              <w:t>3Y</w:t>
            </w:r>
          </w:p>
        </w:tc>
        <w:tc>
          <w:tcPr>
            <w:tcW w:w="1792" w:type="dxa"/>
            <w:tcBorders>
              <w:top w:val="single" w:sz="12" w:space="0" w:color="000000"/>
              <w:bottom w:val="single" w:sz="6" w:space="0" w:color="000000"/>
            </w:tcBorders>
          </w:tcPr>
          <w:p w14:paraId="1B929DF4" w14:textId="77777777" w:rsidR="009249CB" w:rsidRDefault="00183FCD">
            <w:pPr>
              <w:jc w:val="center"/>
            </w:pPr>
            <w:r>
              <w:rPr>
                <w:sz w:val="18"/>
              </w:rPr>
              <w:t>中票</w:t>
            </w:r>
            <w:r>
              <w:rPr>
                <w:sz w:val="18"/>
              </w:rPr>
              <w:t>5Y</w:t>
            </w:r>
          </w:p>
        </w:tc>
        <w:tc>
          <w:tcPr>
            <w:tcW w:w="1792" w:type="dxa"/>
            <w:tcBorders>
              <w:top w:val="single" w:sz="12" w:space="0" w:color="000000"/>
              <w:bottom w:val="single" w:sz="6" w:space="0" w:color="000000"/>
            </w:tcBorders>
          </w:tcPr>
          <w:p w14:paraId="62C26218" w14:textId="77777777" w:rsidR="009249CB" w:rsidRDefault="00183FCD">
            <w:pPr>
              <w:jc w:val="center"/>
            </w:pPr>
            <w:r>
              <w:rPr>
                <w:sz w:val="18"/>
              </w:rPr>
              <w:t>商行债</w:t>
            </w:r>
            <w:r>
              <w:rPr>
                <w:sz w:val="18"/>
              </w:rPr>
              <w:t>3Y</w:t>
            </w:r>
          </w:p>
        </w:tc>
        <w:tc>
          <w:tcPr>
            <w:tcW w:w="1792" w:type="dxa"/>
            <w:tcBorders>
              <w:top w:val="single" w:sz="12" w:space="0" w:color="000000"/>
              <w:bottom w:val="single" w:sz="6" w:space="0" w:color="000000"/>
            </w:tcBorders>
          </w:tcPr>
          <w:p w14:paraId="563A255C" w14:textId="77777777" w:rsidR="009249CB" w:rsidRDefault="00183FCD">
            <w:pPr>
              <w:jc w:val="center"/>
            </w:pPr>
            <w:r>
              <w:rPr>
                <w:sz w:val="18"/>
              </w:rPr>
              <w:t>商行债</w:t>
            </w:r>
            <w:r>
              <w:rPr>
                <w:sz w:val="18"/>
              </w:rPr>
              <w:t>5Y</w:t>
            </w:r>
          </w:p>
        </w:tc>
      </w:tr>
      <w:tr w:rsidR="009249CB" w14:paraId="1257EBB0" w14:textId="77777777">
        <w:trPr>
          <w:jc w:val="center"/>
        </w:trPr>
        <w:tc>
          <w:tcPr>
            <w:tcW w:w="1792" w:type="dxa"/>
          </w:tcPr>
          <w:p w14:paraId="2369E5F6" w14:textId="77777777" w:rsidR="009249CB" w:rsidRDefault="00183FCD">
            <w:pPr>
              <w:jc w:val="center"/>
            </w:pPr>
            <w:r>
              <w:rPr>
                <w:sz w:val="18"/>
              </w:rPr>
              <w:t>均值</w:t>
            </w:r>
          </w:p>
        </w:tc>
        <w:tc>
          <w:tcPr>
            <w:tcW w:w="1792" w:type="dxa"/>
          </w:tcPr>
          <w:p w14:paraId="30A7E583" w14:textId="77777777" w:rsidR="009249CB" w:rsidRDefault="00183FCD">
            <w:pPr>
              <w:jc w:val="center"/>
            </w:pPr>
            <w:r>
              <w:rPr>
                <w:sz w:val="18"/>
              </w:rPr>
              <w:t>0.7313</w:t>
            </w:r>
          </w:p>
        </w:tc>
        <w:tc>
          <w:tcPr>
            <w:tcW w:w="1792" w:type="dxa"/>
          </w:tcPr>
          <w:p w14:paraId="341C8F95" w14:textId="77777777" w:rsidR="009249CB" w:rsidRDefault="00183FCD">
            <w:pPr>
              <w:jc w:val="center"/>
            </w:pPr>
            <w:r>
              <w:rPr>
                <w:sz w:val="18"/>
              </w:rPr>
              <w:t>0.7927</w:t>
            </w:r>
          </w:p>
        </w:tc>
        <w:tc>
          <w:tcPr>
            <w:tcW w:w="1792" w:type="dxa"/>
          </w:tcPr>
          <w:p w14:paraId="46BD1B6C" w14:textId="77777777" w:rsidR="009249CB" w:rsidRDefault="00183FCD">
            <w:pPr>
              <w:jc w:val="center"/>
            </w:pPr>
            <w:r>
              <w:rPr>
                <w:sz w:val="18"/>
              </w:rPr>
              <w:t>0.6125</w:t>
            </w:r>
          </w:p>
        </w:tc>
        <w:tc>
          <w:tcPr>
            <w:tcW w:w="1792" w:type="dxa"/>
          </w:tcPr>
          <w:p w14:paraId="5FD1E556" w14:textId="77777777" w:rsidR="009249CB" w:rsidRDefault="00183FCD">
            <w:pPr>
              <w:jc w:val="center"/>
            </w:pPr>
            <w:r>
              <w:rPr>
                <w:sz w:val="18"/>
              </w:rPr>
              <w:t>0.6424</w:t>
            </w:r>
          </w:p>
        </w:tc>
      </w:tr>
      <w:tr w:rsidR="009249CB" w14:paraId="722B5380" w14:textId="77777777">
        <w:trPr>
          <w:jc w:val="center"/>
        </w:trPr>
        <w:tc>
          <w:tcPr>
            <w:tcW w:w="1792" w:type="dxa"/>
          </w:tcPr>
          <w:p w14:paraId="51F97170" w14:textId="77777777" w:rsidR="009249CB" w:rsidRDefault="00183FCD">
            <w:pPr>
              <w:jc w:val="center"/>
            </w:pPr>
            <w:r>
              <w:rPr>
                <w:sz w:val="18"/>
              </w:rPr>
              <w:t>标准差</w:t>
            </w:r>
          </w:p>
        </w:tc>
        <w:tc>
          <w:tcPr>
            <w:tcW w:w="1792" w:type="dxa"/>
          </w:tcPr>
          <w:p w14:paraId="6981BFDC" w14:textId="77777777" w:rsidR="009249CB" w:rsidRDefault="00183FCD">
            <w:pPr>
              <w:jc w:val="center"/>
            </w:pPr>
            <w:r>
              <w:rPr>
                <w:sz w:val="18"/>
              </w:rPr>
              <w:t>0.321</w:t>
            </w:r>
          </w:p>
        </w:tc>
        <w:tc>
          <w:tcPr>
            <w:tcW w:w="1792" w:type="dxa"/>
          </w:tcPr>
          <w:p w14:paraId="31AA4386" w14:textId="77777777" w:rsidR="009249CB" w:rsidRDefault="00183FCD">
            <w:pPr>
              <w:jc w:val="center"/>
            </w:pPr>
            <w:r>
              <w:rPr>
                <w:sz w:val="18"/>
              </w:rPr>
              <w:t>0.316</w:t>
            </w:r>
          </w:p>
        </w:tc>
        <w:tc>
          <w:tcPr>
            <w:tcW w:w="1792" w:type="dxa"/>
          </w:tcPr>
          <w:p w14:paraId="6BED3508" w14:textId="77777777" w:rsidR="009249CB" w:rsidRDefault="00183FCD">
            <w:pPr>
              <w:jc w:val="center"/>
            </w:pPr>
            <w:r>
              <w:rPr>
                <w:sz w:val="18"/>
              </w:rPr>
              <w:t>0.3285</w:t>
            </w:r>
          </w:p>
        </w:tc>
        <w:tc>
          <w:tcPr>
            <w:tcW w:w="1792" w:type="dxa"/>
          </w:tcPr>
          <w:p w14:paraId="06186D72" w14:textId="77777777" w:rsidR="009249CB" w:rsidRDefault="00183FCD">
            <w:pPr>
              <w:jc w:val="center"/>
            </w:pPr>
            <w:r>
              <w:rPr>
                <w:sz w:val="18"/>
              </w:rPr>
              <w:t>0.3337</w:t>
            </w:r>
          </w:p>
        </w:tc>
      </w:tr>
      <w:tr w:rsidR="009249CB" w14:paraId="192F6508" w14:textId="77777777">
        <w:trPr>
          <w:jc w:val="center"/>
        </w:trPr>
        <w:tc>
          <w:tcPr>
            <w:tcW w:w="1792" w:type="dxa"/>
          </w:tcPr>
          <w:p w14:paraId="032F5256" w14:textId="77777777" w:rsidR="009249CB" w:rsidRDefault="00183FCD">
            <w:pPr>
              <w:jc w:val="center"/>
            </w:pPr>
            <w:r>
              <w:rPr>
                <w:sz w:val="18"/>
              </w:rPr>
              <w:t>最小值</w:t>
            </w:r>
          </w:p>
        </w:tc>
        <w:tc>
          <w:tcPr>
            <w:tcW w:w="1792" w:type="dxa"/>
          </w:tcPr>
          <w:p w14:paraId="49765208" w14:textId="77777777" w:rsidR="009249CB" w:rsidRDefault="00183FCD">
            <w:pPr>
              <w:jc w:val="center"/>
            </w:pPr>
            <w:r>
              <w:rPr>
                <w:sz w:val="18"/>
              </w:rPr>
              <w:t>0.2682</w:t>
            </w:r>
          </w:p>
        </w:tc>
        <w:tc>
          <w:tcPr>
            <w:tcW w:w="1792" w:type="dxa"/>
          </w:tcPr>
          <w:p w14:paraId="5B35DDDD" w14:textId="77777777" w:rsidR="009249CB" w:rsidRDefault="00183FCD">
            <w:pPr>
              <w:jc w:val="center"/>
            </w:pPr>
            <w:r>
              <w:rPr>
                <w:sz w:val="18"/>
              </w:rPr>
              <w:t>0.2375</w:t>
            </w:r>
          </w:p>
        </w:tc>
        <w:tc>
          <w:tcPr>
            <w:tcW w:w="1792" w:type="dxa"/>
          </w:tcPr>
          <w:p w14:paraId="3C8D59C7" w14:textId="77777777" w:rsidR="009249CB" w:rsidRDefault="00183FCD">
            <w:pPr>
              <w:jc w:val="center"/>
            </w:pPr>
            <w:r>
              <w:rPr>
                <w:sz w:val="18"/>
              </w:rPr>
              <w:t>0.1702</w:t>
            </w:r>
          </w:p>
        </w:tc>
        <w:tc>
          <w:tcPr>
            <w:tcW w:w="1792" w:type="dxa"/>
          </w:tcPr>
          <w:p w14:paraId="15B9EFC0" w14:textId="77777777" w:rsidR="009249CB" w:rsidRDefault="00183FCD">
            <w:pPr>
              <w:jc w:val="center"/>
            </w:pPr>
            <w:r>
              <w:rPr>
                <w:sz w:val="18"/>
              </w:rPr>
              <w:t>0.1396</w:t>
            </w:r>
          </w:p>
        </w:tc>
      </w:tr>
      <w:tr w:rsidR="009249CB" w14:paraId="05570D0A" w14:textId="77777777">
        <w:trPr>
          <w:jc w:val="center"/>
        </w:trPr>
        <w:tc>
          <w:tcPr>
            <w:tcW w:w="1792" w:type="dxa"/>
          </w:tcPr>
          <w:p w14:paraId="4A4393EF" w14:textId="77777777" w:rsidR="009249CB" w:rsidRDefault="00183FCD">
            <w:pPr>
              <w:jc w:val="center"/>
            </w:pPr>
            <w:r>
              <w:rPr>
                <w:sz w:val="18"/>
              </w:rPr>
              <w:t>最大值</w:t>
            </w:r>
          </w:p>
        </w:tc>
        <w:tc>
          <w:tcPr>
            <w:tcW w:w="1792" w:type="dxa"/>
          </w:tcPr>
          <w:p w14:paraId="1D8F223A" w14:textId="77777777" w:rsidR="009249CB" w:rsidRDefault="00183FCD">
            <w:pPr>
              <w:jc w:val="center"/>
            </w:pPr>
            <w:r>
              <w:rPr>
                <w:sz w:val="18"/>
              </w:rPr>
              <w:t>1.688</w:t>
            </w:r>
          </w:p>
        </w:tc>
        <w:tc>
          <w:tcPr>
            <w:tcW w:w="1792" w:type="dxa"/>
          </w:tcPr>
          <w:p w14:paraId="1720BBDA" w14:textId="77777777" w:rsidR="009249CB" w:rsidRDefault="00183FCD">
            <w:pPr>
              <w:jc w:val="center"/>
            </w:pPr>
            <w:r>
              <w:rPr>
                <w:sz w:val="18"/>
              </w:rPr>
              <w:t>1.6327</w:t>
            </w:r>
          </w:p>
        </w:tc>
        <w:tc>
          <w:tcPr>
            <w:tcW w:w="1792" w:type="dxa"/>
          </w:tcPr>
          <w:p w14:paraId="5DD3572F" w14:textId="77777777" w:rsidR="009249CB" w:rsidRDefault="00183FCD">
            <w:pPr>
              <w:jc w:val="center"/>
            </w:pPr>
            <w:r>
              <w:rPr>
                <w:sz w:val="18"/>
              </w:rPr>
              <w:t>1.5874</w:t>
            </w:r>
          </w:p>
        </w:tc>
        <w:tc>
          <w:tcPr>
            <w:tcW w:w="1792" w:type="dxa"/>
          </w:tcPr>
          <w:p w14:paraId="0FC4A0BC" w14:textId="77777777" w:rsidR="009249CB" w:rsidRDefault="00183FCD">
            <w:pPr>
              <w:jc w:val="center"/>
            </w:pPr>
            <w:r>
              <w:rPr>
                <w:sz w:val="18"/>
              </w:rPr>
              <w:t>1.511</w:t>
            </w:r>
          </w:p>
        </w:tc>
      </w:tr>
      <w:tr w:rsidR="009249CB" w14:paraId="2AF25E67" w14:textId="77777777">
        <w:trPr>
          <w:jc w:val="center"/>
        </w:trPr>
        <w:tc>
          <w:tcPr>
            <w:tcW w:w="1792" w:type="dxa"/>
          </w:tcPr>
          <w:p w14:paraId="779BE9B5" w14:textId="77777777" w:rsidR="009249CB" w:rsidRDefault="00183FCD">
            <w:pPr>
              <w:jc w:val="center"/>
            </w:pPr>
            <w:r>
              <w:rPr>
                <w:sz w:val="18"/>
              </w:rPr>
              <w:t>偏度</w:t>
            </w:r>
          </w:p>
        </w:tc>
        <w:tc>
          <w:tcPr>
            <w:tcW w:w="1792" w:type="dxa"/>
          </w:tcPr>
          <w:p w14:paraId="3361C3FC" w14:textId="77777777" w:rsidR="009249CB" w:rsidRDefault="00183FCD">
            <w:pPr>
              <w:jc w:val="center"/>
            </w:pPr>
            <w:r>
              <w:rPr>
                <w:sz w:val="18"/>
              </w:rPr>
              <w:t>0.9552</w:t>
            </w:r>
          </w:p>
        </w:tc>
        <w:tc>
          <w:tcPr>
            <w:tcW w:w="1792" w:type="dxa"/>
          </w:tcPr>
          <w:p w14:paraId="48A85E82" w14:textId="77777777" w:rsidR="009249CB" w:rsidRDefault="00183FCD">
            <w:pPr>
              <w:jc w:val="center"/>
            </w:pPr>
            <w:r>
              <w:rPr>
                <w:sz w:val="18"/>
              </w:rPr>
              <w:t>0.4865</w:t>
            </w:r>
          </w:p>
        </w:tc>
        <w:tc>
          <w:tcPr>
            <w:tcW w:w="1792" w:type="dxa"/>
          </w:tcPr>
          <w:p w14:paraId="7E3E7165" w14:textId="77777777" w:rsidR="009249CB" w:rsidRDefault="00183FCD">
            <w:pPr>
              <w:jc w:val="center"/>
            </w:pPr>
            <w:r>
              <w:rPr>
                <w:sz w:val="18"/>
              </w:rPr>
              <w:t>1.0998</w:t>
            </w:r>
          </w:p>
        </w:tc>
        <w:tc>
          <w:tcPr>
            <w:tcW w:w="1792" w:type="dxa"/>
          </w:tcPr>
          <w:p w14:paraId="3C913D88" w14:textId="77777777" w:rsidR="009249CB" w:rsidRDefault="00183FCD">
            <w:pPr>
              <w:jc w:val="center"/>
            </w:pPr>
            <w:r>
              <w:rPr>
                <w:sz w:val="18"/>
              </w:rPr>
              <w:t>0.6176</w:t>
            </w:r>
          </w:p>
        </w:tc>
      </w:tr>
      <w:tr w:rsidR="009249CB" w14:paraId="73E74A21" w14:textId="77777777">
        <w:trPr>
          <w:jc w:val="center"/>
        </w:trPr>
        <w:tc>
          <w:tcPr>
            <w:tcW w:w="1792" w:type="dxa"/>
            <w:tcBorders>
              <w:bottom w:val="single" w:sz="12" w:space="0" w:color="000000"/>
            </w:tcBorders>
          </w:tcPr>
          <w:p w14:paraId="2F1C60A6" w14:textId="77777777" w:rsidR="009249CB" w:rsidRDefault="00183FCD">
            <w:pPr>
              <w:jc w:val="center"/>
            </w:pPr>
            <w:r>
              <w:rPr>
                <w:sz w:val="18"/>
              </w:rPr>
              <w:t>峰度</w:t>
            </w:r>
          </w:p>
        </w:tc>
        <w:tc>
          <w:tcPr>
            <w:tcW w:w="1792" w:type="dxa"/>
            <w:tcBorders>
              <w:bottom w:val="single" w:sz="12" w:space="0" w:color="000000"/>
            </w:tcBorders>
          </w:tcPr>
          <w:p w14:paraId="6EB481DD" w14:textId="77777777" w:rsidR="009249CB" w:rsidRDefault="00183FCD">
            <w:pPr>
              <w:jc w:val="center"/>
            </w:pPr>
            <w:r>
              <w:rPr>
                <w:sz w:val="18"/>
              </w:rPr>
              <w:t>0.2728</w:t>
            </w:r>
          </w:p>
        </w:tc>
        <w:tc>
          <w:tcPr>
            <w:tcW w:w="1792" w:type="dxa"/>
            <w:tcBorders>
              <w:bottom w:val="single" w:sz="12" w:space="0" w:color="000000"/>
            </w:tcBorders>
          </w:tcPr>
          <w:p w14:paraId="1DE6F904" w14:textId="77777777" w:rsidR="009249CB" w:rsidRDefault="00183FCD">
            <w:pPr>
              <w:jc w:val="center"/>
            </w:pPr>
            <w:r>
              <w:rPr>
                <w:sz w:val="18"/>
              </w:rPr>
              <w:t>-0.3475</w:t>
            </w:r>
          </w:p>
        </w:tc>
        <w:tc>
          <w:tcPr>
            <w:tcW w:w="1792" w:type="dxa"/>
            <w:tcBorders>
              <w:bottom w:val="single" w:sz="12" w:space="0" w:color="000000"/>
            </w:tcBorders>
          </w:tcPr>
          <w:p w14:paraId="40EBE080" w14:textId="77777777" w:rsidR="009249CB" w:rsidRDefault="00183FCD">
            <w:pPr>
              <w:jc w:val="center"/>
            </w:pPr>
            <w:r>
              <w:rPr>
                <w:sz w:val="18"/>
              </w:rPr>
              <w:t>0.3502</w:t>
            </w:r>
          </w:p>
        </w:tc>
        <w:tc>
          <w:tcPr>
            <w:tcW w:w="1792" w:type="dxa"/>
            <w:tcBorders>
              <w:bottom w:val="single" w:sz="12" w:space="0" w:color="000000"/>
            </w:tcBorders>
          </w:tcPr>
          <w:p w14:paraId="3410645E" w14:textId="77777777" w:rsidR="009249CB" w:rsidRDefault="00183FCD">
            <w:pPr>
              <w:jc w:val="center"/>
            </w:pPr>
            <w:r>
              <w:rPr>
                <w:sz w:val="18"/>
              </w:rPr>
              <w:t>-0.3504</w:t>
            </w:r>
          </w:p>
        </w:tc>
      </w:tr>
    </w:tbl>
    <w:p w14:paraId="0B13C7FB" w14:textId="77777777" w:rsidR="009249CB" w:rsidRDefault="00183FCD">
      <w:pPr>
        <w:spacing w:before="60"/>
        <w:jc w:val="center"/>
      </w:pPr>
      <w:r>
        <w:rPr>
          <w:rFonts w:eastAsia="黑体"/>
          <w:sz w:val="18"/>
        </w:rPr>
        <w:t>表</w:t>
      </w:r>
      <w:r>
        <w:rPr>
          <w:rFonts w:eastAsia="黑体"/>
          <w:sz w:val="18"/>
        </w:rPr>
        <w:t>1</w:t>
      </w:r>
      <w:r>
        <w:rPr>
          <w:rFonts w:eastAsia="黑体"/>
          <w:sz w:val="18"/>
        </w:rPr>
        <w:t xml:space="preserve">　四组信用利差的描述性统计（单位：</w:t>
      </w:r>
      <w:r>
        <w:rPr>
          <w:rFonts w:eastAsia="黑体"/>
          <w:sz w:val="18"/>
        </w:rPr>
        <w:t>%</w:t>
      </w:r>
      <w:r>
        <w:rPr>
          <w:rFonts w:eastAsia="黑体"/>
          <w:sz w:val="18"/>
        </w:rPr>
        <w:t>）</w:t>
      </w:r>
    </w:p>
    <w:p w14:paraId="10EBA28E" w14:textId="77777777" w:rsidR="009249CB" w:rsidRDefault="00183FCD">
      <w:pPr>
        <w:jc w:val="center"/>
      </w:pPr>
      <w:r>
        <w:rPr>
          <w:noProof/>
        </w:rPr>
        <w:drawing>
          <wp:inline distT="0" distB="0" distL="0" distR="0" wp14:anchorId="4B59D3A4" wp14:editId="50190BCD">
            <wp:extent cx="5040000" cy="22174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pread_series.png"/>
                    <pic:cNvPicPr/>
                  </pic:nvPicPr>
                  <pic:blipFill>
                    <a:blip r:embed="rId8"/>
                    <a:stretch>
                      <a:fillRect/>
                    </a:stretch>
                  </pic:blipFill>
                  <pic:spPr>
                    <a:xfrm>
                      <a:off x="0" y="0"/>
                      <a:ext cx="5040000" cy="2217441"/>
                    </a:xfrm>
                    <a:prstGeom prst="rect">
                      <a:avLst/>
                    </a:prstGeom>
                  </pic:spPr>
                </pic:pic>
              </a:graphicData>
            </a:graphic>
          </wp:inline>
        </w:drawing>
      </w:r>
    </w:p>
    <w:p w14:paraId="3AC7E82B" w14:textId="77777777" w:rsidR="009249CB" w:rsidRDefault="00183FCD">
      <w:pPr>
        <w:spacing w:before="60"/>
        <w:jc w:val="center"/>
      </w:pPr>
      <w:r>
        <w:rPr>
          <w:rFonts w:eastAsia="黑体"/>
          <w:sz w:val="18"/>
        </w:rPr>
        <w:t>图</w:t>
      </w:r>
      <w:r>
        <w:rPr>
          <w:rFonts w:eastAsia="黑体"/>
          <w:sz w:val="18"/>
        </w:rPr>
        <w:t>1</w:t>
      </w:r>
      <w:r>
        <w:rPr>
          <w:rFonts w:eastAsia="黑体"/>
          <w:sz w:val="18"/>
        </w:rPr>
        <w:t xml:space="preserve">　四组信用利差的时间序列（</w:t>
      </w:r>
      <w:r>
        <w:rPr>
          <w:rFonts w:eastAsia="黑体"/>
          <w:sz w:val="18"/>
        </w:rPr>
        <w:t>2015—2026</w:t>
      </w:r>
      <w:r>
        <w:rPr>
          <w:rFonts w:eastAsia="黑体"/>
          <w:sz w:val="18"/>
        </w:rPr>
        <w:t>）</w:t>
      </w:r>
    </w:p>
    <w:p w14:paraId="22229782" w14:textId="77777777" w:rsidR="009249CB" w:rsidRDefault="00183FCD">
      <w:pPr>
        <w:spacing w:after="40" w:line="360" w:lineRule="auto"/>
        <w:ind w:firstLine="420"/>
      </w:pPr>
      <w:r>
        <w:t>图</w:t>
      </w:r>
      <w:r>
        <w:t>1</w:t>
      </w:r>
      <w:r>
        <w:t>展示了四组利差的时序走势。可以看到：利差整体呈现与宏观流动性周期共振的宽幅波动，</w:t>
      </w:r>
      <w:r>
        <w:t>2016—2017</w:t>
      </w:r>
      <w:r>
        <w:t>年金融去杠杆期、</w:t>
      </w:r>
      <w:r>
        <w:t>2020</w:t>
      </w:r>
      <w:r>
        <w:t>年疫情冲击期与</w:t>
      </w:r>
      <w:r>
        <w:t>2022</w:t>
      </w:r>
      <w:r>
        <w:t>年理财赎回潮期均出现显著走阔，</w:t>
      </w:r>
      <w:r>
        <w:t>2023</w:t>
      </w:r>
      <w:r>
        <w:t>年下半年以来则在资产荒背景下持续压缩至历史低位；四条利差高度同步，共同成分显著，这与</w:t>
      </w:r>
      <w:r>
        <w:t>Collin-Dufresne</w:t>
      </w:r>
      <w:r>
        <w:t>等（</w:t>
      </w:r>
      <w:r>
        <w:t>2001</w:t>
      </w:r>
      <w:r>
        <w:t>）的发现一致；品种之间存在稳定的差序</w:t>
      </w:r>
      <w:r>
        <w:t>——</w:t>
      </w:r>
      <w:r>
        <w:t>中票利差系统性高于商行债利差，</w:t>
      </w:r>
      <w:r>
        <w:t>5Y</w:t>
      </w:r>
      <w:r>
        <w:t>利差通常高于</w:t>
      </w:r>
      <w:r>
        <w:t>3Y</w:t>
      </w:r>
      <w:r>
        <w:t>利差，反映了期限溢价与品种风险特征的差异。</w:t>
      </w:r>
    </w:p>
    <w:p w14:paraId="241B208F" w14:textId="77777777" w:rsidR="009249CB" w:rsidRDefault="00183FCD">
      <w:pPr>
        <w:spacing w:before="200"/>
        <w:jc w:val="center"/>
      </w:pPr>
      <w:r>
        <w:rPr>
          <w:rFonts w:eastAsia="黑体"/>
          <w:sz w:val="24"/>
        </w:rPr>
        <w:t>五、实证分析</w:t>
      </w:r>
    </w:p>
    <w:p w14:paraId="3FBCC89E" w14:textId="77777777" w:rsidR="009249CB" w:rsidRDefault="00183FCD">
      <w:pPr>
        <w:spacing w:before="120" w:after="60"/>
      </w:pPr>
      <w:r>
        <w:rPr>
          <w:rFonts w:eastAsia="仿宋"/>
          <w:b/>
        </w:rPr>
        <w:t>（一）样本内模型表现：非线性机制的直接证据</w:t>
      </w:r>
    </w:p>
    <w:p w14:paraId="486937DB" w14:textId="77777777" w:rsidR="009249CB" w:rsidRDefault="00183FCD">
      <w:pPr>
        <w:spacing w:after="40" w:line="360" w:lineRule="auto"/>
        <w:ind w:firstLine="420"/>
      </w:pPr>
      <w:r>
        <w:t>表</w:t>
      </w:r>
      <w:r>
        <w:t>2</w:t>
      </w:r>
      <w:r>
        <w:t>报告了三种模型在测试集上的</w:t>
      </w:r>
      <w:r>
        <w:t>R²</w:t>
      </w:r>
      <w:r>
        <w:t>，期限之间的差异非常明显。</w:t>
      </w:r>
      <w:r>
        <w:t>3</w:t>
      </w:r>
      <w:r>
        <w:t>年期利差上，</w:t>
      </w:r>
      <w:r>
        <w:t>OLS</w:t>
      </w:r>
      <w:r>
        <w:t>的测试集</w:t>
      </w:r>
      <w:r>
        <w:t>R²</w:t>
      </w:r>
      <w:r>
        <w:t>为负（中票</w:t>
      </w:r>
      <w:r>
        <w:t>3Y</w:t>
      </w:r>
      <w:r>
        <w:t>为</w:t>
      </w:r>
      <w:r>
        <w:t>−</w:t>
      </w:r>
      <w:r>
        <w:t>0.63</w:t>
      </w:r>
      <w:r>
        <w:t>，商行债</w:t>
      </w:r>
      <w:r>
        <w:t>3Y</w:t>
      </w:r>
      <w:r>
        <w:t>为</w:t>
      </w:r>
      <w:r>
        <w:t>−</w:t>
      </w:r>
      <w:r>
        <w:t>0.70</w:t>
      </w:r>
      <w:r>
        <w:t>），样本外表现不如直接使用均值；随机森林与</w:t>
      </w:r>
      <w:r>
        <w:t>XGBoost</w:t>
      </w:r>
      <w:r>
        <w:t>均为正，商行债</w:t>
      </w:r>
      <w:r>
        <w:t>3Y</w:t>
      </w:r>
      <w:r>
        <w:t>的随机森林</w:t>
      </w:r>
      <w:r>
        <w:t>R²</w:t>
      </w:r>
      <w:r>
        <w:t>达到</w:t>
      </w:r>
      <w:r>
        <w:t>0.69</w:t>
      </w:r>
      <w:r>
        <w:t>，中票</w:t>
      </w:r>
      <w:r>
        <w:t>3Y</w:t>
      </w:r>
      <w:r>
        <w:t>的随机森林与</w:t>
      </w:r>
      <w:r>
        <w:t>XGBoost</w:t>
      </w:r>
      <w:r>
        <w:t>分别为</w:t>
      </w:r>
      <w:r>
        <w:t>0.43</w:t>
      </w:r>
      <w:r>
        <w:t>与</w:t>
      </w:r>
      <w:r>
        <w:t>0.36</w:t>
      </w:r>
      <w:r>
        <w:t>。线性模型整体失效而树模型有效，说明利差与驱动因素之间存在线性框架无法捕捉的非线性结构，</w:t>
      </w:r>
      <w:r>
        <w:t>H1</w:t>
      </w:r>
      <w:r>
        <w:t>得到支持。</w:t>
      </w:r>
    </w:p>
    <w:tbl>
      <w:tblPr>
        <w:tblW w:w="0" w:type="auto"/>
        <w:jc w:val="center"/>
        <w:tblLook w:val="04A0" w:firstRow="1" w:lastRow="0" w:firstColumn="1" w:lastColumn="0" w:noHBand="0" w:noVBand="1"/>
      </w:tblPr>
      <w:tblGrid>
        <w:gridCol w:w="2239"/>
        <w:gridCol w:w="2239"/>
        <w:gridCol w:w="2239"/>
        <w:gridCol w:w="2239"/>
      </w:tblGrid>
      <w:tr w:rsidR="009249CB" w14:paraId="43D38AB8" w14:textId="77777777">
        <w:trPr>
          <w:jc w:val="center"/>
        </w:trPr>
        <w:tc>
          <w:tcPr>
            <w:tcW w:w="2239" w:type="dxa"/>
            <w:tcBorders>
              <w:top w:val="single" w:sz="12" w:space="0" w:color="000000"/>
              <w:bottom w:val="single" w:sz="6" w:space="0" w:color="000000"/>
            </w:tcBorders>
          </w:tcPr>
          <w:p w14:paraId="079099F7" w14:textId="77777777" w:rsidR="009249CB" w:rsidRDefault="00183FCD">
            <w:pPr>
              <w:jc w:val="center"/>
            </w:pPr>
            <w:r>
              <w:rPr>
                <w:sz w:val="18"/>
              </w:rPr>
              <w:t>品种</w:t>
            </w:r>
          </w:p>
        </w:tc>
        <w:tc>
          <w:tcPr>
            <w:tcW w:w="2239" w:type="dxa"/>
            <w:tcBorders>
              <w:top w:val="single" w:sz="12" w:space="0" w:color="000000"/>
              <w:bottom w:val="single" w:sz="6" w:space="0" w:color="000000"/>
            </w:tcBorders>
          </w:tcPr>
          <w:p w14:paraId="516F3E32" w14:textId="77777777" w:rsidR="009249CB" w:rsidRDefault="00183FCD">
            <w:pPr>
              <w:jc w:val="center"/>
            </w:pPr>
            <w:r>
              <w:rPr>
                <w:sz w:val="18"/>
              </w:rPr>
              <w:t>OLS</w:t>
            </w:r>
          </w:p>
        </w:tc>
        <w:tc>
          <w:tcPr>
            <w:tcW w:w="2239" w:type="dxa"/>
            <w:tcBorders>
              <w:top w:val="single" w:sz="12" w:space="0" w:color="000000"/>
              <w:bottom w:val="single" w:sz="6" w:space="0" w:color="000000"/>
            </w:tcBorders>
          </w:tcPr>
          <w:p w14:paraId="33B1D71C" w14:textId="77777777" w:rsidR="009249CB" w:rsidRDefault="00183FCD">
            <w:pPr>
              <w:jc w:val="center"/>
            </w:pPr>
            <w:r>
              <w:rPr>
                <w:sz w:val="18"/>
              </w:rPr>
              <w:t>随机森林</w:t>
            </w:r>
          </w:p>
        </w:tc>
        <w:tc>
          <w:tcPr>
            <w:tcW w:w="2239" w:type="dxa"/>
            <w:tcBorders>
              <w:top w:val="single" w:sz="12" w:space="0" w:color="000000"/>
              <w:bottom w:val="single" w:sz="6" w:space="0" w:color="000000"/>
            </w:tcBorders>
          </w:tcPr>
          <w:p w14:paraId="489629EF" w14:textId="77777777" w:rsidR="009249CB" w:rsidRDefault="00183FCD">
            <w:pPr>
              <w:jc w:val="center"/>
            </w:pPr>
            <w:r>
              <w:rPr>
                <w:sz w:val="18"/>
              </w:rPr>
              <w:t>XGBoost</w:t>
            </w:r>
          </w:p>
        </w:tc>
      </w:tr>
      <w:tr w:rsidR="009249CB" w14:paraId="2AE78DA4" w14:textId="77777777">
        <w:trPr>
          <w:jc w:val="center"/>
        </w:trPr>
        <w:tc>
          <w:tcPr>
            <w:tcW w:w="2239" w:type="dxa"/>
          </w:tcPr>
          <w:p w14:paraId="257D86F8" w14:textId="77777777" w:rsidR="009249CB" w:rsidRDefault="00183FCD">
            <w:pPr>
              <w:jc w:val="center"/>
            </w:pPr>
            <w:r>
              <w:rPr>
                <w:sz w:val="18"/>
              </w:rPr>
              <w:t>中票</w:t>
            </w:r>
            <w:r>
              <w:rPr>
                <w:sz w:val="18"/>
              </w:rPr>
              <w:t>3Y</w:t>
            </w:r>
          </w:p>
        </w:tc>
        <w:tc>
          <w:tcPr>
            <w:tcW w:w="2239" w:type="dxa"/>
          </w:tcPr>
          <w:p w14:paraId="5BAF8E91" w14:textId="77777777" w:rsidR="009249CB" w:rsidRDefault="00183FCD">
            <w:pPr>
              <w:jc w:val="center"/>
            </w:pPr>
            <w:r>
              <w:rPr>
                <w:sz w:val="18"/>
              </w:rPr>
              <w:t>-0.6333</w:t>
            </w:r>
          </w:p>
        </w:tc>
        <w:tc>
          <w:tcPr>
            <w:tcW w:w="2239" w:type="dxa"/>
          </w:tcPr>
          <w:p w14:paraId="78FD2C89" w14:textId="77777777" w:rsidR="009249CB" w:rsidRDefault="00183FCD">
            <w:pPr>
              <w:jc w:val="center"/>
            </w:pPr>
            <w:r>
              <w:rPr>
                <w:sz w:val="18"/>
              </w:rPr>
              <w:t>0.4313</w:t>
            </w:r>
          </w:p>
        </w:tc>
        <w:tc>
          <w:tcPr>
            <w:tcW w:w="2239" w:type="dxa"/>
          </w:tcPr>
          <w:p w14:paraId="23A27823" w14:textId="77777777" w:rsidR="009249CB" w:rsidRDefault="00183FCD">
            <w:pPr>
              <w:jc w:val="center"/>
            </w:pPr>
            <w:r>
              <w:rPr>
                <w:sz w:val="18"/>
              </w:rPr>
              <w:t>0.3561</w:t>
            </w:r>
          </w:p>
        </w:tc>
      </w:tr>
      <w:tr w:rsidR="009249CB" w14:paraId="7FE0E610" w14:textId="77777777">
        <w:trPr>
          <w:jc w:val="center"/>
        </w:trPr>
        <w:tc>
          <w:tcPr>
            <w:tcW w:w="2239" w:type="dxa"/>
          </w:tcPr>
          <w:p w14:paraId="10318587" w14:textId="77777777" w:rsidR="009249CB" w:rsidRDefault="00183FCD">
            <w:pPr>
              <w:jc w:val="center"/>
            </w:pPr>
            <w:r>
              <w:rPr>
                <w:sz w:val="18"/>
              </w:rPr>
              <w:t>中票</w:t>
            </w:r>
            <w:r>
              <w:rPr>
                <w:sz w:val="18"/>
              </w:rPr>
              <w:t>5Y</w:t>
            </w:r>
          </w:p>
        </w:tc>
        <w:tc>
          <w:tcPr>
            <w:tcW w:w="2239" w:type="dxa"/>
          </w:tcPr>
          <w:p w14:paraId="56DC4151" w14:textId="77777777" w:rsidR="009249CB" w:rsidRDefault="00183FCD">
            <w:pPr>
              <w:jc w:val="center"/>
            </w:pPr>
            <w:r>
              <w:rPr>
                <w:sz w:val="18"/>
              </w:rPr>
              <w:t>0.462</w:t>
            </w:r>
          </w:p>
        </w:tc>
        <w:tc>
          <w:tcPr>
            <w:tcW w:w="2239" w:type="dxa"/>
          </w:tcPr>
          <w:p w14:paraId="5AC29FE2" w14:textId="77777777" w:rsidR="009249CB" w:rsidRDefault="00183FCD">
            <w:pPr>
              <w:jc w:val="center"/>
            </w:pPr>
            <w:r>
              <w:rPr>
                <w:sz w:val="18"/>
              </w:rPr>
              <w:t>-0.4811</w:t>
            </w:r>
          </w:p>
        </w:tc>
        <w:tc>
          <w:tcPr>
            <w:tcW w:w="2239" w:type="dxa"/>
          </w:tcPr>
          <w:p w14:paraId="777C8AAC" w14:textId="77777777" w:rsidR="009249CB" w:rsidRDefault="00183FCD">
            <w:pPr>
              <w:jc w:val="center"/>
            </w:pPr>
            <w:r>
              <w:rPr>
                <w:sz w:val="18"/>
              </w:rPr>
              <w:t>-0.8662</w:t>
            </w:r>
          </w:p>
        </w:tc>
      </w:tr>
      <w:tr w:rsidR="009249CB" w14:paraId="4EAC344F" w14:textId="77777777">
        <w:trPr>
          <w:jc w:val="center"/>
        </w:trPr>
        <w:tc>
          <w:tcPr>
            <w:tcW w:w="2239" w:type="dxa"/>
          </w:tcPr>
          <w:p w14:paraId="71E6DE22" w14:textId="77777777" w:rsidR="009249CB" w:rsidRDefault="00183FCD">
            <w:pPr>
              <w:jc w:val="center"/>
            </w:pPr>
            <w:r>
              <w:rPr>
                <w:sz w:val="18"/>
              </w:rPr>
              <w:t>商行债</w:t>
            </w:r>
            <w:r>
              <w:rPr>
                <w:sz w:val="18"/>
              </w:rPr>
              <w:t>3Y</w:t>
            </w:r>
          </w:p>
        </w:tc>
        <w:tc>
          <w:tcPr>
            <w:tcW w:w="2239" w:type="dxa"/>
          </w:tcPr>
          <w:p w14:paraId="40E4B4F7" w14:textId="77777777" w:rsidR="009249CB" w:rsidRDefault="00183FCD">
            <w:pPr>
              <w:jc w:val="center"/>
            </w:pPr>
            <w:r>
              <w:rPr>
                <w:sz w:val="18"/>
              </w:rPr>
              <w:t>-0.6975</w:t>
            </w:r>
          </w:p>
        </w:tc>
        <w:tc>
          <w:tcPr>
            <w:tcW w:w="2239" w:type="dxa"/>
          </w:tcPr>
          <w:p w14:paraId="20FF2FE3" w14:textId="77777777" w:rsidR="009249CB" w:rsidRDefault="00183FCD">
            <w:pPr>
              <w:jc w:val="center"/>
            </w:pPr>
            <w:r>
              <w:rPr>
                <w:sz w:val="18"/>
              </w:rPr>
              <w:t>0.6854</w:t>
            </w:r>
          </w:p>
        </w:tc>
        <w:tc>
          <w:tcPr>
            <w:tcW w:w="2239" w:type="dxa"/>
          </w:tcPr>
          <w:p w14:paraId="78DCEE3B" w14:textId="77777777" w:rsidR="009249CB" w:rsidRDefault="00183FCD">
            <w:pPr>
              <w:jc w:val="center"/>
            </w:pPr>
            <w:r>
              <w:rPr>
                <w:sz w:val="18"/>
              </w:rPr>
              <w:t>0.6203</w:t>
            </w:r>
          </w:p>
        </w:tc>
      </w:tr>
      <w:tr w:rsidR="009249CB" w14:paraId="534A09E6" w14:textId="77777777">
        <w:trPr>
          <w:jc w:val="center"/>
        </w:trPr>
        <w:tc>
          <w:tcPr>
            <w:tcW w:w="2239" w:type="dxa"/>
            <w:tcBorders>
              <w:bottom w:val="single" w:sz="12" w:space="0" w:color="000000"/>
            </w:tcBorders>
          </w:tcPr>
          <w:p w14:paraId="3F5FA3AD" w14:textId="77777777" w:rsidR="009249CB" w:rsidRDefault="00183FCD">
            <w:pPr>
              <w:jc w:val="center"/>
            </w:pPr>
            <w:r>
              <w:rPr>
                <w:sz w:val="18"/>
              </w:rPr>
              <w:t>商行债</w:t>
            </w:r>
            <w:r>
              <w:rPr>
                <w:sz w:val="18"/>
              </w:rPr>
              <w:t>5Y</w:t>
            </w:r>
          </w:p>
        </w:tc>
        <w:tc>
          <w:tcPr>
            <w:tcW w:w="2239" w:type="dxa"/>
            <w:tcBorders>
              <w:bottom w:val="single" w:sz="12" w:space="0" w:color="000000"/>
            </w:tcBorders>
          </w:tcPr>
          <w:p w14:paraId="5316E9AE" w14:textId="77777777" w:rsidR="009249CB" w:rsidRDefault="00183FCD">
            <w:pPr>
              <w:jc w:val="center"/>
            </w:pPr>
            <w:r>
              <w:rPr>
                <w:sz w:val="18"/>
              </w:rPr>
              <w:t>0.3606</w:t>
            </w:r>
          </w:p>
        </w:tc>
        <w:tc>
          <w:tcPr>
            <w:tcW w:w="2239" w:type="dxa"/>
            <w:tcBorders>
              <w:bottom w:val="single" w:sz="12" w:space="0" w:color="000000"/>
            </w:tcBorders>
          </w:tcPr>
          <w:p w14:paraId="310F9D24" w14:textId="77777777" w:rsidR="009249CB" w:rsidRDefault="00183FCD">
            <w:pPr>
              <w:jc w:val="center"/>
            </w:pPr>
            <w:r>
              <w:rPr>
                <w:sz w:val="18"/>
              </w:rPr>
              <w:t>-0.3541</w:t>
            </w:r>
          </w:p>
        </w:tc>
        <w:tc>
          <w:tcPr>
            <w:tcW w:w="2239" w:type="dxa"/>
            <w:tcBorders>
              <w:bottom w:val="single" w:sz="12" w:space="0" w:color="000000"/>
            </w:tcBorders>
          </w:tcPr>
          <w:p w14:paraId="3F0C3B41" w14:textId="77777777" w:rsidR="009249CB" w:rsidRDefault="00183FCD">
            <w:pPr>
              <w:jc w:val="center"/>
            </w:pPr>
            <w:r>
              <w:rPr>
                <w:sz w:val="18"/>
              </w:rPr>
              <w:t>-1.1169</w:t>
            </w:r>
          </w:p>
        </w:tc>
      </w:tr>
    </w:tbl>
    <w:p w14:paraId="5A6A9BDD" w14:textId="77777777" w:rsidR="009249CB" w:rsidRDefault="00183FCD">
      <w:pPr>
        <w:spacing w:before="60"/>
        <w:jc w:val="center"/>
      </w:pPr>
      <w:r>
        <w:rPr>
          <w:rFonts w:eastAsia="黑体"/>
          <w:sz w:val="18"/>
        </w:rPr>
        <w:t>表</w:t>
      </w:r>
      <w:r>
        <w:rPr>
          <w:rFonts w:eastAsia="黑体"/>
          <w:sz w:val="18"/>
        </w:rPr>
        <w:t>2</w:t>
      </w:r>
      <w:r>
        <w:rPr>
          <w:rFonts w:eastAsia="黑体"/>
          <w:sz w:val="18"/>
        </w:rPr>
        <w:t xml:space="preserve">　三种模型的测试集</w:t>
      </w:r>
      <w:r>
        <w:rPr>
          <w:rFonts w:eastAsia="黑体"/>
          <w:sz w:val="18"/>
        </w:rPr>
        <w:t>R²</w:t>
      </w:r>
      <w:r>
        <w:rPr>
          <w:rFonts w:eastAsia="黑体"/>
          <w:sz w:val="18"/>
        </w:rPr>
        <w:t>对比</w:t>
      </w:r>
    </w:p>
    <w:p w14:paraId="46EA48EC" w14:textId="77777777" w:rsidR="009249CB" w:rsidRDefault="00183FCD">
      <w:pPr>
        <w:jc w:val="center"/>
      </w:pPr>
      <w:r>
        <w:rPr>
          <w:noProof/>
        </w:rPr>
        <w:drawing>
          <wp:inline distT="0" distB="0" distL="0" distR="0" wp14:anchorId="6BE68D6A" wp14:editId="06CC0277">
            <wp:extent cx="5040000" cy="3495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odel_performance.png"/>
                    <pic:cNvPicPr/>
                  </pic:nvPicPr>
                  <pic:blipFill>
                    <a:blip r:embed="rId9"/>
                    <a:stretch>
                      <a:fillRect/>
                    </a:stretch>
                  </pic:blipFill>
                  <pic:spPr>
                    <a:xfrm>
                      <a:off x="0" y="0"/>
                      <a:ext cx="5040000" cy="3495398"/>
                    </a:xfrm>
                    <a:prstGeom prst="rect">
                      <a:avLst/>
                    </a:prstGeom>
                  </pic:spPr>
                </pic:pic>
              </a:graphicData>
            </a:graphic>
          </wp:inline>
        </w:drawing>
      </w:r>
    </w:p>
    <w:p w14:paraId="24FC6532" w14:textId="77777777" w:rsidR="009249CB" w:rsidRDefault="00183FCD">
      <w:pPr>
        <w:spacing w:before="60"/>
        <w:jc w:val="center"/>
      </w:pPr>
      <w:r>
        <w:rPr>
          <w:rFonts w:eastAsia="黑体"/>
          <w:sz w:val="18"/>
        </w:rPr>
        <w:t>图</w:t>
      </w:r>
      <w:r>
        <w:rPr>
          <w:rFonts w:eastAsia="黑体"/>
          <w:sz w:val="18"/>
        </w:rPr>
        <w:t>2</w:t>
      </w:r>
      <w:r>
        <w:rPr>
          <w:rFonts w:eastAsia="黑体"/>
          <w:sz w:val="18"/>
        </w:rPr>
        <w:t xml:space="preserve">　三种模型的测试集</w:t>
      </w:r>
      <w:r>
        <w:rPr>
          <w:rFonts w:eastAsia="黑体"/>
          <w:sz w:val="18"/>
        </w:rPr>
        <w:t>R²</w:t>
      </w:r>
      <w:r>
        <w:rPr>
          <w:rFonts w:eastAsia="黑体"/>
          <w:sz w:val="18"/>
        </w:rPr>
        <w:t>对比</w:t>
      </w:r>
    </w:p>
    <w:p w14:paraId="01C2F261" w14:textId="77777777" w:rsidR="009249CB" w:rsidRDefault="00183FCD">
      <w:pPr>
        <w:spacing w:after="40" w:line="360" w:lineRule="auto"/>
        <w:ind w:firstLine="420"/>
      </w:pPr>
      <w:r>
        <w:t>5</w:t>
      </w:r>
      <w:r>
        <w:t>年期利差的结果恰好相反：中票</w:t>
      </w:r>
      <w:r>
        <w:t>5Y</w:t>
      </w:r>
      <w:r>
        <w:t>的</w:t>
      </w:r>
      <w:r>
        <w:t>OLS R²</w:t>
      </w:r>
      <w:r>
        <w:t>为</w:t>
      </w:r>
      <w:r>
        <w:t>0.46</w:t>
      </w:r>
      <w:r>
        <w:t>，两个树模型均为负。原因可能是</w:t>
      </w:r>
      <w:r>
        <w:t>5Y</w:t>
      </w:r>
      <w:r>
        <w:t>利差在测试窗内波动极低、长期贴水运行，序列近似单位根，树模型在训练期学到的非线性结构到测试期发生了漂移，而</w:t>
      </w:r>
      <w:r>
        <w:t>OLS</w:t>
      </w:r>
      <w:r>
        <w:t>对线性趋势的拟合恰好适应了这一区间。这意味着利差驱动机制的有效性随期限而变：</w:t>
      </w:r>
      <w:r>
        <w:t>3Y</w:t>
      </w:r>
      <w:r>
        <w:t>利差承载了更多流动性敏感信息（短端资金面与交易盘行为），非线性结构显著；</w:t>
      </w:r>
      <w:r>
        <w:t>5Y</w:t>
      </w:r>
      <w:r>
        <w:t>利差更多跟随利率曲线的整体位移，机制更接近线性且不稳定。实务中对不同期限的利差宜分别建模。</w:t>
      </w:r>
    </w:p>
    <w:p w14:paraId="2ED92418" w14:textId="77777777" w:rsidR="009249CB" w:rsidRDefault="00183FCD">
      <w:pPr>
        <w:spacing w:before="120" w:after="60"/>
      </w:pPr>
      <w:r>
        <w:rPr>
          <w:rFonts w:eastAsia="仿宋"/>
          <w:b/>
        </w:rPr>
        <w:t>（二）</w:t>
      </w:r>
      <w:r>
        <w:rPr>
          <w:rFonts w:eastAsia="仿宋"/>
          <w:b/>
        </w:rPr>
        <w:t>SHAP</w:t>
      </w:r>
      <w:r>
        <w:rPr>
          <w:rFonts w:eastAsia="仿宋"/>
          <w:b/>
        </w:rPr>
        <w:t>特征贡献分解：自回归与流动性双主导</w:t>
      </w:r>
    </w:p>
    <w:p w14:paraId="5B4A70AE" w14:textId="77777777" w:rsidR="009249CB" w:rsidRDefault="00183FCD">
      <w:pPr>
        <w:spacing w:after="40" w:line="360" w:lineRule="auto"/>
        <w:ind w:firstLine="420"/>
      </w:pPr>
      <w:r>
        <w:t>图</w:t>
      </w:r>
      <w:r>
        <w:t>3</w:t>
      </w:r>
      <w:r>
        <w:t>是中票</w:t>
      </w:r>
      <w:r>
        <w:t>3Y</w:t>
      </w:r>
      <w:r>
        <w:t>利差</w:t>
      </w:r>
      <w:r>
        <w:t>XGBoost</w:t>
      </w:r>
      <w:r>
        <w:t>模型的</w:t>
      </w:r>
      <w:r>
        <w:t>SHAP</w:t>
      </w:r>
      <w:r>
        <w:t>重要性排序（平均绝对</w:t>
      </w:r>
      <w:r>
        <w:t>SHAP</w:t>
      </w:r>
      <w:r>
        <w:t>值）。利差自身滞后</w:t>
      </w:r>
      <w:r>
        <w:t>1</w:t>
      </w:r>
      <w:r>
        <w:t>周（</w:t>
      </w:r>
      <w:r>
        <w:t>lag_1</w:t>
      </w:r>
      <w:r>
        <w:t>）以</w:t>
      </w:r>
      <w:r>
        <w:t>0.269</w:t>
      </w:r>
      <w:r>
        <w:t>居首，约为第二名</w:t>
      </w:r>
      <w:r>
        <w:t>SHIBOR 3M</w:t>
      </w:r>
      <w:r>
        <w:t>（</w:t>
      </w:r>
      <w:r>
        <w:t>0.089</w:t>
      </w:r>
      <w:r>
        <w:t>）的三倍；</w:t>
      </w:r>
      <w:r>
        <w:t>10</w:t>
      </w:r>
      <w:r>
        <w:t>年期国债收益率水平（</w:t>
      </w:r>
      <w:r>
        <w:t>0.011</w:t>
      </w:r>
      <w:r>
        <w:t>）列第三，滞后</w:t>
      </w:r>
      <w:r>
        <w:t>2—4</w:t>
      </w:r>
      <w:r>
        <w:t>周、</w:t>
      </w:r>
      <w:r>
        <w:t>PPI</w:t>
      </w:r>
      <w:r>
        <w:t>、期限利差、社融等其余特征均低于</w:t>
      </w:r>
      <w:r>
        <w:t>0.01</w:t>
      </w:r>
      <w:r>
        <w:t>。商行债</w:t>
      </w:r>
      <w:r>
        <w:t>3Y</w:t>
      </w:r>
      <w:r>
        <w:t>的结构类似，前两位同样是</w:t>
      </w:r>
      <w:r>
        <w:t>lag_1</w:t>
      </w:r>
      <w:r>
        <w:t>（</w:t>
      </w:r>
      <w:r>
        <w:t>0.263</w:t>
      </w:r>
      <w:r>
        <w:t>）与</w:t>
      </w:r>
      <w:r>
        <w:t>SHIBOR 3M</w:t>
      </w:r>
      <w:r>
        <w:t>（</w:t>
      </w:r>
      <w:r>
        <w:t>0.026</w:t>
      </w:r>
      <w:r>
        <w:t>）。</w:t>
      </w:r>
    </w:p>
    <w:p w14:paraId="51D1AA63" w14:textId="77777777" w:rsidR="009249CB" w:rsidRDefault="00183FCD">
      <w:pPr>
        <w:jc w:val="center"/>
      </w:pPr>
      <w:r>
        <w:rPr>
          <w:noProof/>
        </w:rPr>
        <w:drawing>
          <wp:inline distT="0" distB="0" distL="0" distR="0" wp14:anchorId="5B873285" wp14:editId="6CAA075C">
            <wp:extent cx="5040000" cy="3300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_cp_3y.png"/>
                    <pic:cNvPicPr/>
                  </pic:nvPicPr>
                  <pic:blipFill>
                    <a:blip r:embed="rId10"/>
                    <a:stretch>
                      <a:fillRect/>
                    </a:stretch>
                  </pic:blipFill>
                  <pic:spPr>
                    <a:xfrm>
                      <a:off x="0" y="0"/>
                      <a:ext cx="5040000" cy="3300448"/>
                    </a:xfrm>
                    <a:prstGeom prst="rect">
                      <a:avLst/>
                    </a:prstGeom>
                  </pic:spPr>
                </pic:pic>
              </a:graphicData>
            </a:graphic>
          </wp:inline>
        </w:drawing>
      </w:r>
    </w:p>
    <w:p w14:paraId="7382765F" w14:textId="77777777" w:rsidR="009249CB" w:rsidRDefault="00183FCD">
      <w:pPr>
        <w:spacing w:before="60"/>
        <w:jc w:val="center"/>
      </w:pPr>
      <w:r>
        <w:rPr>
          <w:rFonts w:eastAsia="黑体"/>
          <w:sz w:val="18"/>
        </w:rPr>
        <w:t>图</w:t>
      </w:r>
      <w:r>
        <w:rPr>
          <w:rFonts w:eastAsia="黑体"/>
          <w:sz w:val="18"/>
        </w:rPr>
        <w:t>3</w:t>
      </w:r>
      <w:r>
        <w:rPr>
          <w:rFonts w:eastAsia="黑体"/>
          <w:sz w:val="18"/>
        </w:rPr>
        <w:t xml:space="preserve">　中票</w:t>
      </w:r>
      <w:r>
        <w:rPr>
          <w:rFonts w:eastAsia="黑体"/>
          <w:sz w:val="18"/>
        </w:rPr>
        <w:t>3Y</w:t>
      </w:r>
      <w:r>
        <w:rPr>
          <w:rFonts w:eastAsia="黑体"/>
          <w:sz w:val="18"/>
        </w:rPr>
        <w:t>利差</w:t>
      </w:r>
      <w:r>
        <w:rPr>
          <w:rFonts w:eastAsia="黑体"/>
          <w:sz w:val="18"/>
        </w:rPr>
        <w:t>SHAP</w:t>
      </w:r>
      <w:r>
        <w:rPr>
          <w:rFonts w:eastAsia="黑体"/>
          <w:sz w:val="18"/>
        </w:rPr>
        <w:t>特征重要性</w:t>
      </w:r>
    </w:p>
    <w:p w14:paraId="6F04159E" w14:textId="77777777" w:rsidR="009249CB" w:rsidRDefault="00183FCD">
      <w:pPr>
        <w:jc w:val="center"/>
      </w:pPr>
      <w:r>
        <w:rPr>
          <w:noProof/>
        </w:rPr>
        <w:drawing>
          <wp:inline distT="0" distB="0" distL="0" distR="0" wp14:anchorId="51E9359A" wp14:editId="7ABA4569">
            <wp:extent cx="5040000" cy="37691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ross_spread_shap.png"/>
                    <pic:cNvPicPr/>
                  </pic:nvPicPr>
                  <pic:blipFill>
                    <a:blip r:embed="rId11"/>
                    <a:stretch>
                      <a:fillRect/>
                    </a:stretch>
                  </pic:blipFill>
                  <pic:spPr>
                    <a:xfrm>
                      <a:off x="0" y="0"/>
                      <a:ext cx="5040000" cy="3769157"/>
                    </a:xfrm>
                    <a:prstGeom prst="rect">
                      <a:avLst/>
                    </a:prstGeom>
                  </pic:spPr>
                </pic:pic>
              </a:graphicData>
            </a:graphic>
          </wp:inline>
        </w:drawing>
      </w:r>
    </w:p>
    <w:p w14:paraId="0ABE3906" w14:textId="77777777" w:rsidR="009249CB" w:rsidRDefault="00183FCD">
      <w:pPr>
        <w:spacing w:before="60"/>
        <w:jc w:val="center"/>
      </w:pPr>
      <w:r>
        <w:rPr>
          <w:rFonts w:eastAsia="黑体"/>
          <w:sz w:val="18"/>
        </w:rPr>
        <w:t>图</w:t>
      </w:r>
      <w:r>
        <w:rPr>
          <w:rFonts w:eastAsia="黑体"/>
          <w:sz w:val="18"/>
        </w:rPr>
        <w:t>4</w:t>
      </w:r>
      <w:r>
        <w:rPr>
          <w:rFonts w:eastAsia="黑体"/>
          <w:sz w:val="18"/>
        </w:rPr>
        <w:t xml:space="preserve">　四组利差</w:t>
      </w:r>
      <w:r>
        <w:rPr>
          <w:rFonts w:eastAsia="黑体"/>
          <w:sz w:val="18"/>
        </w:rPr>
        <w:t>SHAP</w:t>
      </w:r>
      <w:r>
        <w:rPr>
          <w:rFonts w:eastAsia="黑体"/>
          <w:sz w:val="18"/>
        </w:rPr>
        <w:t>特征重要性对比</w:t>
      </w:r>
    </w:p>
    <w:p w14:paraId="3E9E60F0" w14:textId="77777777" w:rsidR="009249CB" w:rsidRDefault="00183FCD">
      <w:pPr>
        <w:spacing w:after="40" w:line="360" w:lineRule="auto"/>
        <w:ind w:firstLine="420"/>
      </w:pPr>
      <w:r>
        <w:t>这一排序的经济含义比较清楚。</w:t>
      </w:r>
      <w:r>
        <w:t>lag_1</w:t>
      </w:r>
      <w:r>
        <w:t>主导说明利差在周度频率上惯性很强，延续性远强于对外生冲击的即时反应，这与利差序列的平滑性和机构行为的路径依赖一致。</w:t>
      </w:r>
      <w:r>
        <w:t>SHIBOR 3M</w:t>
      </w:r>
      <w:r>
        <w:t>列第二，与纪志宏和曹媛媛（</w:t>
      </w:r>
      <w:r>
        <w:t>2017</w:t>
      </w:r>
      <w:r>
        <w:t>）以及</w:t>
      </w:r>
      <w:r>
        <w:t>Huang</w:t>
      </w:r>
      <w:r>
        <w:t>、</w:t>
      </w:r>
      <w:r>
        <w:t>Liu</w:t>
      </w:r>
      <w:r>
        <w:t>和</w:t>
      </w:r>
      <w:r>
        <w:t>Shi</w:t>
      </w:r>
      <w:r>
        <w:t>（</w:t>
      </w:r>
      <w:r>
        <w:t>2023</w:t>
      </w:r>
      <w:r>
        <w:t>）关于流动性溢价主导中国信用债定价的结论相符：在周度设定下，资金面是利差自身惯性之外最重要的驱动因素。</w:t>
      </w:r>
      <w:r>
        <w:t>CPI</w:t>
      </w:r>
      <w:r>
        <w:t>、</w:t>
      </w:r>
      <w:r>
        <w:t>PPI</w:t>
      </w:r>
      <w:r>
        <w:t>、</w:t>
      </w:r>
      <w:r>
        <w:t>PMI</w:t>
      </w:r>
      <w:r>
        <w:t>、</w:t>
      </w:r>
      <w:r>
        <w:t>M2</w:t>
      </w:r>
      <w:r>
        <w:t>的贡献都很弱，呼应</w:t>
      </w:r>
      <w:r>
        <w:t>Collin-Dufresne</w:t>
      </w:r>
      <w:r>
        <w:t>等（</w:t>
      </w:r>
      <w:r>
        <w:t>2001</w:t>
      </w:r>
      <w:r>
        <w:t>）的经典发现</w:t>
      </w:r>
      <w:r>
        <w:t>——</w:t>
      </w:r>
      <w:r>
        <w:t>宏观基本面难以解释利差的高频变动，利差波动更多由市场层面的共同因子驱动。</w:t>
      </w:r>
      <w:r>
        <w:t>H2</w:t>
      </w:r>
      <w:r>
        <w:t>得到支持。</w:t>
      </w:r>
    </w:p>
    <w:p w14:paraId="5CF9B525" w14:textId="77777777" w:rsidR="009249CB" w:rsidRDefault="00183FCD">
      <w:pPr>
        <w:spacing w:after="40" w:line="360" w:lineRule="auto"/>
        <w:ind w:firstLine="420"/>
      </w:pPr>
      <w:r>
        <w:t>图</w:t>
      </w:r>
      <w:r>
        <w:t>4</w:t>
      </w:r>
      <w:r>
        <w:t>的品种间对比还显示，流动性变量在商行债上的重要性明显弱于中票。一个可能的解释是投资者结构不同：中票的定价权更多在交易型机构手中，对资金面变化高度敏感；商行债的持有者以银行自营与配置盘为主，交易频率低，利差对流动性的即时反应相对钝化。这一差异间接反映了</w:t>
      </w:r>
      <w:r>
        <w:t>"</w:t>
      </w:r>
      <w:r>
        <w:t>谁在交易信用债</w:t>
      </w:r>
      <w:r>
        <w:t>"</w:t>
      </w:r>
      <w:r>
        <w:t>，也提示监管在监测流动性风险时应更关注交易属性强的品种。</w:t>
      </w:r>
    </w:p>
    <w:p w14:paraId="72A74419" w14:textId="77777777" w:rsidR="009249CB" w:rsidRDefault="00183FCD">
      <w:pPr>
        <w:spacing w:before="120" w:after="60"/>
      </w:pPr>
      <w:r>
        <w:rPr>
          <w:rFonts w:eastAsia="仿宋"/>
          <w:b/>
        </w:rPr>
        <w:t>（三）样本外滚动预测：显著优于随机游走</w:t>
      </w:r>
    </w:p>
    <w:p w14:paraId="15EC765C" w14:textId="77777777" w:rsidR="009249CB" w:rsidRDefault="00183FCD">
      <w:pPr>
        <w:spacing w:after="40" w:line="360" w:lineRule="auto"/>
        <w:ind w:firstLine="420"/>
      </w:pPr>
      <w:r>
        <w:t>表</w:t>
      </w:r>
      <w:r>
        <w:t>3</w:t>
      </w:r>
      <w:r>
        <w:t>报告了</w:t>
      </w:r>
      <w:r>
        <w:t>expanding-window</w:t>
      </w:r>
      <w:r>
        <w:t>滚动预测的评估结果。四条利差的</w:t>
      </w:r>
      <w:r>
        <w:t>XGBoost</w:t>
      </w:r>
      <w:r>
        <w:t>预测</w:t>
      </w:r>
      <w:r>
        <w:t>RMSE</w:t>
      </w:r>
      <w:r>
        <w:t>均低于随机游走，改善幅度在</w:t>
      </w:r>
      <w:r>
        <w:t>9.1%—25.4%</w:t>
      </w:r>
      <w:r>
        <w:t>之间：中票</w:t>
      </w:r>
      <w:r>
        <w:t>3Y</w:t>
      </w:r>
      <w:r>
        <w:t>从</w:t>
      </w:r>
      <w:r>
        <w:t>0.0827</w:t>
      </w:r>
      <w:r>
        <w:t>降至</w:t>
      </w:r>
      <w:r>
        <w:t>0.0617</w:t>
      </w:r>
      <w:r>
        <w:t>，改善</w:t>
      </w:r>
      <w:r>
        <w:t>25.4%</w:t>
      </w:r>
      <w:r>
        <w:t>；中票</w:t>
      </w:r>
      <w:r>
        <w:t>5Y</w:t>
      </w:r>
      <w:r>
        <w:t>改善</w:t>
      </w:r>
      <w:r>
        <w:t>17.8%</w:t>
      </w:r>
      <w:r>
        <w:t>；商行债</w:t>
      </w:r>
      <w:r>
        <w:t>3Y</w:t>
      </w:r>
      <w:r>
        <w:t>改善</w:t>
      </w:r>
      <w:r>
        <w:t>17.0%</w:t>
      </w:r>
      <w:r>
        <w:t>；商行债</w:t>
      </w:r>
      <w:r>
        <w:t>5Y</w:t>
      </w:r>
      <w:r>
        <w:t>改善</w:t>
      </w:r>
      <w:r>
        <w:t>9.1%</w:t>
      </w:r>
      <w:r>
        <w:t>。</w:t>
      </w:r>
      <w:r>
        <w:t>MAE</w:t>
      </w:r>
      <w:r>
        <w:t>的改进方向一致。方向准确率方面，中票</w:t>
      </w:r>
      <w:r>
        <w:t>5Y</w:t>
      </w:r>
      <w:r>
        <w:t>为</w:t>
      </w:r>
      <w:r>
        <w:t>54.9%</w:t>
      </w:r>
      <w:r>
        <w:t>，其余三条利差在</w:t>
      </w:r>
      <w:r>
        <w:t>46%—49%</w:t>
      </w:r>
      <w:r>
        <w:t>之间。</w:t>
      </w:r>
      <w:r>
        <w:t>H3</w:t>
      </w:r>
      <w:r>
        <w:t>得到支持：在无泄漏的样本外设定下，模型对随机游走有稳定的预测增量，且这一增量在不同品种与期限上稳健存在。</w:t>
      </w:r>
    </w:p>
    <w:tbl>
      <w:tblPr>
        <w:tblW w:w="0" w:type="auto"/>
        <w:jc w:val="center"/>
        <w:tblLook w:val="04A0" w:firstRow="1" w:lastRow="0" w:firstColumn="1" w:lastColumn="0" w:noHBand="0" w:noVBand="1"/>
      </w:tblPr>
      <w:tblGrid>
        <w:gridCol w:w="1493"/>
        <w:gridCol w:w="1493"/>
        <w:gridCol w:w="1493"/>
        <w:gridCol w:w="1493"/>
        <w:gridCol w:w="1493"/>
        <w:gridCol w:w="1493"/>
      </w:tblGrid>
      <w:tr w:rsidR="009249CB" w14:paraId="78EBDB3D" w14:textId="77777777">
        <w:trPr>
          <w:jc w:val="center"/>
        </w:trPr>
        <w:tc>
          <w:tcPr>
            <w:tcW w:w="1493" w:type="dxa"/>
            <w:tcBorders>
              <w:top w:val="single" w:sz="12" w:space="0" w:color="000000"/>
              <w:bottom w:val="single" w:sz="6" w:space="0" w:color="000000"/>
            </w:tcBorders>
          </w:tcPr>
          <w:p w14:paraId="2B8563E4" w14:textId="77777777" w:rsidR="009249CB" w:rsidRDefault="00183FCD">
            <w:pPr>
              <w:jc w:val="center"/>
            </w:pPr>
            <w:r>
              <w:rPr>
                <w:sz w:val="18"/>
              </w:rPr>
              <w:t>品种</w:t>
            </w:r>
          </w:p>
        </w:tc>
        <w:tc>
          <w:tcPr>
            <w:tcW w:w="1493" w:type="dxa"/>
            <w:tcBorders>
              <w:top w:val="single" w:sz="12" w:space="0" w:color="000000"/>
              <w:bottom w:val="single" w:sz="6" w:space="0" w:color="000000"/>
            </w:tcBorders>
          </w:tcPr>
          <w:p w14:paraId="3755EBB5" w14:textId="77777777" w:rsidR="009249CB" w:rsidRDefault="00183FCD">
            <w:pPr>
              <w:jc w:val="center"/>
            </w:pPr>
            <w:r>
              <w:rPr>
                <w:sz w:val="18"/>
              </w:rPr>
              <w:t>RMSE</w:t>
            </w:r>
          </w:p>
        </w:tc>
        <w:tc>
          <w:tcPr>
            <w:tcW w:w="1493" w:type="dxa"/>
            <w:tcBorders>
              <w:top w:val="single" w:sz="12" w:space="0" w:color="000000"/>
              <w:bottom w:val="single" w:sz="6" w:space="0" w:color="000000"/>
            </w:tcBorders>
          </w:tcPr>
          <w:p w14:paraId="76405C56" w14:textId="77777777" w:rsidR="009249CB" w:rsidRDefault="00183FCD">
            <w:pPr>
              <w:jc w:val="center"/>
            </w:pPr>
            <w:r>
              <w:rPr>
                <w:sz w:val="18"/>
              </w:rPr>
              <w:t>MAE</w:t>
            </w:r>
          </w:p>
        </w:tc>
        <w:tc>
          <w:tcPr>
            <w:tcW w:w="1493" w:type="dxa"/>
            <w:tcBorders>
              <w:top w:val="single" w:sz="12" w:space="0" w:color="000000"/>
              <w:bottom w:val="single" w:sz="6" w:space="0" w:color="000000"/>
            </w:tcBorders>
          </w:tcPr>
          <w:p w14:paraId="1E234A6D" w14:textId="77777777" w:rsidR="009249CB" w:rsidRDefault="00183FCD">
            <w:pPr>
              <w:jc w:val="center"/>
            </w:pPr>
            <w:r>
              <w:rPr>
                <w:sz w:val="18"/>
              </w:rPr>
              <w:t>方向准确率</w:t>
            </w:r>
          </w:p>
        </w:tc>
        <w:tc>
          <w:tcPr>
            <w:tcW w:w="1493" w:type="dxa"/>
            <w:tcBorders>
              <w:top w:val="single" w:sz="12" w:space="0" w:color="000000"/>
              <w:bottom w:val="single" w:sz="6" w:space="0" w:color="000000"/>
            </w:tcBorders>
          </w:tcPr>
          <w:p w14:paraId="4AEB02C0" w14:textId="77777777" w:rsidR="009249CB" w:rsidRDefault="00183FCD">
            <w:pPr>
              <w:jc w:val="center"/>
            </w:pPr>
            <w:r>
              <w:rPr>
                <w:sz w:val="18"/>
              </w:rPr>
              <w:t>随机游走</w:t>
            </w:r>
            <w:r>
              <w:rPr>
                <w:sz w:val="18"/>
              </w:rPr>
              <w:t>RMSE</w:t>
            </w:r>
          </w:p>
        </w:tc>
        <w:tc>
          <w:tcPr>
            <w:tcW w:w="1493" w:type="dxa"/>
            <w:tcBorders>
              <w:top w:val="single" w:sz="12" w:space="0" w:color="000000"/>
              <w:bottom w:val="single" w:sz="6" w:space="0" w:color="000000"/>
            </w:tcBorders>
          </w:tcPr>
          <w:p w14:paraId="34D560B5" w14:textId="77777777" w:rsidR="009249CB" w:rsidRDefault="00183FCD">
            <w:pPr>
              <w:jc w:val="center"/>
            </w:pPr>
            <w:r>
              <w:rPr>
                <w:sz w:val="18"/>
              </w:rPr>
              <w:t>RMSE</w:t>
            </w:r>
            <w:r>
              <w:rPr>
                <w:sz w:val="18"/>
              </w:rPr>
              <w:t>改进</w:t>
            </w:r>
            <w:r>
              <w:rPr>
                <w:sz w:val="18"/>
              </w:rPr>
              <w:t>%</w:t>
            </w:r>
          </w:p>
        </w:tc>
      </w:tr>
      <w:tr w:rsidR="009249CB" w14:paraId="24C7CB2F" w14:textId="77777777">
        <w:trPr>
          <w:jc w:val="center"/>
        </w:trPr>
        <w:tc>
          <w:tcPr>
            <w:tcW w:w="1493" w:type="dxa"/>
          </w:tcPr>
          <w:p w14:paraId="0B46AB0D" w14:textId="77777777" w:rsidR="009249CB" w:rsidRDefault="00183FCD">
            <w:pPr>
              <w:jc w:val="center"/>
            </w:pPr>
            <w:r>
              <w:rPr>
                <w:sz w:val="18"/>
              </w:rPr>
              <w:t>中票</w:t>
            </w:r>
            <w:r>
              <w:rPr>
                <w:sz w:val="18"/>
              </w:rPr>
              <w:t>3Y</w:t>
            </w:r>
          </w:p>
        </w:tc>
        <w:tc>
          <w:tcPr>
            <w:tcW w:w="1493" w:type="dxa"/>
          </w:tcPr>
          <w:p w14:paraId="311CB6D0" w14:textId="77777777" w:rsidR="009249CB" w:rsidRDefault="00183FCD">
            <w:pPr>
              <w:jc w:val="center"/>
            </w:pPr>
            <w:r>
              <w:rPr>
                <w:sz w:val="18"/>
              </w:rPr>
              <w:t>0.0617</w:t>
            </w:r>
          </w:p>
        </w:tc>
        <w:tc>
          <w:tcPr>
            <w:tcW w:w="1493" w:type="dxa"/>
          </w:tcPr>
          <w:p w14:paraId="359E2008" w14:textId="77777777" w:rsidR="009249CB" w:rsidRDefault="00183FCD">
            <w:pPr>
              <w:jc w:val="center"/>
            </w:pPr>
            <w:r>
              <w:rPr>
                <w:sz w:val="18"/>
              </w:rPr>
              <w:t>0.0463</w:t>
            </w:r>
          </w:p>
        </w:tc>
        <w:tc>
          <w:tcPr>
            <w:tcW w:w="1493" w:type="dxa"/>
          </w:tcPr>
          <w:p w14:paraId="0E3F9DEA" w14:textId="77777777" w:rsidR="009249CB" w:rsidRDefault="00183FCD">
            <w:pPr>
              <w:jc w:val="center"/>
            </w:pPr>
            <w:r>
              <w:rPr>
                <w:sz w:val="18"/>
              </w:rPr>
              <w:t>48.5%</w:t>
            </w:r>
          </w:p>
        </w:tc>
        <w:tc>
          <w:tcPr>
            <w:tcW w:w="1493" w:type="dxa"/>
          </w:tcPr>
          <w:p w14:paraId="3999C6AA" w14:textId="77777777" w:rsidR="009249CB" w:rsidRDefault="00183FCD">
            <w:pPr>
              <w:jc w:val="center"/>
            </w:pPr>
            <w:r>
              <w:rPr>
                <w:sz w:val="18"/>
              </w:rPr>
              <w:t>0.0827</w:t>
            </w:r>
          </w:p>
        </w:tc>
        <w:tc>
          <w:tcPr>
            <w:tcW w:w="1493" w:type="dxa"/>
          </w:tcPr>
          <w:p w14:paraId="5B674B7C" w14:textId="77777777" w:rsidR="009249CB" w:rsidRDefault="00183FCD">
            <w:pPr>
              <w:jc w:val="center"/>
            </w:pPr>
            <w:r>
              <w:rPr>
                <w:sz w:val="18"/>
              </w:rPr>
              <w:t>25.4%</w:t>
            </w:r>
          </w:p>
        </w:tc>
      </w:tr>
      <w:tr w:rsidR="009249CB" w14:paraId="6E6B9AF5" w14:textId="77777777">
        <w:trPr>
          <w:jc w:val="center"/>
        </w:trPr>
        <w:tc>
          <w:tcPr>
            <w:tcW w:w="1493" w:type="dxa"/>
          </w:tcPr>
          <w:p w14:paraId="1FCA9C93" w14:textId="77777777" w:rsidR="009249CB" w:rsidRDefault="00183FCD">
            <w:pPr>
              <w:jc w:val="center"/>
            </w:pPr>
            <w:r>
              <w:rPr>
                <w:sz w:val="18"/>
              </w:rPr>
              <w:t>中票</w:t>
            </w:r>
            <w:r>
              <w:rPr>
                <w:sz w:val="18"/>
              </w:rPr>
              <w:t>5Y</w:t>
            </w:r>
          </w:p>
        </w:tc>
        <w:tc>
          <w:tcPr>
            <w:tcW w:w="1493" w:type="dxa"/>
          </w:tcPr>
          <w:p w14:paraId="3AE5665B" w14:textId="77777777" w:rsidR="009249CB" w:rsidRDefault="00183FCD">
            <w:pPr>
              <w:jc w:val="center"/>
            </w:pPr>
            <w:r>
              <w:rPr>
                <w:sz w:val="18"/>
              </w:rPr>
              <w:t>0.0531</w:t>
            </w:r>
          </w:p>
        </w:tc>
        <w:tc>
          <w:tcPr>
            <w:tcW w:w="1493" w:type="dxa"/>
          </w:tcPr>
          <w:p w14:paraId="0D947852" w14:textId="77777777" w:rsidR="009249CB" w:rsidRDefault="00183FCD">
            <w:pPr>
              <w:jc w:val="center"/>
            </w:pPr>
            <w:r>
              <w:rPr>
                <w:sz w:val="18"/>
              </w:rPr>
              <w:t>0.0405</w:t>
            </w:r>
          </w:p>
        </w:tc>
        <w:tc>
          <w:tcPr>
            <w:tcW w:w="1493" w:type="dxa"/>
          </w:tcPr>
          <w:p w14:paraId="13D88B4D" w14:textId="77777777" w:rsidR="009249CB" w:rsidRDefault="00183FCD">
            <w:pPr>
              <w:jc w:val="center"/>
            </w:pPr>
            <w:r>
              <w:rPr>
                <w:sz w:val="18"/>
              </w:rPr>
              <w:t>54.9%</w:t>
            </w:r>
          </w:p>
        </w:tc>
        <w:tc>
          <w:tcPr>
            <w:tcW w:w="1493" w:type="dxa"/>
          </w:tcPr>
          <w:p w14:paraId="7564D493" w14:textId="77777777" w:rsidR="009249CB" w:rsidRDefault="00183FCD">
            <w:pPr>
              <w:jc w:val="center"/>
            </w:pPr>
            <w:r>
              <w:rPr>
                <w:sz w:val="18"/>
              </w:rPr>
              <w:t>0.0646</w:t>
            </w:r>
          </w:p>
        </w:tc>
        <w:tc>
          <w:tcPr>
            <w:tcW w:w="1493" w:type="dxa"/>
          </w:tcPr>
          <w:p w14:paraId="383BEFCF" w14:textId="77777777" w:rsidR="009249CB" w:rsidRDefault="00183FCD">
            <w:pPr>
              <w:jc w:val="center"/>
            </w:pPr>
            <w:r>
              <w:rPr>
                <w:sz w:val="18"/>
              </w:rPr>
              <w:t>17.8%</w:t>
            </w:r>
          </w:p>
        </w:tc>
      </w:tr>
      <w:tr w:rsidR="009249CB" w14:paraId="05A757BA" w14:textId="77777777">
        <w:trPr>
          <w:jc w:val="center"/>
        </w:trPr>
        <w:tc>
          <w:tcPr>
            <w:tcW w:w="1493" w:type="dxa"/>
          </w:tcPr>
          <w:p w14:paraId="3124A323" w14:textId="77777777" w:rsidR="009249CB" w:rsidRDefault="00183FCD">
            <w:pPr>
              <w:jc w:val="center"/>
            </w:pPr>
            <w:r>
              <w:rPr>
                <w:sz w:val="18"/>
              </w:rPr>
              <w:t>商行债</w:t>
            </w:r>
            <w:r>
              <w:rPr>
                <w:sz w:val="18"/>
              </w:rPr>
              <w:t>3Y</w:t>
            </w:r>
          </w:p>
        </w:tc>
        <w:tc>
          <w:tcPr>
            <w:tcW w:w="1493" w:type="dxa"/>
          </w:tcPr>
          <w:p w14:paraId="6593528D" w14:textId="77777777" w:rsidR="009249CB" w:rsidRDefault="00183FCD">
            <w:pPr>
              <w:jc w:val="center"/>
            </w:pPr>
            <w:r>
              <w:rPr>
                <w:sz w:val="18"/>
              </w:rPr>
              <w:t>0.0492</w:t>
            </w:r>
          </w:p>
        </w:tc>
        <w:tc>
          <w:tcPr>
            <w:tcW w:w="1493" w:type="dxa"/>
          </w:tcPr>
          <w:p w14:paraId="5FD2C715" w14:textId="77777777" w:rsidR="009249CB" w:rsidRDefault="00183FCD">
            <w:pPr>
              <w:jc w:val="center"/>
            </w:pPr>
            <w:r>
              <w:rPr>
                <w:sz w:val="18"/>
              </w:rPr>
              <w:t>0.0387</w:t>
            </w:r>
          </w:p>
        </w:tc>
        <w:tc>
          <w:tcPr>
            <w:tcW w:w="1493" w:type="dxa"/>
          </w:tcPr>
          <w:p w14:paraId="342C64FE" w14:textId="77777777" w:rsidR="009249CB" w:rsidRDefault="00183FCD">
            <w:pPr>
              <w:jc w:val="center"/>
            </w:pPr>
            <w:r>
              <w:rPr>
                <w:sz w:val="18"/>
              </w:rPr>
              <w:t>46.2%</w:t>
            </w:r>
          </w:p>
        </w:tc>
        <w:tc>
          <w:tcPr>
            <w:tcW w:w="1493" w:type="dxa"/>
          </w:tcPr>
          <w:p w14:paraId="262B417C" w14:textId="77777777" w:rsidR="009249CB" w:rsidRDefault="00183FCD">
            <w:pPr>
              <w:jc w:val="center"/>
            </w:pPr>
            <w:r>
              <w:rPr>
                <w:sz w:val="18"/>
              </w:rPr>
              <w:t>0.0592</w:t>
            </w:r>
          </w:p>
        </w:tc>
        <w:tc>
          <w:tcPr>
            <w:tcW w:w="1493" w:type="dxa"/>
          </w:tcPr>
          <w:p w14:paraId="647C0A63" w14:textId="77777777" w:rsidR="009249CB" w:rsidRDefault="00183FCD">
            <w:pPr>
              <w:jc w:val="center"/>
            </w:pPr>
            <w:r>
              <w:rPr>
                <w:sz w:val="18"/>
              </w:rPr>
              <w:t>17.0%</w:t>
            </w:r>
          </w:p>
        </w:tc>
      </w:tr>
      <w:tr w:rsidR="009249CB" w14:paraId="01BED23C" w14:textId="77777777">
        <w:trPr>
          <w:jc w:val="center"/>
        </w:trPr>
        <w:tc>
          <w:tcPr>
            <w:tcW w:w="1493" w:type="dxa"/>
            <w:tcBorders>
              <w:bottom w:val="single" w:sz="12" w:space="0" w:color="000000"/>
            </w:tcBorders>
          </w:tcPr>
          <w:p w14:paraId="7FDD334A" w14:textId="77777777" w:rsidR="009249CB" w:rsidRDefault="00183FCD">
            <w:pPr>
              <w:jc w:val="center"/>
            </w:pPr>
            <w:r>
              <w:rPr>
                <w:sz w:val="18"/>
              </w:rPr>
              <w:t>商行债</w:t>
            </w:r>
            <w:r>
              <w:rPr>
                <w:sz w:val="18"/>
              </w:rPr>
              <w:t>5Y</w:t>
            </w:r>
          </w:p>
        </w:tc>
        <w:tc>
          <w:tcPr>
            <w:tcW w:w="1493" w:type="dxa"/>
            <w:tcBorders>
              <w:bottom w:val="single" w:sz="12" w:space="0" w:color="000000"/>
            </w:tcBorders>
          </w:tcPr>
          <w:p w14:paraId="64058AFA" w14:textId="77777777" w:rsidR="009249CB" w:rsidRDefault="00183FCD">
            <w:pPr>
              <w:jc w:val="center"/>
            </w:pPr>
            <w:r>
              <w:rPr>
                <w:sz w:val="18"/>
              </w:rPr>
              <w:t>0.053</w:t>
            </w:r>
          </w:p>
        </w:tc>
        <w:tc>
          <w:tcPr>
            <w:tcW w:w="1493" w:type="dxa"/>
            <w:tcBorders>
              <w:bottom w:val="single" w:sz="12" w:space="0" w:color="000000"/>
            </w:tcBorders>
          </w:tcPr>
          <w:p w14:paraId="43B184A4" w14:textId="77777777" w:rsidR="009249CB" w:rsidRDefault="00183FCD">
            <w:pPr>
              <w:jc w:val="center"/>
            </w:pPr>
            <w:r>
              <w:rPr>
                <w:sz w:val="18"/>
              </w:rPr>
              <w:t>0.0417</w:t>
            </w:r>
          </w:p>
        </w:tc>
        <w:tc>
          <w:tcPr>
            <w:tcW w:w="1493" w:type="dxa"/>
            <w:tcBorders>
              <w:bottom w:val="single" w:sz="12" w:space="0" w:color="000000"/>
            </w:tcBorders>
          </w:tcPr>
          <w:p w14:paraId="0C3A7008" w14:textId="77777777" w:rsidR="009249CB" w:rsidRDefault="00183FCD">
            <w:pPr>
              <w:jc w:val="center"/>
            </w:pPr>
            <w:r>
              <w:rPr>
                <w:sz w:val="18"/>
              </w:rPr>
              <w:t>47.7%</w:t>
            </w:r>
          </w:p>
        </w:tc>
        <w:tc>
          <w:tcPr>
            <w:tcW w:w="1493" w:type="dxa"/>
            <w:tcBorders>
              <w:bottom w:val="single" w:sz="12" w:space="0" w:color="000000"/>
            </w:tcBorders>
          </w:tcPr>
          <w:p w14:paraId="38E89E53" w14:textId="77777777" w:rsidR="009249CB" w:rsidRDefault="00183FCD">
            <w:pPr>
              <w:jc w:val="center"/>
            </w:pPr>
            <w:r>
              <w:rPr>
                <w:sz w:val="18"/>
              </w:rPr>
              <w:t>0.0583</w:t>
            </w:r>
          </w:p>
        </w:tc>
        <w:tc>
          <w:tcPr>
            <w:tcW w:w="1493" w:type="dxa"/>
            <w:tcBorders>
              <w:bottom w:val="single" w:sz="12" w:space="0" w:color="000000"/>
            </w:tcBorders>
          </w:tcPr>
          <w:p w14:paraId="4F0EB190" w14:textId="77777777" w:rsidR="009249CB" w:rsidRDefault="00183FCD">
            <w:pPr>
              <w:jc w:val="center"/>
            </w:pPr>
            <w:r>
              <w:rPr>
                <w:sz w:val="18"/>
              </w:rPr>
              <w:t>9.1%</w:t>
            </w:r>
          </w:p>
        </w:tc>
      </w:tr>
    </w:tbl>
    <w:p w14:paraId="1093F103" w14:textId="77777777" w:rsidR="009249CB" w:rsidRDefault="00183FCD">
      <w:pPr>
        <w:spacing w:before="60"/>
        <w:jc w:val="center"/>
      </w:pPr>
      <w:r>
        <w:rPr>
          <w:rFonts w:eastAsia="黑体"/>
          <w:sz w:val="18"/>
        </w:rPr>
        <w:t>表</w:t>
      </w:r>
      <w:r>
        <w:rPr>
          <w:rFonts w:eastAsia="黑体"/>
          <w:sz w:val="18"/>
        </w:rPr>
        <w:t>3</w:t>
      </w:r>
      <w:r>
        <w:rPr>
          <w:rFonts w:eastAsia="黑体"/>
          <w:sz w:val="18"/>
        </w:rPr>
        <w:t xml:space="preserve">　</w:t>
      </w:r>
      <w:r>
        <w:rPr>
          <w:rFonts w:eastAsia="黑体"/>
          <w:sz w:val="18"/>
        </w:rPr>
        <w:t>expanding-window</w:t>
      </w:r>
      <w:r>
        <w:rPr>
          <w:rFonts w:eastAsia="黑体"/>
          <w:sz w:val="18"/>
        </w:rPr>
        <w:t>滚动样本外评估结果</w:t>
      </w:r>
    </w:p>
    <w:p w14:paraId="1691AFD3" w14:textId="77777777" w:rsidR="009249CB" w:rsidRDefault="00183FCD">
      <w:pPr>
        <w:jc w:val="center"/>
      </w:pPr>
      <w:r>
        <w:rPr>
          <w:noProof/>
        </w:rPr>
        <w:drawing>
          <wp:inline distT="0" distB="0" distL="0" distR="0" wp14:anchorId="5705BFA2" wp14:editId="129598AC">
            <wp:extent cx="5040000" cy="2217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olling_pred.png"/>
                    <pic:cNvPicPr/>
                  </pic:nvPicPr>
                  <pic:blipFill>
                    <a:blip r:embed="rId12"/>
                    <a:stretch>
                      <a:fillRect/>
                    </a:stretch>
                  </pic:blipFill>
                  <pic:spPr>
                    <a:xfrm>
                      <a:off x="0" y="0"/>
                      <a:ext cx="5040000" cy="2217441"/>
                    </a:xfrm>
                    <a:prstGeom prst="rect">
                      <a:avLst/>
                    </a:prstGeom>
                  </pic:spPr>
                </pic:pic>
              </a:graphicData>
            </a:graphic>
          </wp:inline>
        </w:drawing>
      </w:r>
    </w:p>
    <w:p w14:paraId="6E12F0D0" w14:textId="77777777" w:rsidR="009249CB" w:rsidRDefault="00183FCD">
      <w:pPr>
        <w:spacing w:before="60"/>
        <w:jc w:val="center"/>
      </w:pPr>
      <w:r>
        <w:rPr>
          <w:rFonts w:eastAsia="黑体"/>
          <w:sz w:val="18"/>
        </w:rPr>
        <w:t>图</w:t>
      </w:r>
      <w:r>
        <w:rPr>
          <w:rFonts w:eastAsia="黑体"/>
          <w:sz w:val="18"/>
        </w:rPr>
        <w:t>5</w:t>
      </w:r>
      <w:r>
        <w:rPr>
          <w:rFonts w:eastAsia="黑体"/>
          <w:sz w:val="18"/>
        </w:rPr>
        <w:t xml:space="preserve">　中票</w:t>
      </w:r>
      <w:r>
        <w:rPr>
          <w:rFonts w:eastAsia="黑体"/>
          <w:sz w:val="18"/>
        </w:rPr>
        <w:t>3Y</w:t>
      </w:r>
      <w:r>
        <w:rPr>
          <w:rFonts w:eastAsia="黑体"/>
          <w:sz w:val="18"/>
        </w:rPr>
        <w:t>利差的滚动样本外预测（</w:t>
      </w:r>
      <w:r>
        <w:rPr>
          <w:rFonts w:eastAsia="黑体"/>
          <w:sz w:val="18"/>
        </w:rPr>
        <w:t>5</w:t>
      </w:r>
      <w:r>
        <w:rPr>
          <w:rFonts w:eastAsia="黑体"/>
          <w:sz w:val="18"/>
        </w:rPr>
        <w:t>年训练窗）</w:t>
      </w:r>
    </w:p>
    <w:p w14:paraId="67AD607C" w14:textId="77777777" w:rsidR="009249CB" w:rsidRDefault="00183FCD">
      <w:pPr>
        <w:spacing w:after="40" w:line="360" w:lineRule="auto"/>
        <w:ind w:firstLine="420"/>
      </w:pPr>
      <w:r>
        <w:t>图</w:t>
      </w:r>
      <w:r>
        <w:t>5</w:t>
      </w:r>
      <w:r>
        <w:t>是中票</w:t>
      </w:r>
      <w:r>
        <w:t>3Y</w:t>
      </w:r>
      <w:r>
        <w:t>的滚动预测轨迹，预测值基本贴合实际值的均值回归路径，在</w:t>
      </w:r>
      <w:r>
        <w:t>2024</w:t>
      </w:r>
      <w:r>
        <w:t>年以来的利差单边压缩阶段未出现系统性偏离。模型的优势集中在水平预测而非方向预测：预测误差的下降主要来自对利差均值回归速度与路径的刻画，方向准确率仅小幅超过随机基准，说明利差周度方向变化中仍有大量接近白噪声的成分。这与</w:t>
      </w:r>
      <w:r>
        <w:t>SHAP</w:t>
      </w:r>
      <w:r>
        <w:t>分解中</w:t>
      </w:r>
      <w:r>
        <w:t>lag_1</w:t>
      </w:r>
      <w:r>
        <w:t>主导的结果互为印证</w:t>
      </w:r>
      <w:r>
        <w:t>——</w:t>
      </w:r>
      <w:r>
        <w:t>利差的可预测部分主要是其持续性部分。</w:t>
      </w:r>
    </w:p>
    <w:p w14:paraId="015B57E2" w14:textId="77777777" w:rsidR="009249CB" w:rsidRDefault="00183FCD">
      <w:pPr>
        <w:spacing w:before="120" w:after="60"/>
      </w:pPr>
      <w:r>
        <w:rPr>
          <w:rFonts w:eastAsia="仿宋"/>
          <w:b/>
        </w:rPr>
        <w:t>（四）稳健性与机制讨论</w:t>
      </w:r>
    </w:p>
    <w:p w14:paraId="28471C9F" w14:textId="77777777" w:rsidR="009249CB" w:rsidRDefault="00183FCD">
      <w:pPr>
        <w:spacing w:after="40" w:line="360" w:lineRule="auto"/>
        <w:ind w:firstLine="420"/>
      </w:pPr>
      <w:r>
        <w:t>三组证据放在一起看，链条是完整的：模型对比显示非线性机制存在（</w:t>
      </w:r>
      <w:r>
        <w:t>H1</w:t>
      </w:r>
      <w:r>
        <w:t>），</w:t>
      </w:r>
      <w:r>
        <w:t>SHAP</w:t>
      </w:r>
      <w:r>
        <w:t>分解指向自回归与流动性双重主导（</w:t>
      </w:r>
      <w:r>
        <w:t>H2</w:t>
      </w:r>
      <w:r>
        <w:t>），滚动预测证实样本外增量（</w:t>
      </w:r>
      <w:r>
        <w:t>H3</w:t>
      </w:r>
      <w:r>
        <w:t>）。四组利差本身构成了一种交叉验证</w:t>
      </w:r>
      <w:r>
        <w:t>——</w:t>
      </w:r>
      <w:r>
        <w:t>流动性主导的结构在中票上最强、商行债上次之；非线性优势在</w:t>
      </w:r>
      <w:r>
        <w:t>3Y</w:t>
      </w:r>
      <w:r>
        <w:t>上稳健，</w:t>
      </w:r>
      <w:r>
        <w:t>5Y</w:t>
      </w:r>
      <w:r>
        <w:t>上则让位于线性趋势，两种模式都有相应的经济机理支撑，而非孤立的统计巧合。综合起来，中国信用利差的周度动态可以概括为</w:t>
      </w:r>
      <w:r>
        <w:t>"</w:t>
      </w:r>
      <w:r>
        <w:t>惯性加资金面</w:t>
      </w:r>
      <w:r>
        <w:t>"</w:t>
      </w:r>
      <w:r>
        <w:t>：宏观基本面信息主要通过资金面预期间接传导，且这一传导在交易属性强的品种和短端期限上更直接。</w:t>
      </w:r>
    </w:p>
    <w:p w14:paraId="4B21B6FC" w14:textId="77777777" w:rsidR="009249CB" w:rsidRDefault="00183FCD">
      <w:pPr>
        <w:spacing w:before="200"/>
        <w:jc w:val="center"/>
      </w:pPr>
      <w:r>
        <w:rPr>
          <w:rFonts w:eastAsia="黑体"/>
          <w:sz w:val="24"/>
        </w:rPr>
        <w:t>六、结论</w:t>
      </w:r>
    </w:p>
    <w:p w14:paraId="6775C1DD" w14:textId="77777777" w:rsidR="009249CB" w:rsidRDefault="00183FCD">
      <w:pPr>
        <w:spacing w:after="40" w:line="360" w:lineRule="auto"/>
        <w:ind w:firstLine="420"/>
      </w:pPr>
      <w:r>
        <w:t>本文以</w:t>
      </w:r>
      <w:r>
        <w:t>2016—2026</w:t>
      </w:r>
      <w:r>
        <w:t>年中国信用债周度数据为样本，构建品种</w:t>
      </w:r>
      <w:r>
        <w:t>×</w:t>
      </w:r>
      <w:r>
        <w:t>期限四组利差，比较</w:t>
      </w:r>
      <w:r>
        <w:t>OLS</w:t>
      </w:r>
      <w:r>
        <w:t>、随机森林与</w:t>
      </w:r>
      <w:r>
        <w:t>XGBoost</w:t>
      </w:r>
      <w:r>
        <w:t>的样本内解释力，用</w:t>
      </w:r>
      <w:r>
        <w:t>SHAP</w:t>
      </w:r>
      <w:r>
        <w:t>方法分解特征贡献，并通过滚动样本外检验考察预测表现。结果可以归纳为三点。</w:t>
      </w:r>
    </w:p>
    <w:p w14:paraId="2B9B3B6A" w14:textId="77777777" w:rsidR="009249CB" w:rsidRDefault="00183FCD">
      <w:pPr>
        <w:spacing w:after="40" w:line="360" w:lineRule="auto"/>
        <w:ind w:firstLine="420"/>
      </w:pPr>
      <w:r>
        <w:t>第一，信用利差的驱动机制存在明显的非线性。</w:t>
      </w:r>
      <w:r>
        <w:t>3</w:t>
      </w:r>
      <w:r>
        <w:t>年期利差上线性模型测试集</w:t>
      </w:r>
      <w:r>
        <w:t>R²</w:t>
      </w:r>
      <w:r>
        <w:t>为负，树模型达到</w:t>
      </w:r>
      <w:r>
        <w:t>0.36—0.69</w:t>
      </w:r>
      <w:r>
        <w:t>，线性框架可能系统性低估了利差的可解释部分。</w:t>
      </w:r>
    </w:p>
    <w:p w14:paraId="7D431C35" w14:textId="77777777" w:rsidR="009249CB" w:rsidRDefault="00183FCD">
      <w:pPr>
        <w:spacing w:after="40" w:line="360" w:lineRule="auto"/>
        <w:ind w:firstLine="420"/>
      </w:pPr>
      <w:r>
        <w:t>第二，利差周度变动由自回归动量与流动性因素主导。</w:t>
      </w:r>
      <w:r>
        <w:t>SHAP</w:t>
      </w:r>
      <w:r>
        <w:t>分解中利差滞后项贡献了模型解释力的大部分，</w:t>
      </w:r>
      <w:r>
        <w:t>SHIBOR 3M</w:t>
      </w:r>
      <w:r>
        <w:t>居第二，</w:t>
      </w:r>
      <w:r>
        <w:t>CPI</w:t>
      </w:r>
      <w:r>
        <w:t>、</w:t>
      </w:r>
      <w:r>
        <w:t>PPI</w:t>
      </w:r>
      <w:r>
        <w:t>、</w:t>
      </w:r>
      <w:r>
        <w:t>PMI</w:t>
      </w:r>
      <w:r>
        <w:t>等宏观基本面变量贡献微弱，这与</w:t>
      </w:r>
      <w:r>
        <w:t>Collin-Dufresne</w:t>
      </w:r>
      <w:r>
        <w:t>等（</w:t>
      </w:r>
      <w:r>
        <w:t>2001</w:t>
      </w:r>
      <w:r>
        <w:t>）的经典发现一致，也呼应纪志宏和曹媛媛（</w:t>
      </w:r>
      <w:r>
        <w:t>2017</w:t>
      </w:r>
      <w:r>
        <w:t>）关于流动性溢价主导中国信用债定价的证据。</w:t>
      </w:r>
    </w:p>
    <w:p w14:paraId="129E2121" w14:textId="77777777" w:rsidR="009249CB" w:rsidRDefault="00183FCD">
      <w:pPr>
        <w:spacing w:after="40" w:line="360" w:lineRule="auto"/>
        <w:ind w:firstLine="420"/>
      </w:pPr>
      <w:r>
        <w:t>第三，机器学习模型具备超越随机游走的样本外预测能力，四条利差的滚动预测</w:t>
      </w:r>
      <w:r>
        <w:t>RMSE</w:t>
      </w:r>
      <w:r>
        <w:t>改善</w:t>
      </w:r>
      <w:r>
        <w:t>9%—25%</w:t>
      </w:r>
      <w:r>
        <w:t>，且这一优势在不同品种与期限上稳定存在。</w:t>
      </w:r>
    </w:p>
    <w:p w14:paraId="5769BCD6" w14:textId="77777777" w:rsidR="009249CB" w:rsidRDefault="00183FCD">
      <w:pPr>
        <w:spacing w:after="40" w:line="360" w:lineRule="auto"/>
        <w:ind w:firstLine="420"/>
      </w:pPr>
      <w:r>
        <w:t>对实务而言，利差监测可以更聚焦于资金面指标与利差自身动量，宏观数据的边际信息有限；对监管而言，流动性向信用债市场的传导值得持续关注，交易属性强的品种（如中票）的资金面敏感度可作为风险预警的参考指标。本文样本限于</w:t>
      </w:r>
      <w:r>
        <w:t>AAA</w:t>
      </w:r>
      <w:r>
        <w:t>评级，尚未纳入债券发行层面的微观信息（如评级迁移、一级发行利差），滚动步长也较长，后续可以在评级异质性、微观特征与更高频的再平衡策略方面继续深入。</w:t>
      </w:r>
    </w:p>
    <w:p w14:paraId="0E7E5362" w14:textId="77777777" w:rsidR="009249CB" w:rsidRDefault="00183FCD">
      <w:pPr>
        <w:spacing w:before="200"/>
        <w:jc w:val="center"/>
      </w:pPr>
      <w:r>
        <w:rPr>
          <w:rFonts w:eastAsia="黑体"/>
          <w:sz w:val="24"/>
        </w:rPr>
        <w:t>参考文献</w:t>
      </w:r>
    </w:p>
    <w:p w14:paraId="1F5190D3" w14:textId="77777777" w:rsidR="009249CB" w:rsidRDefault="00183FCD">
      <w:pPr>
        <w:spacing w:after="40" w:line="300" w:lineRule="auto"/>
        <w:ind w:left="360" w:hanging="360"/>
      </w:pPr>
      <w:r>
        <w:rPr>
          <w:sz w:val="18"/>
        </w:rPr>
        <w:t>[1] MERTON R C. On the pricing of corporate debt: the risk structure of interest rates[J]. Journal of Finance, 1974, 29(2): 449-470.</w:t>
      </w:r>
    </w:p>
    <w:p w14:paraId="172DA74D" w14:textId="77777777" w:rsidR="009249CB" w:rsidRDefault="00183FCD">
      <w:pPr>
        <w:spacing w:after="40" w:line="300" w:lineRule="auto"/>
        <w:ind w:left="360" w:hanging="360"/>
      </w:pPr>
      <w:r>
        <w:rPr>
          <w:sz w:val="18"/>
        </w:rPr>
        <w:t>[2] LONGSTAFF F A, SCHWARTZ E S. A simple approach to valuing risky fixed and floating rate debt[J]. Journal of Finance, 1995, 50(3): 789-819.</w:t>
      </w:r>
    </w:p>
    <w:p w14:paraId="4D77F4BC" w14:textId="77777777" w:rsidR="009249CB" w:rsidRDefault="00183FCD">
      <w:pPr>
        <w:spacing w:after="40" w:line="300" w:lineRule="auto"/>
        <w:ind w:left="360" w:hanging="360"/>
      </w:pPr>
      <w:r>
        <w:rPr>
          <w:sz w:val="18"/>
        </w:rPr>
        <w:t>[3] DUFFEE G R. The relation between treasury yields and corporate bond yield spreads[J]. Journal of Finance, 1998, 53(6): 2225-2241.</w:t>
      </w:r>
    </w:p>
    <w:p w14:paraId="0DF4C03E" w14:textId="77777777" w:rsidR="009249CB" w:rsidRDefault="00183FCD">
      <w:pPr>
        <w:spacing w:after="40" w:line="300" w:lineRule="auto"/>
        <w:ind w:left="360" w:hanging="360"/>
      </w:pPr>
      <w:r>
        <w:rPr>
          <w:sz w:val="18"/>
        </w:rPr>
        <w:t>[4] COLLIN-DUFRESNE P, GOLDSTEIN R S, MARTIN J S. The determinants of credit spread changes[J]. Journal of Finance, 2001, 56(6): 2177-2207.</w:t>
      </w:r>
    </w:p>
    <w:p w14:paraId="017FCC3D" w14:textId="77777777" w:rsidR="009249CB" w:rsidRDefault="00183FCD">
      <w:pPr>
        <w:spacing w:after="40" w:line="300" w:lineRule="auto"/>
        <w:ind w:left="360" w:hanging="360"/>
      </w:pPr>
      <w:r>
        <w:rPr>
          <w:sz w:val="18"/>
        </w:rPr>
        <w:t>[5] ELTON E J, GRUBER M J, AGRAWAL D, et al. Explaining the rate spread on corporate bonds[J]. Journal of Finance, 2001, 56(1): 247-277.</w:t>
      </w:r>
    </w:p>
    <w:p w14:paraId="1ECAFF1A" w14:textId="77777777" w:rsidR="009249CB" w:rsidRDefault="00183FCD">
      <w:pPr>
        <w:spacing w:after="40" w:line="300" w:lineRule="auto"/>
        <w:ind w:left="360" w:hanging="360"/>
      </w:pPr>
      <w:r>
        <w:rPr>
          <w:sz w:val="18"/>
        </w:rPr>
        <w:t>[6] HUANG J Z, HUANG M. How much of the corporate-treasury yield spread is due to credit risk?[J]. Review of Asset Pricing Studies, 2012, 2(2): 153-202.</w:t>
      </w:r>
    </w:p>
    <w:p w14:paraId="6CA95219" w14:textId="77777777" w:rsidR="009249CB" w:rsidRDefault="00183FCD">
      <w:pPr>
        <w:spacing w:after="40" w:line="300" w:lineRule="auto"/>
        <w:ind w:left="360" w:hanging="360"/>
      </w:pPr>
      <w:r>
        <w:rPr>
          <w:sz w:val="18"/>
        </w:rPr>
        <w:t>[7] GILCHRIST S, ZAKRAJŠEK E. Credit spreads and business cycle fluctuations[J]. American Economic Review, 2012, 102(4): 1692-1720.</w:t>
      </w:r>
    </w:p>
    <w:p w14:paraId="36BF83A1" w14:textId="77777777" w:rsidR="009249CB" w:rsidRDefault="00183FCD">
      <w:pPr>
        <w:spacing w:after="40" w:line="300" w:lineRule="auto"/>
        <w:ind w:left="360" w:hanging="360"/>
      </w:pPr>
      <w:r>
        <w:rPr>
          <w:sz w:val="18"/>
        </w:rPr>
        <w:t>[8] HUANG J Z, LIU B, SHI Z. Determinants of short-term corporate yield spreads: evidence from the commercial paper market[J]. Review of Finance, 2023, 27(2): 539-579.</w:t>
      </w:r>
    </w:p>
    <w:p w14:paraId="6C2980FE" w14:textId="77777777" w:rsidR="009249CB" w:rsidRDefault="00183FCD">
      <w:pPr>
        <w:spacing w:after="40" w:line="300" w:lineRule="auto"/>
        <w:ind w:left="360" w:hanging="360"/>
      </w:pPr>
      <w:r>
        <w:rPr>
          <w:sz w:val="18"/>
        </w:rPr>
        <w:t>[9] HUANG J Z, NOZAWA Y, SHI Z. The global credit spread puzzle[J]. Journal of Finance, 2025, 80(1): 101-162.</w:t>
      </w:r>
    </w:p>
    <w:p w14:paraId="0F467162" w14:textId="77777777" w:rsidR="009249CB" w:rsidRDefault="00183FCD">
      <w:pPr>
        <w:spacing w:after="40" w:line="300" w:lineRule="auto"/>
        <w:ind w:left="360" w:hanging="360"/>
      </w:pPr>
      <w:r>
        <w:rPr>
          <w:sz w:val="18"/>
        </w:rPr>
        <w:t>[10] BREIMAN L. Random forests[J]. Machine Learning, 2001, 45(1): 5-32.</w:t>
      </w:r>
    </w:p>
    <w:p w14:paraId="1C787FAA" w14:textId="77777777" w:rsidR="009249CB" w:rsidRDefault="00183FCD">
      <w:pPr>
        <w:spacing w:after="40" w:line="300" w:lineRule="auto"/>
        <w:ind w:left="360" w:hanging="360"/>
      </w:pPr>
      <w:r>
        <w:rPr>
          <w:sz w:val="18"/>
        </w:rPr>
        <w:t>[11] CHEN T, GUESTRIN C. XGBoost: a scalable tree boosting system[C]//Proceedings of the 22nd ACM SIGKDD International Conference on Knowledge Discovery and Data Mining. New York: ACM, 2016: 785-794.</w:t>
      </w:r>
    </w:p>
    <w:p w14:paraId="55C66609" w14:textId="77777777" w:rsidR="009249CB" w:rsidRDefault="00183FCD">
      <w:pPr>
        <w:spacing w:after="40" w:line="300" w:lineRule="auto"/>
        <w:ind w:left="360" w:hanging="360"/>
      </w:pPr>
      <w:r>
        <w:rPr>
          <w:sz w:val="18"/>
        </w:rPr>
        <w:t>[12] LUNDBERG S M, LEE S I. A unified approach to interpreting model predictions[C]//Advances in Neural Information Processing Systems 30. Red Hook: Curran Associates, 2017: 4765-4774.</w:t>
      </w:r>
    </w:p>
    <w:p w14:paraId="374559D6" w14:textId="77777777" w:rsidR="009249CB" w:rsidRDefault="00183FCD">
      <w:pPr>
        <w:spacing w:after="40" w:line="300" w:lineRule="auto"/>
        <w:ind w:left="360" w:hanging="360"/>
      </w:pPr>
      <w:r>
        <w:rPr>
          <w:sz w:val="18"/>
        </w:rPr>
        <w:t>[13] BIANCHI D, BÜCHNER M, TAMONI A. Bond risk premiums with machine learning[J]. Review of Financial Studies, 2021, 34(2): 1046-1089.</w:t>
      </w:r>
    </w:p>
    <w:p w14:paraId="7A94362A" w14:textId="77777777" w:rsidR="009249CB" w:rsidRDefault="00183FCD">
      <w:pPr>
        <w:spacing w:after="40" w:line="300" w:lineRule="auto"/>
        <w:ind w:left="360" w:hanging="360"/>
      </w:pPr>
      <w:r>
        <w:rPr>
          <w:sz w:val="18"/>
        </w:rPr>
        <w:t xml:space="preserve">[14] </w:t>
      </w:r>
      <w:r>
        <w:rPr>
          <w:sz w:val="18"/>
        </w:rPr>
        <w:t>张燃</w:t>
      </w:r>
      <w:r>
        <w:rPr>
          <w:sz w:val="18"/>
        </w:rPr>
        <w:t xml:space="preserve">. </w:t>
      </w:r>
      <w:r>
        <w:rPr>
          <w:sz w:val="18"/>
        </w:rPr>
        <w:t>信用价差变化的决定因素</w:t>
      </w:r>
      <w:r>
        <w:rPr>
          <w:sz w:val="18"/>
        </w:rPr>
        <w:t>——</w:t>
      </w:r>
      <w:r>
        <w:rPr>
          <w:sz w:val="18"/>
        </w:rPr>
        <w:t>一个宏观视角</w:t>
      </w:r>
      <w:r>
        <w:rPr>
          <w:sz w:val="18"/>
        </w:rPr>
        <w:t xml:space="preserve">[J]. </w:t>
      </w:r>
      <w:r>
        <w:rPr>
          <w:sz w:val="18"/>
        </w:rPr>
        <w:t>当代财经</w:t>
      </w:r>
      <w:r>
        <w:rPr>
          <w:sz w:val="18"/>
        </w:rPr>
        <w:t>, 2008(9): 62-67.</w:t>
      </w:r>
    </w:p>
    <w:p w14:paraId="22EED7C7" w14:textId="77777777" w:rsidR="009249CB" w:rsidRDefault="00183FCD">
      <w:pPr>
        <w:spacing w:after="40" w:line="300" w:lineRule="auto"/>
        <w:ind w:left="360" w:hanging="360"/>
      </w:pPr>
      <w:r>
        <w:rPr>
          <w:sz w:val="18"/>
        </w:rPr>
        <w:t xml:space="preserve">[15] </w:t>
      </w:r>
      <w:r>
        <w:rPr>
          <w:sz w:val="18"/>
        </w:rPr>
        <w:t>戴国强</w:t>
      </w:r>
      <w:r>
        <w:rPr>
          <w:sz w:val="18"/>
        </w:rPr>
        <w:t xml:space="preserve">, </w:t>
      </w:r>
      <w:r>
        <w:rPr>
          <w:sz w:val="18"/>
        </w:rPr>
        <w:t>孙新宝</w:t>
      </w:r>
      <w:r>
        <w:rPr>
          <w:sz w:val="18"/>
        </w:rPr>
        <w:t xml:space="preserve">. </w:t>
      </w:r>
      <w:r>
        <w:rPr>
          <w:sz w:val="18"/>
        </w:rPr>
        <w:t>我国企业债券信用利差宏观决定因素研究</w:t>
      </w:r>
      <w:r>
        <w:rPr>
          <w:sz w:val="18"/>
        </w:rPr>
        <w:t xml:space="preserve">[J]. </w:t>
      </w:r>
      <w:r>
        <w:rPr>
          <w:sz w:val="18"/>
        </w:rPr>
        <w:t>财经研究</w:t>
      </w:r>
      <w:r>
        <w:rPr>
          <w:sz w:val="18"/>
        </w:rPr>
        <w:t>, 2011, 37(12): 61-71.</w:t>
      </w:r>
    </w:p>
    <w:p w14:paraId="3FD8C423" w14:textId="77777777" w:rsidR="009249CB" w:rsidRDefault="00183FCD">
      <w:pPr>
        <w:spacing w:after="40" w:line="300" w:lineRule="auto"/>
        <w:ind w:left="360" w:hanging="360"/>
      </w:pPr>
      <w:r>
        <w:rPr>
          <w:sz w:val="18"/>
        </w:rPr>
        <w:t xml:space="preserve">[16] </w:t>
      </w:r>
      <w:r>
        <w:rPr>
          <w:sz w:val="18"/>
        </w:rPr>
        <w:t>纪志宏</w:t>
      </w:r>
      <w:r>
        <w:rPr>
          <w:sz w:val="18"/>
        </w:rPr>
        <w:t xml:space="preserve">, </w:t>
      </w:r>
      <w:r>
        <w:rPr>
          <w:sz w:val="18"/>
        </w:rPr>
        <w:t>曹媛媛</w:t>
      </w:r>
      <w:r>
        <w:rPr>
          <w:sz w:val="18"/>
        </w:rPr>
        <w:t xml:space="preserve">. </w:t>
      </w:r>
      <w:r>
        <w:rPr>
          <w:sz w:val="18"/>
        </w:rPr>
        <w:t>信用风险溢价还是市场流动性溢价：基于中国信用债定价的实证研究</w:t>
      </w:r>
      <w:r>
        <w:rPr>
          <w:sz w:val="18"/>
        </w:rPr>
        <w:t xml:space="preserve">[J]. </w:t>
      </w:r>
      <w:r>
        <w:rPr>
          <w:sz w:val="18"/>
        </w:rPr>
        <w:t>金融研究</w:t>
      </w:r>
      <w:r>
        <w:rPr>
          <w:sz w:val="18"/>
        </w:rPr>
        <w:t>, 2017(2): 1-10.</w:t>
      </w:r>
    </w:p>
    <w:p w14:paraId="79E93A31" w14:textId="77777777" w:rsidR="009249CB" w:rsidRDefault="00183FCD">
      <w:pPr>
        <w:spacing w:after="40" w:line="300" w:lineRule="auto"/>
        <w:ind w:left="360" w:hanging="360"/>
      </w:pPr>
      <w:r>
        <w:rPr>
          <w:sz w:val="18"/>
        </w:rPr>
        <w:t xml:space="preserve">[17] </w:t>
      </w:r>
      <w:r>
        <w:rPr>
          <w:sz w:val="18"/>
        </w:rPr>
        <w:t>赵静</w:t>
      </w:r>
      <w:r>
        <w:rPr>
          <w:sz w:val="18"/>
        </w:rPr>
        <w:t xml:space="preserve">, </w:t>
      </w:r>
      <w:r>
        <w:rPr>
          <w:sz w:val="18"/>
        </w:rPr>
        <w:t>方兆本</w:t>
      </w:r>
      <w:r>
        <w:rPr>
          <w:sz w:val="18"/>
        </w:rPr>
        <w:t xml:space="preserve">. </w:t>
      </w:r>
      <w:r>
        <w:rPr>
          <w:sz w:val="18"/>
        </w:rPr>
        <w:t>中国公司债信用利差决定因素</w:t>
      </w:r>
      <w:r>
        <w:rPr>
          <w:sz w:val="18"/>
        </w:rPr>
        <w:t>——</w:t>
      </w:r>
      <w:r>
        <w:rPr>
          <w:sz w:val="18"/>
        </w:rPr>
        <w:t>基于结构化理论的实证研究</w:t>
      </w:r>
      <w:r>
        <w:rPr>
          <w:sz w:val="18"/>
        </w:rPr>
        <w:t xml:space="preserve">[J]. </w:t>
      </w:r>
      <w:r>
        <w:rPr>
          <w:sz w:val="18"/>
        </w:rPr>
        <w:t>经济管理</w:t>
      </w:r>
      <w:r>
        <w:rPr>
          <w:sz w:val="18"/>
        </w:rPr>
        <w:t>, 2011, 33(11): 138-146.</w:t>
      </w:r>
    </w:p>
    <w:p w14:paraId="036A74F2" w14:textId="77777777" w:rsidR="009249CB" w:rsidRDefault="00183FCD">
      <w:pPr>
        <w:spacing w:after="40" w:line="300" w:lineRule="auto"/>
        <w:ind w:left="360" w:hanging="360"/>
      </w:pPr>
      <w:r>
        <w:rPr>
          <w:sz w:val="18"/>
        </w:rPr>
        <w:t xml:space="preserve">[18] </w:t>
      </w:r>
      <w:r>
        <w:rPr>
          <w:sz w:val="18"/>
        </w:rPr>
        <w:t>周荣喜</w:t>
      </w:r>
      <w:r>
        <w:rPr>
          <w:sz w:val="18"/>
        </w:rPr>
        <w:t xml:space="preserve">, </w:t>
      </w:r>
      <w:r>
        <w:rPr>
          <w:sz w:val="18"/>
        </w:rPr>
        <w:t>彭航</w:t>
      </w:r>
      <w:r>
        <w:rPr>
          <w:sz w:val="18"/>
        </w:rPr>
        <w:t xml:space="preserve">, </w:t>
      </w:r>
      <w:r>
        <w:rPr>
          <w:sz w:val="18"/>
        </w:rPr>
        <w:t>李欣宇</w:t>
      </w:r>
      <w:r>
        <w:rPr>
          <w:sz w:val="18"/>
        </w:rPr>
        <w:t xml:space="preserve">, </w:t>
      </w:r>
      <w:r>
        <w:rPr>
          <w:sz w:val="18"/>
        </w:rPr>
        <w:t>等</w:t>
      </w:r>
      <w:r>
        <w:rPr>
          <w:sz w:val="18"/>
        </w:rPr>
        <w:t xml:space="preserve">. </w:t>
      </w:r>
      <w:r>
        <w:rPr>
          <w:sz w:val="18"/>
        </w:rPr>
        <w:t>基于</w:t>
      </w:r>
      <w:r>
        <w:rPr>
          <w:sz w:val="18"/>
        </w:rPr>
        <w:t>XGBoost</w:t>
      </w:r>
      <w:r>
        <w:rPr>
          <w:sz w:val="18"/>
        </w:rPr>
        <w:t>算法的信用债违约预测模型</w:t>
      </w:r>
      <w:r>
        <w:rPr>
          <w:sz w:val="18"/>
        </w:rPr>
        <w:t xml:space="preserve">[J]. </w:t>
      </w:r>
      <w:r>
        <w:rPr>
          <w:sz w:val="18"/>
        </w:rPr>
        <w:t>债券</w:t>
      </w:r>
      <w:r>
        <w:rPr>
          <w:sz w:val="18"/>
        </w:rPr>
        <w:t>, 2019(10): 61-68.</w:t>
      </w:r>
    </w:p>
    <w:p w14:paraId="2615273B" w14:textId="77777777" w:rsidR="009249CB" w:rsidRDefault="00183FCD">
      <w:pPr>
        <w:spacing w:after="40" w:line="300" w:lineRule="auto"/>
        <w:ind w:left="360" w:hanging="360"/>
      </w:pPr>
      <w:r>
        <w:rPr>
          <w:sz w:val="18"/>
        </w:rPr>
        <w:t xml:space="preserve">[19] </w:t>
      </w:r>
      <w:r>
        <w:rPr>
          <w:sz w:val="18"/>
        </w:rPr>
        <w:t>王宇</w:t>
      </w:r>
      <w:r>
        <w:rPr>
          <w:sz w:val="18"/>
        </w:rPr>
        <w:t xml:space="preserve">. </w:t>
      </w:r>
      <w:r>
        <w:rPr>
          <w:sz w:val="18"/>
        </w:rPr>
        <w:t>我国企业债信用利差宏观影响因素实证检验</w:t>
      </w:r>
      <w:r>
        <w:rPr>
          <w:sz w:val="18"/>
        </w:rPr>
        <w:t xml:space="preserve">[J]. </w:t>
      </w:r>
      <w:r>
        <w:rPr>
          <w:sz w:val="18"/>
        </w:rPr>
        <w:t>债券</w:t>
      </w:r>
      <w:r>
        <w:rPr>
          <w:sz w:val="18"/>
        </w:rPr>
        <w:t>, 2013(11): 38-43.</w:t>
      </w:r>
    </w:p>
    <w:p w14:paraId="148EC892" w14:textId="77777777" w:rsidR="009249CB" w:rsidRDefault="00183FCD">
      <w:pPr>
        <w:spacing w:before="280" w:after="120"/>
        <w:jc w:val="center"/>
      </w:pPr>
      <w:r>
        <w:rPr>
          <w:b/>
          <w:sz w:val="18"/>
        </w:rPr>
        <w:t>Nonlinear Mechanisms and Out-of-Sample Predictability of Credit Spreads in China: Evidence from Interpretable Machine Learning with XGBoost and SHAP</w:t>
      </w:r>
    </w:p>
    <w:p w14:paraId="44B13D1D" w14:textId="77777777" w:rsidR="009249CB" w:rsidRDefault="00183FCD">
      <w:pPr>
        <w:spacing w:after="60"/>
      </w:pPr>
      <w:r>
        <w:rPr>
          <w:b/>
          <w:sz w:val="18"/>
        </w:rPr>
        <w:t xml:space="preserve">ABSTRACT: </w:t>
      </w:r>
      <w:r>
        <w:rPr>
          <w:sz w:val="18"/>
        </w:rPr>
        <w:t>The driving mechanism of credit spreads is a central issue in fixed-income pricing and credit risk management. Using weekly Chinese credit bond data from 2016 to 2026, this paper constructs four spread series across instruments and maturities, and compares OLS, random forest, and XGBoost with SHAP-based interpretation and a strict expanding-window out-of-sample evaluation. We find that: (1) linear models fail on 3-year spreads (negative out-of-sample R²) while tree models achieve 0.36—0.69, indicating signi</w:t>
      </w:r>
      <w:r>
        <w:rPr>
          <w:sz w:val="18"/>
        </w:rPr>
        <w:t>ficant nonlinearity in spread dynamics; (2) SHAP decompositions show that autoregressive momentum and the SHIBOR liquidity factor dominate, while macro fundamentals contribute marginally, echoing Collin-Dufresne et al. (2001); (3) XGBoost forecasts outperform the random walk in out-of-sample RMSE by 9%—25% across all four spreads. The evidence offers new insights into credit spread pricing in China and a practical toolkit for fixed-income investment and risk management.</w:t>
      </w:r>
    </w:p>
    <w:p w14:paraId="5E826497" w14:textId="77777777" w:rsidR="009249CB" w:rsidRDefault="00183FCD">
      <w:r>
        <w:rPr>
          <w:b/>
          <w:sz w:val="18"/>
        </w:rPr>
        <w:t xml:space="preserve">KEYWORDS: </w:t>
      </w:r>
      <w:r>
        <w:rPr>
          <w:sz w:val="18"/>
        </w:rPr>
        <w:t>credit spread; XGBoost; SHAP interpretability; machine learning; out-of-sample prediction</w:t>
      </w:r>
    </w:p>
    <w:sectPr w:rsidR="009249CB" w:rsidSect="00034616">
      <w:pgSz w:w="11906" w:h="16838"/>
      <w:pgMar w:top="1440" w:right="1474" w:bottom="1440"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BFA7" w14:textId="77777777" w:rsidR="00183FCD" w:rsidRDefault="00183FCD" w:rsidP="00183FCD">
      <w:pPr>
        <w:spacing w:after="0" w:line="240" w:lineRule="auto"/>
      </w:pPr>
      <w:r>
        <w:separator/>
      </w:r>
    </w:p>
  </w:endnote>
  <w:endnote w:type="continuationSeparator" w:id="0">
    <w:p w14:paraId="25A0A1D7" w14:textId="77777777" w:rsidR="00183FCD" w:rsidRDefault="00183FCD" w:rsidP="00183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713C" w14:textId="77777777" w:rsidR="00183FCD" w:rsidRDefault="00183FCD" w:rsidP="00183FCD">
      <w:pPr>
        <w:spacing w:after="0" w:line="240" w:lineRule="auto"/>
      </w:pPr>
      <w:r>
        <w:separator/>
      </w:r>
    </w:p>
  </w:footnote>
  <w:footnote w:type="continuationSeparator" w:id="0">
    <w:p w14:paraId="1AEC9886" w14:textId="77777777" w:rsidR="00183FCD" w:rsidRDefault="00183FCD" w:rsidP="00183FCD">
      <w:pPr>
        <w:spacing w:after="0" w:line="240" w:lineRule="auto"/>
      </w:pPr>
      <w:r>
        <w:continuationSeparator/>
      </w:r>
    </w:p>
  </w:footnote>
  <w:footnote w:id="1">
    <w:p w14:paraId="682DF785" w14:textId="1FAC70EC" w:rsidR="00183FCD" w:rsidRDefault="00183FCD">
      <w:pPr>
        <w:pStyle w:val="aff9"/>
        <w:rPr>
          <w:rFonts w:hint="eastAsia"/>
          <w:lang w:eastAsia="zh-CN"/>
        </w:rPr>
      </w:pPr>
      <w:r>
        <w:rPr>
          <w:rStyle w:val="affb"/>
          <w:rFonts w:hint="eastAsia"/>
        </w:rPr>
        <w:t>①</w:t>
      </w:r>
      <w:r>
        <w:t xml:space="preserve"> </w:t>
      </w:r>
      <w:r w:rsidRPr="00183FCD">
        <w:rPr>
          <w:rFonts w:cs="Times New Roman" w:hint="eastAsia"/>
          <w:lang w:eastAsia="zh-CN"/>
        </w:rPr>
        <w:t>作者简介：童欣慧，女，华南师范大学国际商学院本科生。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4154986">
    <w:abstractNumId w:val="8"/>
  </w:num>
  <w:num w:numId="2" w16cid:durableId="1924794756">
    <w:abstractNumId w:val="6"/>
  </w:num>
  <w:num w:numId="3" w16cid:durableId="1173496045">
    <w:abstractNumId w:val="5"/>
  </w:num>
  <w:num w:numId="4" w16cid:durableId="1382360501">
    <w:abstractNumId w:val="4"/>
  </w:num>
  <w:num w:numId="5" w16cid:durableId="2110930316">
    <w:abstractNumId w:val="7"/>
  </w:num>
  <w:num w:numId="6" w16cid:durableId="883716277">
    <w:abstractNumId w:val="3"/>
  </w:num>
  <w:num w:numId="7" w16cid:durableId="1688555679">
    <w:abstractNumId w:val="2"/>
  </w:num>
  <w:num w:numId="8" w16cid:durableId="344598624">
    <w:abstractNumId w:val="1"/>
  </w:num>
  <w:num w:numId="9" w16cid:durableId="148361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FCD"/>
    <w:rsid w:val="0029639D"/>
    <w:rsid w:val="00326F90"/>
    <w:rsid w:val="007C549F"/>
    <w:rsid w:val="009249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11F9E2"/>
  <w14:defaultImageDpi w14:val="300"/>
  <w15:docId w15:val="{DF44DCA1-B07B-4A1B-9E91-54425385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183FCD"/>
    <w:pPr>
      <w:snapToGrid w:val="0"/>
    </w:pPr>
    <w:rPr>
      <w:sz w:val="18"/>
      <w:szCs w:val="18"/>
    </w:rPr>
  </w:style>
  <w:style w:type="character" w:customStyle="1" w:styleId="affa">
    <w:name w:val="脚注文本 字符"/>
    <w:basedOn w:val="a2"/>
    <w:link w:val="aff9"/>
    <w:uiPriority w:val="99"/>
    <w:semiHidden/>
    <w:rsid w:val="00183FCD"/>
    <w:rPr>
      <w:rFonts w:ascii="Times New Roman" w:eastAsia="宋体" w:hAnsi="Times New Roman"/>
      <w:sz w:val="18"/>
      <w:szCs w:val="18"/>
    </w:rPr>
  </w:style>
  <w:style w:type="character" w:styleId="affb">
    <w:name w:val="footnote reference"/>
    <w:basedOn w:val="a2"/>
    <w:uiPriority w:val="99"/>
    <w:semiHidden/>
    <w:unhideWhenUsed/>
    <w:rsid w:val="00183F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欣慧 童</cp:lastModifiedBy>
  <cp:revision>2</cp:revision>
  <dcterms:created xsi:type="dcterms:W3CDTF">2013-12-23T23:15:00Z</dcterms:created>
  <dcterms:modified xsi:type="dcterms:W3CDTF">2026-09-30T13:59:00Z</dcterms:modified>
  <cp:category/>
</cp:coreProperties>
</file>