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LIBRE — SECCIONAL CALI</w:t>
      </w:r>
    </w:p>
    <w:p>
      <w:pPr>
        <w:jc w:val="center"/>
      </w:pPr>
      <w:r>
        <w:rPr>
          <w:b w:val="0"/>
          <w:sz w:val="24"/>
        </w:rPr>
        <w:t>FACULTAD DE INGENIERÍA</w:t>
      </w:r>
    </w:p>
    <w:p>
      <w:pPr>
        <w:jc w:val="center"/>
      </w:pPr>
      <w:r>
        <w:rPr>
          <w:b w:val="0"/>
          <w:sz w:val="24"/>
        </w:rPr>
        <w:t>PROGRAMA: CIENCIA DE DATOS</w:t>
      </w:r>
    </w:p>
    <w:p/>
    <w:p/>
    <w:p/>
    <w:p>
      <w:pPr>
        <w:jc w:val="center"/>
      </w:pPr>
      <w:r>
        <w:rPr>
          <w:b/>
          <w:sz w:val="28"/>
        </w:rPr>
        <w:t>PRODUCTO DE DATOS INTEGRADO PARA EL MONITOREO Y PRONÓSTICO DE LAS IMPORTACIONES Y LA CARGA PORTUARIA DE BUENAVENTURA</w:t>
      </w:r>
    </w:p>
    <w:p/>
    <w:p/>
    <w:p/>
    <w:p/>
    <w:p>
      <w:pPr>
        <w:jc w:val="center"/>
      </w:pPr>
      <w:r>
        <w:rPr>
          <w:sz w:val="24"/>
        </w:rPr>
        <w:t>JUAN MANUEL TEJADA FAJARDO</w:t>
      </w:r>
    </w:p>
    <w:p>
      <w:pPr>
        <w:jc w:val="center"/>
      </w:pPr>
      <w:r>
        <w:rPr>
          <w:sz w:val="24"/>
        </w:rPr>
        <w:t>JESÚS ALEJANDRO GUERRERO</w:t>
      </w:r>
    </w:p>
    <w:p/>
    <w:p>
      <w:pPr>
        <w:jc w:val="center"/>
      </w:pPr>
      <w:r>
        <w:rPr>
          <w:sz w:val="24"/>
        </w:rPr>
        <w:t>Director del trabajo: Ing. Fabián Castillo</w:t>
      </w:r>
    </w:p>
    <w:p/>
    <w:p/>
    <w:p/>
    <w:p/>
    <w:p>
      <w:pPr>
        <w:jc w:val="center"/>
      </w:pPr>
      <w:r>
        <w:rPr>
          <w:sz w:val="24"/>
        </w:rPr>
        <w:t>SANTIAGO DE CALI</w:t>
      </w:r>
    </w:p>
    <w:p>
      <w:pPr>
        <w:jc w:val="center"/>
      </w:pPr>
      <w:r>
        <w:rPr>
          <w:sz w:val="24"/>
        </w:rPr>
        <w:t>2026</w:t>
      </w:r>
    </w:p>
    <w:p>
      <w:r>
        <w:br w:type="page"/>
      </w:r>
    </w:p>
    <w:p>
      <w:r>
        <w:rPr>
          <w:b/>
          <w:sz w:val="28"/>
        </w:rPr>
        <w:t>CONTENIDO</w:t>
      </w:r>
    </w:p>
    <w:p>
      <w:r>
        <w:t>1. Introducción</w:t>
      </w:r>
    </w:p>
    <w:p>
      <w:r>
        <w:t>2. Planteamiento del problema</w:t>
      </w:r>
    </w:p>
    <w:p>
      <w:r>
        <w:t>3. Objetivos</w:t>
      </w:r>
    </w:p>
    <w:p>
      <w:r>
        <w:t>4. Alcance y delimitación</w:t>
      </w:r>
    </w:p>
    <w:p>
      <w:r>
        <w:t>5. Fuentes de datos y viabilidad</w:t>
      </w:r>
    </w:p>
    <w:p>
      <w:r>
        <w:t>6. Metodología</w:t>
      </w:r>
    </w:p>
    <w:p>
      <w:r>
        <w:t>7. Arquitectura e integración de dominios</w:t>
      </w:r>
    </w:p>
    <w:p>
      <w:r>
        <w:t>8. Resultados del análisis exploratorio</w:t>
      </w:r>
    </w:p>
    <w:p>
      <w:r>
        <w:t>9. Resultados del modelado</w:t>
      </w:r>
    </w:p>
    <w:p>
      <w:r>
        <w:t>10. Producto de datos</w:t>
      </w:r>
    </w:p>
    <w:p>
      <w:r>
        <w:t>11. Conclusiones</w:t>
      </w:r>
    </w:p>
    <w:p>
      <w:r>
        <w:t>12. Recomendaciones</w:t>
      </w:r>
    </w:p>
    <w:p>
      <w:r>
        <w:t>13. Referencias</w:t>
      </w:r>
    </w:p>
    <w:p>
      <w:r>
        <w:t>Anexo A. Matriz de trazabilidad P01–P52</w:t>
      </w:r>
    </w:p>
    <w:p>
      <w:r>
        <w:t>Anexo B. Reporte de no viabilidad</w:t>
      </w:r>
    </w:p>
    <w:p>
      <w:pPr>
        <w:spacing w:after="240"/>
      </w:pPr>
      <w:r>
        <w:rPr>
          <w:i/>
          <w:color w:val="787878"/>
          <w:sz w:val="18"/>
        </w:rPr>
        <w:t>Para actualizar la paginación: seleccionar y pulsar F9 en Word.</w:t>
      </w:r>
    </w:p>
    <w:p>
      <w:r>
        <w:br w:type="page"/>
      </w:r>
    </w:p>
    <w:p>
      <w:r>
        <w:rPr>
          <w:b/>
          <w:sz w:val="28"/>
        </w:rPr>
        <w:t>1. INTRODUCCIÓN</w:t>
      </w:r>
    </w:p>
    <w:p>
      <w:pPr>
        <w:spacing w:after="120" w:line="360" w:lineRule="auto"/>
        <w:jc w:val="both"/>
      </w:pPr>
      <w:r>
        <w:t>Buenaventura concentra una parte central del comercio exterior colombiano por el Pacífico. Las estadísticas oficiales que lo describen existen y son públicas, pero viven separadas: los microdatos de importaciones del DANE registran declaraciones aduaneras, mientras las estadísticas de la Superintendencia de Transporte registran toneladas movilizadas por las sociedades portuarias. Ninguna de las dos, por sí sola, permite distinguir si un cambio en el comercio del puerto responde a más mercancía o a mercancía más cara.</w:t>
      </w:r>
    </w:p>
    <w:p>
      <w:pPr>
        <w:spacing w:after="120" w:line="360" w:lineRule="auto"/>
        <w:jc w:val="both"/>
      </w:pPr>
      <w:r>
        <w:t>Este trabajo integra ambos dominios. El aduanero aporta 173 meses (2012-01 a 2026-05) construidos a partir de 6.703.351 registros de la aduana 35. El portuario aporta 102 meses (2018-01 a 2026-06). El periodo en que ambos coexisten es de 101 meses.</w:t>
      </w:r>
    </w:p>
    <w:p>
      <w:pPr>
        <w:spacing w:after="120" w:line="360" w:lineRule="auto"/>
        <w:jc w:val="both"/>
      </w:pPr>
      <w:r>
        <w:t>El resultado más relevante del trabajo contradice la hipótesis con la que se inició: integrar los dominios no mejora la capacidad de pronóstico. Ese hallazgo, lejos de invalidar la integración, precisa su función dentro del producto.</w:t>
      </w:r>
    </w:p>
    <w:p>
      <w:r>
        <w:rPr>
          <w:b/>
          <w:sz w:val="28"/>
        </w:rPr>
        <w:t>2. PLANTEAMIENTO DEL PROBLEMA</w:t>
      </w:r>
    </w:p>
    <w:p>
      <w:pPr>
        <w:spacing w:after="120" w:line="360" w:lineRule="auto"/>
        <w:jc w:val="both"/>
      </w:pPr>
      <w:r>
        <w:t>La existencia de datos públicos no resuelve por sí sola una necesidad analítica. Los archivos deben integrarse, homologarse y validarse antes de poder usarse. En el caso de Buenaventura se suma una dificultad conceptual: una variación monetaria puede confundirse con un cambio físico si no se contrastan el valor CIF, el peso neto y el valor unitario implícito.</w:t>
      </w:r>
    </w:p>
    <w:p>
      <w:pPr>
        <w:spacing w:after="120" w:line="360" w:lineRule="auto"/>
        <w:jc w:val="both"/>
      </w:pPr>
      <w:r>
        <w:t>La pregunta que orienta el trabajo es: ¿cómo desarrollar un producto de datos reproducible que integre información aduanera y portuaria de Buenaventura, comunique su incertidumbre de manera calibrada y genere señales explicables para priorizar el análisis, sin afirmar relaciones que las fuentes no permitan sostener?</w:t>
      </w:r>
    </w:p>
    <w:p>
      <w:r>
        <w:rPr>
          <w:b/>
          <w:sz w:val="28"/>
        </w:rPr>
        <w:t>3. OBJETIVOS</w:t>
      </w:r>
    </w:p>
    <w:p>
      <w:r>
        <w:rPr>
          <w:b/>
          <w:sz w:val="24"/>
        </w:rPr>
        <w:t>3.1 Objetivo general</w:t>
      </w:r>
    </w:p>
    <w:p>
      <w:pPr>
        <w:spacing w:after="120" w:line="360" w:lineRule="auto"/>
        <w:jc w:val="both"/>
      </w:pPr>
      <w:r>
        <w:t>Desarrollar y validar un producto de datos reproducible que integre información aduanera y portuaria de Buenaventura para monitorear, describir y pronosticar los indicadores que tengan calidad e historia suficientes, conservando la trazabilidad desde la fuente oficial hasta la salida de consumo.</w:t>
      </w:r>
    </w:p>
    <w:p>
      <w:r>
        <w:rPr>
          <w:b/>
          <w:sz w:val="24"/>
        </w:rPr>
        <w:t>3.2 Objetivos específicos</w:t>
      </w:r>
    </w:p>
    <w:p>
      <w:pPr>
        <w:pStyle w:val="ListBullet"/>
      </w:pPr>
      <w:r>
        <w:t>Evaluar la viabilidad de fuentes en los dominios aduanero, portuario, marítimo y contextual.</w:t>
      </w:r>
    </w:p>
    <w:p>
      <w:pPr>
        <w:pStyle w:val="ListBullet"/>
      </w:pPr>
      <w:r>
        <w:t>Construir series mensuales reproducibles y reconciliadas de cada dominio viable.</w:t>
      </w:r>
    </w:p>
    <w:p>
      <w:pPr>
        <w:pStyle w:val="ListBullet"/>
      </w:pPr>
      <w:r>
        <w:t>Ejecutar las 52 preguntas del análisis exploratorio y conservar su evidencia.</w:t>
      </w:r>
    </w:p>
    <w:p>
      <w:pPr>
        <w:pStyle w:val="ListBullet"/>
      </w:pPr>
      <w:r>
        <w:t>Declarar el tipo de integración posible entre dominios y sus límites.</w:t>
      </w:r>
    </w:p>
    <w:p>
      <w:pPr>
        <w:pStyle w:val="ListBullet"/>
      </w:pPr>
      <w:r>
        <w:t>Determinar qué indicadores pueden pronosticarse de forma responsable.</w:t>
      </w:r>
    </w:p>
    <w:p>
      <w:pPr>
        <w:pStyle w:val="ListBullet"/>
      </w:pPr>
      <w:r>
        <w:t>Medir si la integración multidominio mejora el pronóstico.</w:t>
      </w:r>
    </w:p>
    <w:p>
      <w:pPr>
        <w:pStyle w:val="ListBullet"/>
      </w:pPr>
      <w:r>
        <w:t>Comunicar la incertidumbre mediante intervalos con cobertura medida.</w:t>
      </w:r>
    </w:p>
    <w:p>
      <w:pPr>
        <w:pStyle w:val="ListBullet"/>
      </w:pPr>
      <w:r>
        <w:t>Documentar con evidencia las fuentes y variables no viables.</w:t>
      </w:r>
    </w:p>
    <w:p>
      <w:r>
        <w:rPr>
          <w:b/>
          <w:sz w:val="28"/>
        </w:rPr>
        <w:t>4. ALCANCE Y DELIMITACIÓN</w:t>
      </w:r>
    </w:p>
    <w:p>
      <w:pPr>
        <w:spacing w:after="120" w:line="360" w:lineRule="auto"/>
        <w:jc w:val="both"/>
      </w:pPr>
      <w:r>
        <w:t>El alcance comprende la integración de los dominios aduanero y portuario, el análisis exploratorio completo, el pronóstico de los indicadores elegibles, los intervalos calibrados, las reglas de alerta y un tablero de consulta.</w:t>
      </w:r>
    </w:p>
    <w:p>
      <w:r>
        <w:rPr>
          <w:b/>
          <w:sz w:val="24"/>
        </w:rPr>
        <w:t>4.1 Exclusiones declaradas</w:t>
      </w:r>
    </w:p>
    <w:p>
      <w:pPr>
        <w:pStyle w:val="ListBullet"/>
      </w:pPr>
      <w:r>
        <w:t>El código de aduana 35 es una unidad de registro administrativo. No mide congestión, patios, buques, contenedores ni tiempos de despacho.</w:t>
      </w:r>
    </w:p>
    <w:p>
      <w:pPr>
        <w:pStyle w:val="ListBullet"/>
      </w:pPr>
      <w:r>
        <w:t>La fuente portuaria identifica la sociedad portuaria, no la terminal física ni el muelle.</w:t>
      </w:r>
    </w:p>
    <w:p>
      <w:pPr>
        <w:pStyle w:val="ListBullet"/>
      </w:pPr>
      <w:r>
        <w:t>El valor CIF por kilogramo es un valor unitario implícito agregado. No es un precio.</w:t>
      </w:r>
    </w:p>
    <w:p>
      <w:pPr>
        <w:pStyle w:val="ListBullet"/>
      </w:pPr>
      <w:r>
        <w:t>El transbordo no constituye comercio exterior: es carga que cambia de buque sin entrar ni salir del país.</w:t>
      </w:r>
    </w:p>
    <w:p>
      <w:pPr>
        <w:pStyle w:val="ListBullet"/>
      </w:pPr>
      <w:r>
        <w:t>El dominio marítimo y el operativo no se construyen por ausencia de fuente pública.</w:t>
      </w:r>
    </w:p>
    <w:p>
      <w:pPr>
        <w:pStyle w:val="ListBullet"/>
      </w:pPr>
      <w:r>
        <w:t>El valor CIF está expresado en dólares corrientes.</w:t>
      </w:r>
    </w:p>
    <w:p>
      <w:pPr>
        <w:pStyle w:val="ListBullet"/>
      </w:pPr>
      <w:r>
        <w:t>Las alertas son señales de revisión analítica, no órdenes operativas.</w:t>
      </w:r>
    </w:p>
    <w:p>
      <w:r>
        <w:rPr>
          <w:b/>
          <w:sz w:val="28"/>
        </w:rPr>
        <w:t>5. FUENTES DE DATOS Y VIABILIDAD</w:t>
      </w:r>
    </w:p>
    <w:p>
      <w:pPr>
        <w:spacing w:after="120" w:line="360" w:lineRule="auto"/>
        <w:jc w:val="both"/>
      </w:pPr>
      <w:r>
        <w:t>Se inventariaron seis fuentes en cuatro dominios antes de descargar ninguna. La decisión sobre cada una se tomó con criterios declarados de antemano: cobertura histórica, granularidad compatible, licencia, reproducibilidad de la descarga y rezago de publicación conocido.</w:t>
      </w:r>
    </w:p>
    <w:p>
      <w:r>
        <w:rPr>
          <w:b/>
          <w:sz w:val="22"/>
        </w:rPr>
        <w:t>Tabla 1. Inventario y decisión sobre las fuentes evaluadas</w:t>
      </w:r>
    </w:p>
    <w:tbl>
      <w:tblPr>
        <w:tblStyle w:val="TableGrid"/>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fuente_id</w:t>
            </w:r>
          </w:p>
        </w:tc>
        <w:tc>
          <w:tcPr>
            <w:tcW w:type="dxa" w:w="1474"/>
          </w:tcPr>
          <w:p>
            <w:pPr>
              <w:jc w:val="center"/>
            </w:pPr>
            <w:r>
              <w:rPr>
                <w:b/>
                <w:sz w:val="18"/>
              </w:rPr>
              <w:t>dominio</w:t>
            </w:r>
          </w:p>
        </w:tc>
        <w:tc>
          <w:tcPr>
            <w:tcW w:type="dxa" w:w="1474"/>
          </w:tcPr>
          <w:p>
            <w:pPr>
              <w:jc w:val="center"/>
            </w:pPr>
            <w:r>
              <w:rPr>
                <w:b/>
                <w:sz w:val="18"/>
              </w:rPr>
              <w:t>entidad</w:t>
            </w:r>
          </w:p>
        </w:tc>
        <w:tc>
          <w:tcPr>
            <w:tcW w:type="dxa" w:w="1474"/>
          </w:tcPr>
          <w:p>
            <w:pPr>
              <w:jc w:val="center"/>
            </w:pPr>
            <w:r>
              <w:rPr>
                <w:b/>
                <w:sz w:val="18"/>
              </w:rPr>
              <w:t>formato</w:t>
            </w:r>
          </w:p>
        </w:tc>
        <w:tc>
          <w:tcPr>
            <w:tcW w:type="dxa" w:w="1474"/>
          </w:tcPr>
          <w:p>
            <w:pPr>
              <w:jc w:val="center"/>
            </w:pPr>
            <w:r>
              <w:rPr>
                <w:b/>
                <w:sz w:val="18"/>
              </w:rPr>
              <w:t>frecuencia</w:t>
            </w:r>
          </w:p>
        </w:tc>
        <w:tc>
          <w:tcPr>
            <w:tcW w:type="dxa" w:w="1474"/>
          </w:tcPr>
          <w:p>
            <w:pPr>
              <w:jc w:val="center"/>
            </w:pPr>
            <w:r>
              <w:rPr>
                <w:b/>
                <w:sz w:val="18"/>
              </w:rPr>
              <w:t>decision</w:t>
            </w:r>
          </w:p>
        </w:tc>
      </w:tr>
      <w:tr>
        <w:tc>
          <w:tcPr>
            <w:tcW w:type="dxa" w:w="1474"/>
          </w:tcPr>
          <w:p>
            <w:pPr>
              <w:jc w:val="center"/>
            </w:pPr>
            <w:r>
              <w:rPr>
                <w:sz w:val="18"/>
              </w:rPr>
              <w:t>dane_impo</w:t>
            </w:r>
          </w:p>
        </w:tc>
        <w:tc>
          <w:tcPr>
            <w:tcW w:type="dxa" w:w="1474"/>
          </w:tcPr>
          <w:p>
            <w:pPr>
              <w:jc w:val="center"/>
            </w:pPr>
            <w:r>
              <w:rPr>
                <w:sz w:val="18"/>
              </w:rPr>
              <w:t>aduanero</w:t>
            </w:r>
          </w:p>
        </w:tc>
        <w:tc>
          <w:tcPr>
            <w:tcW w:type="dxa" w:w="1474"/>
          </w:tcPr>
          <w:p>
            <w:pPr>
              <w:jc w:val="center"/>
            </w:pPr>
            <w:r>
              <w:rPr>
                <w:sz w:val="18"/>
              </w:rPr>
              <w:t>DANE</w:t>
            </w:r>
          </w:p>
        </w:tc>
        <w:tc>
          <w:tcPr>
            <w:tcW w:type="dxa" w:w="1474"/>
          </w:tcPr>
          <w:p>
            <w:pPr>
              <w:jc w:val="center"/>
            </w:pPr>
            <w:r>
              <w:rPr>
                <w:sz w:val="18"/>
              </w:rPr>
              <w:t>CSV dentro de ZIP anidados</w:t>
            </w:r>
          </w:p>
        </w:tc>
        <w:tc>
          <w:tcPr>
            <w:tcW w:type="dxa" w:w="1474"/>
          </w:tcPr>
          <w:p>
            <w:pPr>
              <w:jc w:val="center"/>
            </w:pPr>
            <w:r>
              <w:rPr>
                <w:sz w:val="18"/>
              </w:rPr>
              <w:t>mensual</w:t>
            </w:r>
          </w:p>
        </w:tc>
        <w:tc>
          <w:tcPr>
            <w:tcW w:type="dxa" w:w="1474"/>
          </w:tcPr>
          <w:p>
            <w:pPr>
              <w:jc w:val="center"/>
            </w:pPr>
            <w:r>
              <w:rPr>
                <w:sz w:val="18"/>
              </w:rPr>
              <w:t>integrar</w:t>
            </w:r>
          </w:p>
        </w:tc>
      </w:tr>
      <w:tr>
        <w:tc>
          <w:tcPr>
            <w:tcW w:type="dxa" w:w="1474"/>
          </w:tcPr>
          <w:p>
            <w:pPr>
              <w:jc w:val="center"/>
            </w:pPr>
            <w:r>
              <w:rPr>
                <w:sz w:val="18"/>
              </w:rPr>
              <w:t>supertransporte_trafico</w:t>
            </w:r>
          </w:p>
        </w:tc>
        <w:tc>
          <w:tcPr>
            <w:tcW w:type="dxa" w:w="1474"/>
          </w:tcPr>
          <w:p>
            <w:pPr>
              <w:jc w:val="center"/>
            </w:pPr>
            <w:r>
              <w:rPr>
                <w:sz w:val="18"/>
              </w:rPr>
              <w:t>portuario</w:t>
            </w:r>
          </w:p>
        </w:tc>
        <w:tc>
          <w:tcPr>
            <w:tcW w:type="dxa" w:w="1474"/>
          </w:tcPr>
          <w:p>
            <w:pPr>
              <w:jc w:val="center"/>
            </w:pPr>
            <w:r>
              <w:rPr>
                <w:sz w:val="18"/>
              </w:rPr>
              <w:t>Superintendencia de Transporte</w:t>
            </w:r>
          </w:p>
        </w:tc>
        <w:tc>
          <w:tcPr>
            <w:tcW w:type="dxa" w:w="1474"/>
          </w:tcPr>
          <w:p>
            <w:pPr>
              <w:jc w:val="center"/>
            </w:pPr>
            <w:r>
              <w:rPr>
                <w:sz w:val="18"/>
              </w:rPr>
              <w:t>CSV vía API Socrata</w:t>
            </w:r>
          </w:p>
        </w:tc>
        <w:tc>
          <w:tcPr>
            <w:tcW w:type="dxa" w:w="1474"/>
          </w:tcPr>
          <w:p>
            <w:pPr>
              <w:jc w:val="center"/>
            </w:pPr>
            <w:r>
              <w:rPr>
                <w:sz w:val="18"/>
              </w:rPr>
              <w:t>mensual (publicación trimestral)</w:t>
            </w:r>
          </w:p>
        </w:tc>
        <w:tc>
          <w:tcPr>
            <w:tcW w:type="dxa" w:w="1474"/>
          </w:tcPr>
          <w:p>
            <w:pPr>
              <w:jc w:val="center"/>
            </w:pPr>
            <w:r>
              <w:rPr>
                <w:sz w:val="18"/>
              </w:rPr>
              <w:t>integrar</w:t>
            </w:r>
          </w:p>
        </w:tc>
      </w:tr>
      <w:tr>
        <w:tc>
          <w:tcPr>
            <w:tcW w:type="dxa" w:w="1474"/>
          </w:tcPr>
          <w:p>
            <w:pPr>
              <w:jc w:val="center"/>
            </w:pPr>
            <w:r>
              <w:rPr>
                <w:sz w:val="18"/>
              </w:rPr>
              <w:t>banrep_trm</w:t>
            </w:r>
          </w:p>
        </w:tc>
        <w:tc>
          <w:tcPr>
            <w:tcW w:type="dxa" w:w="1474"/>
          </w:tcPr>
          <w:p>
            <w:pPr>
              <w:jc w:val="center"/>
            </w:pPr>
            <w:r>
              <w:rPr>
                <w:sz w:val="18"/>
              </w:rPr>
              <w:t>contextual</w:t>
            </w:r>
          </w:p>
        </w:tc>
        <w:tc>
          <w:tcPr>
            <w:tcW w:type="dxa" w:w="1474"/>
          </w:tcPr>
          <w:p>
            <w:pPr>
              <w:jc w:val="center"/>
            </w:pPr>
            <w:r>
              <w:rPr>
                <w:sz w:val="18"/>
              </w:rPr>
              <w:t>Banco de la República</w:t>
            </w:r>
          </w:p>
        </w:tc>
        <w:tc>
          <w:tcPr>
            <w:tcW w:type="dxa" w:w="1474"/>
          </w:tcPr>
          <w:p>
            <w:pPr>
              <w:jc w:val="center"/>
            </w:pPr>
            <w:r>
              <w:rPr>
                <w:sz w:val="18"/>
              </w:rPr>
              <w:t>CSV</w:t>
            </w:r>
          </w:p>
        </w:tc>
        <w:tc>
          <w:tcPr>
            <w:tcW w:type="dxa" w:w="1474"/>
          </w:tcPr>
          <w:p>
            <w:pPr>
              <w:jc w:val="center"/>
            </w:pPr>
            <w:r>
              <w:rPr>
                <w:sz w:val="18"/>
              </w:rPr>
              <w:t>diaria</w:t>
            </w:r>
          </w:p>
        </w:tc>
        <w:tc>
          <w:tcPr>
            <w:tcW w:type="dxa" w:w="1474"/>
          </w:tcPr>
          <w:p>
            <w:pPr>
              <w:jc w:val="center"/>
            </w:pPr>
            <w:r>
              <w:rPr>
                <w:sz w:val="18"/>
              </w:rPr>
              <w:t>contexto</w:t>
            </w:r>
          </w:p>
        </w:tc>
      </w:tr>
      <w:tr>
        <w:tc>
          <w:tcPr>
            <w:tcW w:type="dxa" w:w="1474"/>
          </w:tcPr>
          <w:p>
            <w:pPr>
              <w:jc w:val="center"/>
            </w:pPr>
            <w:r>
              <w:rPr>
                <w:sz w:val="18"/>
              </w:rPr>
              <w:t>noaa_oni</w:t>
            </w:r>
          </w:p>
        </w:tc>
        <w:tc>
          <w:tcPr>
            <w:tcW w:type="dxa" w:w="1474"/>
          </w:tcPr>
          <w:p>
            <w:pPr>
              <w:jc w:val="center"/>
            </w:pPr>
            <w:r>
              <w:rPr>
                <w:sz w:val="18"/>
              </w:rPr>
              <w:t>contextual</w:t>
            </w:r>
          </w:p>
        </w:tc>
        <w:tc>
          <w:tcPr>
            <w:tcW w:type="dxa" w:w="1474"/>
          </w:tcPr>
          <w:p>
            <w:pPr>
              <w:jc w:val="center"/>
            </w:pPr>
            <w:r>
              <w:rPr>
                <w:sz w:val="18"/>
              </w:rPr>
              <w:t>NOAA Climate Prediction Center</w:t>
            </w:r>
          </w:p>
        </w:tc>
        <w:tc>
          <w:tcPr>
            <w:tcW w:type="dxa" w:w="1474"/>
          </w:tcPr>
          <w:p>
            <w:pPr>
              <w:jc w:val="center"/>
            </w:pPr>
            <w:r>
              <w:rPr>
                <w:sz w:val="18"/>
              </w:rPr>
              <w:t>CSV</w:t>
            </w:r>
          </w:p>
        </w:tc>
        <w:tc>
          <w:tcPr>
            <w:tcW w:type="dxa" w:w="1474"/>
          </w:tcPr>
          <w:p>
            <w:pPr>
              <w:jc w:val="center"/>
            </w:pPr>
            <w:r>
              <w:rPr>
                <w:sz w:val="18"/>
              </w:rPr>
              <w:t>mensual</w:t>
            </w:r>
          </w:p>
        </w:tc>
        <w:tc>
          <w:tcPr>
            <w:tcW w:type="dxa" w:w="1474"/>
          </w:tcPr>
          <w:p>
            <w:pPr>
              <w:jc w:val="center"/>
            </w:pPr>
            <w:r>
              <w:rPr>
                <w:sz w:val="18"/>
              </w:rPr>
              <w:t>contexto</w:t>
            </w:r>
          </w:p>
        </w:tc>
      </w:tr>
      <w:tr>
        <w:tc>
          <w:tcPr>
            <w:tcW w:type="dxa" w:w="1474"/>
          </w:tcPr>
          <w:p>
            <w:pPr>
              <w:jc w:val="center"/>
            </w:pPr>
            <w:r>
              <w:rPr>
                <w:sz w:val="18"/>
              </w:rPr>
              <w:t>dimar_trafico</w:t>
            </w:r>
          </w:p>
        </w:tc>
        <w:tc>
          <w:tcPr>
            <w:tcW w:type="dxa" w:w="1474"/>
          </w:tcPr>
          <w:p>
            <w:pPr>
              <w:jc w:val="center"/>
            </w:pPr>
            <w:r>
              <w:rPr>
                <w:sz w:val="18"/>
              </w:rPr>
              <w:t>marítimo</w:t>
            </w:r>
          </w:p>
        </w:tc>
        <w:tc>
          <w:tcPr>
            <w:tcW w:type="dxa" w:w="1474"/>
          </w:tcPr>
          <w:p>
            <w:pPr>
              <w:jc w:val="center"/>
            </w:pPr>
            <w:r>
              <w:rPr>
                <w:sz w:val="18"/>
              </w:rPr>
              <w:t>DIMAR</w:t>
            </w:r>
          </w:p>
        </w:tc>
        <w:tc>
          <w:tcPr>
            <w:tcW w:type="dxa" w:w="1474"/>
          </w:tcPr>
          <w:p>
            <w:pPr>
              <w:jc w:val="center"/>
            </w:pPr>
            <w:r>
              <w:rPr>
                <w:sz w:val="18"/>
              </w:rPr>
              <w:t>PDF</w:t>
            </w:r>
          </w:p>
        </w:tc>
        <w:tc>
          <w:tcPr>
            <w:tcW w:type="dxa" w:w="1474"/>
          </w:tcPr>
          <w:p>
            <w:pPr>
              <w:jc w:val="center"/>
            </w:pPr>
            <w:r>
              <w:rPr>
                <w:sz w:val="18"/>
              </w:rPr>
              <w:t>trimestral</w:t>
            </w:r>
          </w:p>
        </w:tc>
        <w:tc>
          <w:tcPr>
            <w:tcW w:type="dxa" w:w="1474"/>
          </w:tcPr>
          <w:p>
            <w:pPr>
              <w:jc w:val="center"/>
            </w:pPr>
            <w:r>
              <w:rPr>
                <w:sz w:val="18"/>
              </w:rPr>
              <w:t>no integrada — solo PDF, sin serie tabular descargable</w:t>
            </w:r>
          </w:p>
        </w:tc>
      </w:tr>
      <w:tr>
        <w:tc>
          <w:tcPr>
            <w:tcW w:type="dxa" w:w="1474"/>
          </w:tcPr>
          <w:p>
            <w:pPr>
              <w:jc w:val="center"/>
            </w:pPr>
            <w:r>
              <w:rPr>
                <w:sz w:val="18"/>
              </w:rPr>
              <w:t>ais_comercial</w:t>
            </w:r>
          </w:p>
        </w:tc>
        <w:tc>
          <w:tcPr>
            <w:tcW w:type="dxa" w:w="1474"/>
          </w:tcPr>
          <w:p>
            <w:pPr>
              <w:jc w:val="center"/>
            </w:pPr>
            <w:r>
              <w:rPr>
                <w:sz w:val="18"/>
              </w:rPr>
              <w:t>operacional</w:t>
            </w:r>
          </w:p>
        </w:tc>
        <w:tc>
          <w:tcPr>
            <w:tcW w:type="dxa" w:w="1474"/>
          </w:tcPr>
          <w:p>
            <w:pPr>
              <w:jc w:val="center"/>
            </w:pPr>
            <w:r>
              <w:rPr>
                <w:sz w:val="18"/>
              </w:rPr>
              <w:t>proveedores comerciales de AIS</w:t>
            </w:r>
          </w:p>
        </w:tc>
        <w:tc>
          <w:tcPr>
            <w:tcW w:type="dxa" w:w="1474"/>
          </w:tcPr>
          <w:p>
            <w:pPr>
              <w:jc w:val="center"/>
            </w:pPr>
            <w:r>
              <w:rPr>
                <w:sz w:val="18"/>
              </w:rPr>
              <w:t>API de pago</w:t>
            </w:r>
          </w:p>
        </w:tc>
        <w:tc>
          <w:tcPr>
            <w:tcW w:type="dxa" w:w="1474"/>
          </w:tcPr>
          <w:p>
            <w:pPr>
              <w:jc w:val="center"/>
            </w:pPr>
            <w:r>
              <w:rPr>
                <w:sz w:val="18"/>
              </w:rPr>
              <w:t>tiempo real</w:t>
            </w:r>
          </w:p>
        </w:tc>
        <w:tc>
          <w:tcPr>
            <w:tcW w:type="dxa" w:w="1474"/>
          </w:tcPr>
          <w:p>
            <w:pPr>
              <w:jc w:val="center"/>
            </w:pPr>
            <w:r>
              <w:rPr>
                <w:sz w:val="18"/>
              </w:rPr>
              <w:t>descartada — sin acceso ni presupuesto</w:t>
            </w:r>
          </w:p>
        </w:tc>
      </w:tr>
    </w:tbl>
    <w:p>
      <w:pPr>
        <w:spacing w:after="240"/>
      </w:pPr>
      <w:r>
        <w:rPr>
          <w:i/>
          <w:color w:val="787878"/>
          <w:sz w:val="18"/>
        </w:rPr>
        <w:t>Fuente: Elaboración propia. Salida del pipeline: catalogo_fuentes.csv (P01, P07).</w:t>
      </w:r>
    </w:p>
    <w:p>
      <w:pPr>
        <w:spacing w:after="120" w:line="360" w:lineRule="auto"/>
        <w:jc w:val="both"/>
      </w:pPr>
      <w:r>
        <w:t>Dos hallazgos condicionan el alcance. El primero es favorable: el conjunto de datos de tráfico portuario de la Superintendencia de Transporte publica el dato mensual por sociedad portuaria y tipo de carga, con descarga automatizable y licencia CC BY-SA 4.0. El diagnóstico previo suponía que solo existían boletines trimestrales en formato PDF, y esa suposición era incorrecta.</w:t>
      </w:r>
    </w:p>
    <w:p>
      <w:pPr>
        <w:spacing w:after="120" w:line="360" w:lineRule="auto"/>
        <w:jc w:val="both"/>
      </w:pPr>
      <w:r>
        <w:t>El segundo es restrictivo: no existe fuente pública con serie histórica tabular para arribos, zarpes, tipos de buque, banderas, horarios, tiempos estimados y reales de llegada o salida, ni permanencias. La Dirección General Marítima publica únicamente boletines trimestrales agregados. Los datos de evento provienen de sistemas de terminal o de proveedores comerciales de AIS, sin acceso ni presupuesto. Ocho preguntas del análisis quedan cerradas como no viables con la búsqueda documentada.</w:t>
      </w:r>
    </w:p>
    <w:p>
      <w:r>
        <w:rPr>
          <w:b/>
          <w:sz w:val="28"/>
        </w:rPr>
        <w:t>6. METODOLOGÍA</w:t>
      </w:r>
    </w:p>
    <w:p>
      <w:pPr>
        <w:spacing w:after="120" w:line="360" w:lineRule="auto"/>
        <w:jc w:val="both"/>
      </w:pPr>
      <w:r>
        <w:t>Investigación aplicada, cuantitativa y longitudinal. Cada fase produce una evidencia verificable y ninguna cifra llega a este documento sin pasar antes por un archivo generado por el pipeline.</w:t>
      </w:r>
    </w:p>
    <w:p>
      <w:r>
        <w:rPr>
          <w:b/>
          <w:sz w:val="24"/>
        </w:rPr>
        <w:t>6.1 Validación temporal</w:t>
      </w:r>
    </w:p>
    <w:p>
      <w:pPr>
        <w:spacing w:after="120" w:line="360" w:lineRule="auto"/>
        <w:jc w:val="both"/>
      </w:pPr>
      <w:r>
        <w:t>Se emplea validación walk-forward de un paso con ventana expansiva. En cada corte el modelo se entrena con el pasado y predice el mes siguiente. Toda transformación que dependa de los datos, incluidos los escaladores, se ajusta dentro del conjunto de entrenamiento de cada corte y nunca sobre la serie completa.</w:t>
      </w:r>
    </w:p>
    <w:p>
      <w:r>
        <w:rPr>
          <w:b/>
          <w:sz w:val="24"/>
        </w:rPr>
        <w:t>6.2 Construcción de intervalos</w:t>
      </w:r>
    </w:p>
    <w:p>
      <w:pPr>
        <w:spacing w:after="120" w:line="360" w:lineRule="auto"/>
        <w:jc w:val="both"/>
      </w:pPr>
      <w:r>
        <w:t>Los intervalos se construyen a partir de los cuantiles empíricos de los errores fuera de muestra del backtest, con calibración expansiva: para el corte t solo se utilizan los errores de los cortes anteriores. En ningún caso se derivan de una métrica de error puntual. Si la cobertura empírica no alcanza el nivel nominal, el intervalo se recalibra o se renombra según lo que realmente cubre.</w:t>
      </w:r>
    </w:p>
    <w:p>
      <w:r>
        <w:rPr>
          <w:b/>
          <w:sz w:val="24"/>
        </w:rPr>
        <w:t>6.3 Líneas base</w:t>
      </w:r>
    </w:p>
    <w:p>
      <w:pPr>
        <w:spacing w:after="120" w:line="360" w:lineRule="auto"/>
        <w:jc w:val="both"/>
      </w:pPr>
      <w:r>
        <w:t>Se reportan siempre tres referencias: naive de un paso, naive estacional y drift. Reportar únicamente la referencia estacional exagera la mejora atribuible al modelo. En esta serie, el naive estacional alcanza un WAPE de 16,487 % mientras el naive simple alcanza 6,956 %: la referencia exigente es la segunda.</w:t>
      </w:r>
    </w:p>
    <w:p>
      <w:r>
        <w:rPr>
          <w:b/>
          <w:sz w:val="28"/>
        </w:rPr>
        <w:t>7. ARQUITECTURA E INTEGRACIÓN DE DOMINIOS</w:t>
      </w:r>
    </w:p>
    <w:p>
      <w:pPr>
        <w:spacing w:after="120" w:line="360" w:lineRule="auto"/>
        <w:jc w:val="both"/>
      </w:pPr>
      <w:r>
        <w:t>Los datos se organizan en cuatro capas: raw con los archivos originales inmutables y su hash, landing con la homologación de esquemas, trusted con las series validadas y surface con las salidas de consumo. Los cuadernos orquestan y la lógica reutilizable vive en módulos cubiertos por 80 pruebas automatizadas.</w:t>
      </w:r>
    </w:p>
    <w:p>
      <w:r>
        <w:rPr>
          <w:b/>
          <w:sz w:val="24"/>
        </w:rPr>
        <w:t>7.1 Tipo de integración posible</w:t>
      </w:r>
    </w:p>
    <w:p>
      <w:pPr>
        <w:spacing w:after="120" w:line="360" w:lineRule="auto"/>
        <w:jc w:val="both"/>
      </w:pPr>
      <w:r>
        <w:t>No existe llave pública que relacione una declaración de importación con un movimiento de carga portuaria. Los conceptos tampoco son equivalentes: la aduana mide mercancía importada sin embalaje bajo el código 35, mientras el puerto mide toneladas movilizadas con embalaje e incluye exportación y transbordo. Por eso la integración es agregada por mes calendario, nunca directa.</w:t>
      </w:r>
    </w:p>
    <w:p>
      <w:r>
        <w:rPr>
          <w:b/>
          <w:sz w:val="22"/>
        </w:rPr>
        <w:t>Tabla 2. Relaciones entre fuentes y tipo de integración</w:t>
      </w:r>
    </w:p>
    <w:tbl>
      <w:tblPr>
        <w:tblStyle w:val="TableGrid"/>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origen</w:t>
            </w:r>
          </w:p>
        </w:tc>
        <w:tc>
          <w:tcPr>
            <w:tcW w:type="dxa" w:w="1474"/>
          </w:tcPr>
          <w:p>
            <w:pPr>
              <w:jc w:val="center"/>
            </w:pPr>
            <w:r>
              <w:rPr>
                <w:b/>
                <w:sz w:val="18"/>
              </w:rPr>
              <w:t>destino</w:t>
            </w:r>
          </w:p>
        </w:tc>
        <w:tc>
          <w:tcPr>
            <w:tcW w:type="dxa" w:w="1474"/>
          </w:tcPr>
          <w:p>
            <w:pPr>
              <w:jc w:val="center"/>
            </w:pPr>
            <w:r>
              <w:rPr>
                <w:b/>
                <w:sz w:val="18"/>
              </w:rPr>
              <w:t>llave</w:t>
            </w:r>
          </w:p>
        </w:tc>
        <w:tc>
          <w:tcPr>
            <w:tcW w:type="dxa" w:w="1474"/>
          </w:tcPr>
          <w:p>
            <w:pPr>
              <w:jc w:val="center"/>
            </w:pPr>
            <w:r>
              <w:rPr>
                <w:b/>
                <w:sz w:val="18"/>
              </w:rPr>
              <w:t>tipo</w:t>
            </w:r>
          </w:p>
        </w:tc>
        <w:tc>
          <w:tcPr>
            <w:tcW w:type="dxa" w:w="1474"/>
          </w:tcPr>
          <w:p>
            <w:pPr>
              <w:jc w:val="center"/>
            </w:pPr>
            <w:r>
              <w:rPr>
                <w:b/>
                <w:sz w:val="18"/>
              </w:rPr>
              <w:t>granularidad_comun</w:t>
            </w:r>
          </w:p>
        </w:tc>
        <w:tc>
          <w:tcPr>
            <w:tcW w:type="dxa" w:w="1474"/>
          </w:tcPr>
          <w:p>
            <w:pPr>
              <w:jc w:val="center"/>
            </w:pPr>
            <w:r>
              <w:rPr>
                <w:b/>
                <w:sz w:val="18"/>
              </w:rPr>
              <w:t>justificacion</w:t>
            </w:r>
          </w:p>
        </w:tc>
      </w:tr>
      <w:tr>
        <w:tc>
          <w:tcPr>
            <w:tcW w:type="dxa" w:w="1474"/>
          </w:tcPr>
          <w:p>
            <w:pPr>
              <w:jc w:val="center"/>
            </w:pPr>
            <w:r>
              <w:rPr>
                <w:sz w:val="18"/>
              </w:rPr>
              <w:t>DANE IMPO (declaraciones)</w:t>
            </w:r>
          </w:p>
        </w:tc>
        <w:tc>
          <w:tcPr>
            <w:tcW w:type="dxa" w:w="1474"/>
          </w:tcPr>
          <w:p>
            <w:pPr>
              <w:jc w:val="center"/>
            </w:pPr>
            <w:r>
              <w:rPr>
                <w:sz w:val="18"/>
              </w:rPr>
              <w:t>Supertransporte (tráfico)</w:t>
            </w:r>
          </w:p>
        </w:tc>
        <w:tc>
          <w:tcPr>
            <w:tcW w:type="dxa" w:w="1474"/>
          </w:tcPr>
          <w:p>
            <w:pPr>
              <w:jc w:val="center"/>
            </w:pPr>
            <w:r>
              <w:rPr>
                <w:sz w:val="18"/>
              </w:rPr>
              <w:t>mes calendario</w:t>
            </w:r>
          </w:p>
        </w:tc>
        <w:tc>
          <w:tcPr>
            <w:tcW w:type="dxa" w:w="1474"/>
          </w:tcPr>
          <w:p>
            <w:pPr>
              <w:jc w:val="center"/>
            </w:pPr>
            <w:r>
              <w:rPr>
                <w:sz w:val="18"/>
              </w:rPr>
              <w:t>agregada</w:t>
            </w:r>
          </w:p>
        </w:tc>
        <w:tc>
          <w:tcPr>
            <w:tcW w:type="dxa" w:w="1474"/>
          </w:tcPr>
          <w:p>
            <w:pPr>
              <w:jc w:val="center"/>
            </w:pPr>
            <w:r>
              <w:rPr>
                <w:sz w:val="18"/>
              </w:rPr>
              <w:t>mensual</w:t>
            </w:r>
          </w:p>
        </w:tc>
        <w:tc>
          <w:tcPr>
            <w:tcW w:type="dxa" w:w="1474"/>
          </w:tcPr>
          <w:p>
            <w:pPr>
              <w:jc w:val="center"/>
            </w:pPr>
            <w:r>
              <w:rPr>
                <w:sz w:val="18"/>
              </w:rPr>
              <w:t>No existe llave pública entre declaración y movimiento portuario</w:t>
            </w:r>
          </w:p>
        </w:tc>
      </w:tr>
      <w:tr>
        <w:tc>
          <w:tcPr>
            <w:tcW w:type="dxa" w:w="1474"/>
          </w:tcPr>
          <w:p>
            <w:pPr>
              <w:jc w:val="center"/>
            </w:pPr>
            <w:r>
              <w:rPr>
                <w:sz w:val="18"/>
              </w:rPr>
              <w:t>DANE IMPO</w:t>
            </w:r>
          </w:p>
        </w:tc>
        <w:tc>
          <w:tcPr>
            <w:tcW w:type="dxa" w:w="1474"/>
          </w:tcPr>
          <w:p>
            <w:pPr>
              <w:jc w:val="center"/>
            </w:pPr>
            <w:r>
              <w:rPr>
                <w:sz w:val="18"/>
              </w:rPr>
              <w:t>TRM</w:t>
            </w:r>
          </w:p>
        </w:tc>
        <w:tc>
          <w:tcPr>
            <w:tcW w:type="dxa" w:w="1474"/>
          </w:tcPr>
          <w:p>
            <w:pPr>
              <w:jc w:val="center"/>
            </w:pPr>
            <w:r>
              <w:rPr>
                <w:sz w:val="18"/>
              </w:rPr>
              <w:t>mes calendario</w:t>
            </w:r>
          </w:p>
        </w:tc>
        <w:tc>
          <w:tcPr>
            <w:tcW w:type="dxa" w:w="1474"/>
          </w:tcPr>
          <w:p>
            <w:pPr>
              <w:jc w:val="center"/>
            </w:pPr>
            <w:r>
              <w:rPr>
                <w:sz w:val="18"/>
              </w:rPr>
              <w:t>agregada</w:t>
            </w:r>
          </w:p>
        </w:tc>
        <w:tc>
          <w:tcPr>
            <w:tcW w:type="dxa" w:w="1474"/>
          </w:tcPr>
          <w:p>
            <w:pPr>
              <w:jc w:val="center"/>
            </w:pPr>
            <w:r>
              <w:rPr>
                <w:sz w:val="18"/>
              </w:rPr>
              <w:t>mensual</w:t>
            </w:r>
          </w:p>
        </w:tc>
        <w:tc>
          <w:tcPr>
            <w:tcW w:type="dxa" w:w="1474"/>
          </w:tcPr>
          <w:p>
            <w:pPr>
              <w:jc w:val="center"/>
            </w:pPr>
            <w:r>
              <w:rPr>
                <w:sz w:val="18"/>
              </w:rPr>
              <w:t>La TRM diaria se mensualiza con criterio de corte declarado</w:t>
            </w:r>
          </w:p>
        </w:tc>
      </w:tr>
      <w:tr>
        <w:tc>
          <w:tcPr>
            <w:tcW w:type="dxa" w:w="1474"/>
          </w:tcPr>
          <w:p>
            <w:pPr>
              <w:jc w:val="center"/>
            </w:pPr>
            <w:r>
              <w:rPr>
                <w:sz w:val="18"/>
              </w:rPr>
              <w:t>DANE IMPO</w:t>
            </w:r>
          </w:p>
        </w:tc>
        <w:tc>
          <w:tcPr>
            <w:tcW w:type="dxa" w:w="1474"/>
          </w:tcPr>
          <w:p>
            <w:pPr>
              <w:jc w:val="center"/>
            </w:pPr>
            <w:r>
              <w:rPr>
                <w:sz w:val="18"/>
              </w:rPr>
              <w:t>ONI</w:t>
            </w:r>
          </w:p>
        </w:tc>
        <w:tc>
          <w:tcPr>
            <w:tcW w:type="dxa" w:w="1474"/>
          </w:tcPr>
          <w:p>
            <w:pPr>
              <w:jc w:val="center"/>
            </w:pPr>
            <w:r>
              <w:rPr>
                <w:sz w:val="18"/>
              </w:rPr>
              <w:t>mes calendario</w:t>
            </w:r>
          </w:p>
        </w:tc>
        <w:tc>
          <w:tcPr>
            <w:tcW w:type="dxa" w:w="1474"/>
          </w:tcPr>
          <w:p>
            <w:pPr>
              <w:jc w:val="center"/>
            </w:pPr>
            <w:r>
              <w:rPr>
                <w:sz w:val="18"/>
              </w:rPr>
              <w:t>contextual</w:t>
            </w:r>
          </w:p>
        </w:tc>
        <w:tc>
          <w:tcPr>
            <w:tcW w:type="dxa" w:w="1474"/>
          </w:tcPr>
          <w:p>
            <w:pPr>
              <w:jc w:val="center"/>
            </w:pPr>
            <w:r>
              <w:rPr>
                <w:sz w:val="18"/>
              </w:rPr>
              <w:t>mensual</w:t>
            </w:r>
          </w:p>
        </w:tc>
        <w:tc>
          <w:tcPr>
            <w:tcW w:type="dxa" w:w="1474"/>
          </w:tcPr>
          <w:p>
            <w:pPr>
              <w:jc w:val="center"/>
            </w:pPr>
            <w:r>
              <w:rPr>
                <w:sz w:val="18"/>
              </w:rPr>
              <w:t>Indicador climático; explica periodos, no operaciones</w:t>
            </w:r>
          </w:p>
        </w:tc>
      </w:tr>
      <w:tr>
        <w:tc>
          <w:tcPr>
            <w:tcW w:type="dxa" w:w="1474"/>
          </w:tcPr>
          <w:p>
            <w:pPr>
              <w:jc w:val="center"/>
            </w:pPr>
            <w:r>
              <w:rPr>
                <w:sz w:val="18"/>
              </w:rPr>
              <w:t>DANE IMPO</w:t>
            </w:r>
          </w:p>
        </w:tc>
        <w:tc>
          <w:tcPr>
            <w:tcW w:type="dxa" w:w="1474"/>
          </w:tcPr>
          <w:p>
            <w:pPr>
              <w:jc w:val="center"/>
            </w:pPr>
            <w:r>
              <w:rPr>
                <w:sz w:val="18"/>
              </w:rPr>
              <w:t>Catálogo de eventos</w:t>
            </w:r>
          </w:p>
        </w:tc>
        <w:tc>
          <w:tcPr>
            <w:tcW w:type="dxa" w:w="1474"/>
          </w:tcPr>
          <w:p>
            <w:pPr>
              <w:jc w:val="center"/>
            </w:pPr>
            <w:r>
              <w:rPr>
                <w:sz w:val="18"/>
              </w:rPr>
              <w:t>rango de fechas</w:t>
            </w:r>
          </w:p>
        </w:tc>
        <w:tc>
          <w:tcPr>
            <w:tcW w:type="dxa" w:w="1474"/>
          </w:tcPr>
          <w:p>
            <w:pPr>
              <w:jc w:val="center"/>
            </w:pPr>
            <w:r>
              <w:rPr>
                <w:sz w:val="18"/>
              </w:rPr>
              <w:t>contextual</w:t>
            </w:r>
          </w:p>
        </w:tc>
        <w:tc>
          <w:tcPr>
            <w:tcW w:type="dxa" w:w="1474"/>
          </w:tcPr>
          <w:p>
            <w:pPr>
              <w:jc w:val="center"/>
            </w:pPr>
            <w:r>
              <w:rPr>
                <w:sz w:val="18"/>
              </w:rPr>
              <w:t>periodo</w:t>
            </w:r>
          </w:p>
        </w:tc>
        <w:tc>
          <w:tcPr>
            <w:tcW w:type="dxa" w:w="1474"/>
          </w:tcPr>
          <w:p>
            <w:pPr>
              <w:jc w:val="center"/>
            </w:pPr>
            <w:r>
              <w:rPr>
                <w:sz w:val="18"/>
              </w:rPr>
              <w:t>Coincidencia temporal documentada, sin afirmar causalidad</w:t>
            </w:r>
          </w:p>
        </w:tc>
      </w:tr>
      <w:tr>
        <w:tc>
          <w:tcPr>
            <w:tcW w:type="dxa" w:w="1474"/>
          </w:tcPr>
          <w:p>
            <w:pPr>
              <w:jc w:val="center"/>
            </w:pPr>
            <w:r>
              <w:rPr>
                <w:sz w:val="18"/>
              </w:rPr>
              <w:t>Supertransporte</w:t>
            </w:r>
          </w:p>
        </w:tc>
        <w:tc>
          <w:tcPr>
            <w:tcW w:type="dxa" w:w="1474"/>
          </w:tcPr>
          <w:p>
            <w:pPr>
              <w:jc w:val="center"/>
            </w:pPr>
            <w:r>
              <w:rPr>
                <w:sz w:val="18"/>
              </w:rPr>
              <w:t>DIMAR (arribos)</w:t>
            </w:r>
          </w:p>
        </w:tc>
        <w:tc>
          <w:tcPr>
            <w:tcW w:type="dxa" w:w="1474"/>
          </w:tcPr>
          <w:p>
            <w:pPr>
              <w:jc w:val="center"/>
            </w:pPr>
            <w:r>
              <w:rPr>
                <w:sz w:val="18"/>
              </w:rPr>
              <w:t>—</w:t>
            </w:r>
          </w:p>
        </w:tc>
        <w:tc>
          <w:tcPr>
            <w:tcW w:type="dxa" w:w="1474"/>
          </w:tcPr>
          <w:p>
            <w:pPr>
              <w:jc w:val="center"/>
            </w:pPr>
            <w:r>
              <w:rPr>
                <w:sz w:val="18"/>
              </w:rPr>
              <w:t>no viable</w:t>
            </w:r>
          </w:p>
        </w:tc>
        <w:tc>
          <w:tcPr>
            <w:tcW w:type="dxa" w:w="1474"/>
          </w:tcPr>
          <w:p>
            <w:pPr>
              <w:jc w:val="center"/>
            </w:pPr>
            <w:r>
              <w:rPr>
                <w:sz w:val="18"/>
              </w:rPr>
              <w:t>—</w:t>
            </w:r>
          </w:p>
        </w:tc>
        <w:tc>
          <w:tcPr>
            <w:tcW w:type="dxa" w:w="1474"/>
          </w:tcPr>
          <w:p>
            <w:pPr>
              <w:jc w:val="center"/>
            </w:pPr>
            <w:r>
              <w:rPr>
                <w:sz w:val="18"/>
              </w:rPr>
              <w:t>DIMAR solo publica PDF trimestrales sin serie tabular</w:t>
            </w:r>
          </w:p>
        </w:tc>
      </w:tr>
      <w:tr>
        <w:tc>
          <w:tcPr>
            <w:tcW w:type="dxa" w:w="1474"/>
          </w:tcPr>
          <w:p>
            <w:pPr>
              <w:jc w:val="center"/>
            </w:pPr>
            <w:r>
              <w:rPr>
                <w:sz w:val="18"/>
              </w:rPr>
              <w:t>Cualquiera</w:t>
            </w:r>
          </w:p>
        </w:tc>
        <w:tc>
          <w:tcPr>
            <w:tcW w:type="dxa" w:w="1474"/>
          </w:tcPr>
          <w:p>
            <w:pPr>
              <w:jc w:val="center"/>
            </w:pPr>
            <w:r>
              <w:rPr>
                <w:sz w:val="18"/>
              </w:rPr>
              <w:t>ETA/ATA/permanencias</w:t>
            </w:r>
          </w:p>
        </w:tc>
        <w:tc>
          <w:tcPr>
            <w:tcW w:type="dxa" w:w="1474"/>
          </w:tcPr>
          <w:p>
            <w:pPr>
              <w:jc w:val="center"/>
            </w:pPr>
            <w:r>
              <w:rPr>
                <w:sz w:val="18"/>
              </w:rPr>
              <w:t>—</w:t>
            </w:r>
          </w:p>
        </w:tc>
        <w:tc>
          <w:tcPr>
            <w:tcW w:type="dxa" w:w="1474"/>
          </w:tcPr>
          <w:p>
            <w:pPr>
              <w:jc w:val="center"/>
            </w:pPr>
            <w:r>
              <w:rPr>
                <w:sz w:val="18"/>
              </w:rPr>
              <w:t>no viable</w:t>
            </w:r>
          </w:p>
        </w:tc>
        <w:tc>
          <w:tcPr>
            <w:tcW w:type="dxa" w:w="1474"/>
          </w:tcPr>
          <w:p>
            <w:pPr>
              <w:jc w:val="center"/>
            </w:pPr>
            <w:r>
              <w:rPr>
                <w:sz w:val="18"/>
              </w:rPr>
              <w:t>—</w:t>
            </w:r>
          </w:p>
        </w:tc>
        <w:tc>
          <w:tcPr>
            <w:tcW w:type="dxa" w:w="1474"/>
          </w:tcPr>
          <w:p>
            <w:pPr>
              <w:jc w:val="center"/>
            </w:pPr>
            <w:r>
              <w:rPr>
                <w:sz w:val="18"/>
              </w:rPr>
              <w:t>Sin fuente pública histórica; requiere AIS comercial o terminal</w:t>
            </w:r>
          </w:p>
        </w:tc>
      </w:tr>
    </w:tbl>
    <w:p>
      <w:pPr>
        <w:spacing w:after="240"/>
      </w:pPr>
      <w:r>
        <w:rPr>
          <w:i/>
          <w:color w:val="787878"/>
          <w:sz w:val="18"/>
        </w:rPr>
        <w:t>Fuente: Elaboración propia. Salida del pipeline: matriz_integracion.csv (P42).</w:t>
      </w:r>
    </w:p>
    <w:p>
      <w:pPr>
        <w:spacing w:after="120" w:line="360" w:lineRule="auto"/>
        <w:jc w:val="both"/>
      </w:pPr>
      <w:r>
        <w:t>Afirmar que una importación concreta llegó en un buque determinado o por una sociedad portuaria específica excedería lo que las fuentes permiten sostener.</w:t>
      </w:r>
    </w:p>
    <w:p>
      <w:r>
        <w:rPr>
          <w:b/>
          <w:sz w:val="28"/>
        </w:rPr>
        <w:t>8. RESULTADOS DEL ANÁLISIS EXPLORATORIO</w:t>
      </w:r>
    </w:p>
    <w:p>
      <w:r>
        <w:rPr>
          <w:b/>
          <w:sz w:val="24"/>
        </w:rPr>
        <w:t>8.1 Estado de las 52 preguntas</w:t>
      </w:r>
    </w:p>
    <w:p>
      <w:r>
        <w:rPr>
          <w:b/>
          <w:sz w:val="22"/>
        </w:rPr>
        <w:t>Tabla 3. Estado de las 52 preguntas del análisis exploratorio</w:t>
      </w:r>
    </w:p>
    <w:tbl>
      <w:tblPr>
        <w:tblStyle w:val="TableGrid"/>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estado</w:t>
            </w:r>
          </w:p>
        </w:tc>
        <w:tc>
          <w:tcPr>
            <w:tcW w:type="dxa" w:w="4422"/>
          </w:tcPr>
          <w:p>
            <w:pPr>
              <w:jc w:val="center"/>
            </w:pPr>
            <w:r>
              <w:rPr>
                <w:b/>
                <w:sz w:val="18"/>
              </w:rPr>
              <w:t>preguntas</w:t>
            </w:r>
          </w:p>
        </w:tc>
      </w:tr>
      <w:tr>
        <w:tc>
          <w:tcPr>
            <w:tcW w:type="dxa" w:w="4422"/>
          </w:tcPr>
          <w:p>
            <w:pPr>
              <w:jc w:val="center"/>
            </w:pPr>
            <w:r>
              <w:rPr>
                <w:sz w:val="18"/>
              </w:rPr>
              <w:t>ejecutada</w:t>
            </w:r>
          </w:p>
        </w:tc>
        <w:tc>
          <w:tcPr>
            <w:tcW w:type="dxa" w:w="4422"/>
          </w:tcPr>
          <w:p>
            <w:pPr>
              <w:jc w:val="center"/>
            </w:pPr>
            <w:r>
              <w:rPr>
                <w:sz w:val="18"/>
              </w:rPr>
              <w:t>38</w:t>
            </w:r>
          </w:p>
        </w:tc>
      </w:tr>
      <w:tr>
        <w:tc>
          <w:tcPr>
            <w:tcW w:type="dxa" w:w="4422"/>
          </w:tcPr>
          <w:p>
            <w:pPr>
              <w:jc w:val="center"/>
            </w:pPr>
            <w:r>
              <w:rPr>
                <w:sz w:val="18"/>
              </w:rPr>
              <w:t>no viable</w:t>
            </w:r>
          </w:p>
        </w:tc>
        <w:tc>
          <w:tcPr>
            <w:tcW w:type="dxa" w:w="4422"/>
          </w:tcPr>
          <w:p>
            <w:pPr>
              <w:jc w:val="center"/>
            </w:pPr>
            <w:r>
              <w:rPr>
                <w:sz w:val="18"/>
              </w:rPr>
              <w:t>10</w:t>
            </w:r>
          </w:p>
        </w:tc>
      </w:tr>
      <w:tr>
        <w:tc>
          <w:tcPr>
            <w:tcW w:type="dxa" w:w="4422"/>
          </w:tcPr>
          <w:p>
            <w:pPr>
              <w:jc w:val="center"/>
            </w:pPr>
            <w:r>
              <w:rPr>
                <w:sz w:val="18"/>
              </w:rPr>
              <w:t>parcial</w:t>
            </w:r>
          </w:p>
        </w:tc>
        <w:tc>
          <w:tcPr>
            <w:tcW w:type="dxa" w:w="4422"/>
          </w:tcPr>
          <w:p>
            <w:pPr>
              <w:jc w:val="center"/>
            </w:pPr>
            <w:r>
              <w:rPr>
                <w:sz w:val="18"/>
              </w:rPr>
              <w:t>4</w:t>
            </w:r>
          </w:p>
        </w:tc>
      </w:tr>
    </w:tbl>
    <w:p>
      <w:pPr>
        <w:spacing w:after="240"/>
      </w:pPr>
      <w:r>
        <w:rPr>
          <w:i/>
          <w:color w:val="787878"/>
          <w:sz w:val="18"/>
        </w:rPr>
        <w:t>Fuente: Elaboración propia. Salida del pipeline: matriz_trazabilidad_eda.csv.</w:t>
      </w:r>
    </w:p>
    <w:p>
      <w:pPr>
        <w:spacing w:after="120" w:line="360" w:lineRule="auto"/>
        <w:jc w:val="both"/>
      </w:pPr>
      <w:r>
        <w:t>Ninguna pregunta quedó sin respuesta. Las cerradas como no viables documentan dónde se buscó, qué se encontró y qué fuente haría falta para abrirlas en una fase posterior. La especificación admite esa respuesta siempre que esté demostrada.</w:t>
      </w:r>
    </w:p>
    <w:p>
      <w:r>
        <w:rPr>
          <w:b/>
          <w:sz w:val="24"/>
        </w:rPr>
        <w:t>8.2 Valor económico frente a volumen físico</w:t>
      </w:r>
    </w:p>
    <w:p>
      <w:pPr>
        <w:spacing w:after="120" w:line="360" w:lineRule="auto"/>
        <w:jc w:val="both"/>
      </w:pPr>
      <w:r>
        <w:t>El valor CIF medio mensual es de 1.182.063.397 USD y el valor unitario implícito medio de 1,2368 USD/kg. Comparando el primer y el último año de la serie, el valor unitario crece de forma sostenida, lo que indica que por cada kilogramo importado se paga más que antes. Ese aumento puede provenir de precios, de fletes y seguros, o de un cambio en la mezcla hacia mercancías de mayor valor por kilo; la serie agregada no permite separar las tres causas.</w:t>
      </w:r>
    </w:p>
    <w:p>
      <w:pPr>
        <w:spacing w:after="120" w:line="360" w:lineRule="auto"/>
        <w:jc w:val="both"/>
      </w:pPr>
      <w:r>
        <w:t>Sobre los 101 meses comunes con el dominio portuario, el valor CIF creció un 80,4 % entre los primeros y los últimos doce meses. Descomponiendo ese crecimiento en logaritmos, el volumen aporta el 52,2 % y el valor unitario el 47,0 %; el 0,8 % restante es un residuo de promediar meses, porque la media de un cociente no coincide con el cociente de las medias. Dicho de otro modo, entró alrededor de un tercio más de mercancía y esa mercancía vale alrededor de un tercio más por kilogramo.</w:t>
      </w:r>
    </w:p>
    <w:p>
      <w:pPr>
        <w:spacing w:after="120" w:line="360" w:lineRule="auto"/>
        <w:jc w:val="both"/>
      </w:pPr>
      <w:r>
        <w:t>La detección de meses extremos sobre la serie aduanera marca once meses atípicos en valor CIF y uno en peso neto. Que los extremos aparezcan en valor y casi no en cantidad es coherente con lo anterior, aunque no lo demuestra: son dos formas distintas de mirar la misma serie.</w:t>
      </w:r>
    </w:p>
    <w:p>
      <w:r>
        <w:rPr>
          <w:b/>
          <w:sz w:val="24"/>
        </w:rPr>
        <w:t>8.3 Concentración: el contraste entre dominios</w:t>
      </w:r>
    </w:p>
    <w:p>
      <w:r>
        <w:rPr>
          <w:b/>
          <w:sz w:val="22"/>
        </w:rPr>
        <w:t>Tabla 4. Índice de concentración HHI por dimensión y dominio</w:t>
      </w:r>
    </w:p>
    <w:tbl>
      <w:tblPr>
        <w:tblStyle w:val="TableGrid"/>
        <w:tblW w:type="auto" w:w="0"/>
        <w:tblLayout w:type="fixed"/>
        <w:tblLook w:firstColumn="1" w:firstRow="1" w:lastColumn="0" w:lastRow="0" w:noHBand="0" w:noVBand="1" w:val="04A0"/>
      </w:tblPr>
      <w:tblGrid>
        <w:gridCol w:w="1768"/>
        <w:gridCol w:w="1768"/>
        <w:gridCol w:w="1768"/>
        <w:gridCol w:w="1768"/>
        <w:gridCol w:w="1768"/>
      </w:tblGrid>
      <w:tr>
        <w:trPr>
          <w:tblHeader w:val="true"/>
        </w:trPr>
        <w:tc>
          <w:tcPr>
            <w:tcW w:type="dxa" w:w="1769"/>
          </w:tcPr>
          <w:p>
            <w:pPr>
              <w:jc w:val="center"/>
            </w:pPr>
            <w:r>
              <w:rPr>
                <w:b/>
                <w:sz w:val="18"/>
              </w:rPr>
              <w:t>dimension</w:t>
            </w:r>
          </w:p>
        </w:tc>
        <w:tc>
          <w:tcPr>
            <w:tcW w:type="dxa" w:w="1769"/>
          </w:tcPr>
          <w:p>
            <w:pPr>
              <w:jc w:val="center"/>
            </w:pPr>
            <w:r>
              <w:rPr>
                <w:b/>
                <w:sz w:val="18"/>
              </w:rPr>
              <w:t>hhi</w:t>
            </w:r>
          </w:p>
        </w:tc>
        <w:tc>
          <w:tcPr>
            <w:tcW w:type="dxa" w:w="1769"/>
          </w:tcPr>
          <w:p>
            <w:pPr>
              <w:jc w:val="center"/>
            </w:pPr>
            <w:r>
              <w:rPr>
                <w:b/>
                <w:sz w:val="18"/>
              </w:rPr>
              <w:t>clase</w:t>
            </w:r>
          </w:p>
        </w:tc>
        <w:tc>
          <w:tcPr>
            <w:tcW w:type="dxa" w:w="1769"/>
          </w:tcPr>
          <w:p>
            <w:pPr>
              <w:jc w:val="center"/>
            </w:pPr>
            <w:r>
              <w:rPr>
                <w:b/>
                <w:sz w:val="18"/>
              </w:rPr>
              <w:t>dominio</w:t>
            </w:r>
          </w:p>
        </w:tc>
        <w:tc>
          <w:tcPr>
            <w:tcW w:type="dxa" w:w="1769"/>
          </w:tcPr>
          <w:p>
            <w:pPr>
              <w:jc w:val="center"/>
            </w:pPr>
            <w:r>
              <w:rPr>
                <w:b/>
                <w:sz w:val="18"/>
              </w:rPr>
              <w:t>origen</w:t>
            </w:r>
          </w:p>
        </w:tc>
      </w:tr>
      <w:tr>
        <w:tc>
          <w:tcPr>
            <w:tcW w:type="dxa" w:w="1769"/>
          </w:tcPr>
          <w:p>
            <w:pPr>
              <w:jc w:val="center"/>
            </w:pPr>
            <w:r>
              <w:rPr>
                <w:sz w:val="18"/>
              </w:rPr>
              <w:t>Capítulo arancelario</w:t>
            </w:r>
          </w:p>
        </w:tc>
        <w:tc>
          <w:tcPr>
            <w:tcW w:type="dxa" w:w="1769"/>
          </w:tcPr>
          <w:p>
            <w:pPr>
              <w:jc w:val="center"/>
            </w:pPr>
            <w:r>
              <w:rPr>
                <w:sz w:val="18"/>
              </w:rPr>
              <w:t>433.74</w:t>
            </w:r>
          </w:p>
        </w:tc>
        <w:tc>
          <w:tcPr>
            <w:tcW w:type="dxa" w:w="1769"/>
          </w:tcPr>
          <w:p>
            <w:pPr>
              <w:jc w:val="center"/>
            </w:pPr>
            <w:r>
              <w:rPr>
                <w:sz w:val="18"/>
              </w:rPr>
              <w:t>desconcentrado</w:t>
            </w:r>
          </w:p>
        </w:tc>
        <w:tc>
          <w:tcPr>
            <w:tcW w:type="dxa" w:w="1769"/>
          </w:tcPr>
          <w:p>
            <w:pPr>
              <w:jc w:val="center"/>
            </w:pPr>
            <w:r>
              <w:rPr>
                <w:sz w:val="18"/>
              </w:rPr>
              <w:t>aduanero</w:t>
            </w:r>
          </w:p>
        </w:tc>
        <w:tc>
          <w:tcPr>
            <w:tcW w:type="dxa" w:w="1769"/>
          </w:tcPr>
          <w:p>
            <w:pPr>
              <w:jc w:val="center"/>
            </w:pPr>
            <w:r>
              <w:rPr>
                <w:sz w:val="18"/>
              </w:rPr>
              <w:t>pipeline aduanero sobre 6.703.351 registros</w:t>
            </w:r>
          </w:p>
        </w:tc>
      </w:tr>
      <w:tr>
        <w:tc>
          <w:tcPr>
            <w:tcW w:type="dxa" w:w="1769"/>
          </w:tcPr>
          <w:p>
            <w:pPr>
              <w:jc w:val="center"/>
            </w:pPr>
            <w:r>
              <w:rPr>
                <w:sz w:val="18"/>
              </w:rPr>
              <w:t>País de origen</w:t>
            </w:r>
          </w:p>
        </w:tc>
        <w:tc>
          <w:tcPr>
            <w:tcW w:type="dxa" w:w="1769"/>
          </w:tcPr>
          <w:p>
            <w:pPr>
              <w:jc w:val="center"/>
            </w:pPr>
            <w:r>
              <w:rPr>
                <w:sz w:val="18"/>
              </w:rPr>
              <w:t>1351.38</w:t>
            </w:r>
          </w:p>
        </w:tc>
        <w:tc>
          <w:tcPr>
            <w:tcW w:type="dxa" w:w="1769"/>
          </w:tcPr>
          <w:p>
            <w:pPr>
              <w:jc w:val="center"/>
            </w:pPr>
            <w:r>
              <w:rPr>
                <w:sz w:val="18"/>
              </w:rPr>
              <w:t>desconcentrado</w:t>
            </w:r>
          </w:p>
        </w:tc>
        <w:tc>
          <w:tcPr>
            <w:tcW w:type="dxa" w:w="1769"/>
          </w:tcPr>
          <w:p>
            <w:pPr>
              <w:jc w:val="center"/>
            </w:pPr>
            <w:r>
              <w:rPr>
                <w:sz w:val="18"/>
              </w:rPr>
              <w:t>aduanero</w:t>
            </w:r>
          </w:p>
        </w:tc>
        <w:tc>
          <w:tcPr>
            <w:tcW w:type="dxa" w:w="1769"/>
          </w:tcPr>
          <w:p>
            <w:pPr>
              <w:jc w:val="center"/>
            </w:pPr>
            <w:r>
              <w:rPr>
                <w:sz w:val="18"/>
              </w:rPr>
              <w:t>pipeline aduanero sobre 6.703.351 registros</w:t>
            </w:r>
          </w:p>
        </w:tc>
      </w:tr>
      <w:tr>
        <w:tc>
          <w:tcPr>
            <w:tcW w:type="dxa" w:w="1769"/>
          </w:tcPr>
          <w:p>
            <w:pPr>
              <w:jc w:val="center"/>
            </w:pPr>
            <w:r>
              <w:rPr>
                <w:sz w:val="18"/>
              </w:rPr>
              <w:t>Sociedad portuaria</w:t>
            </w:r>
          </w:p>
        </w:tc>
        <w:tc>
          <w:tcPr>
            <w:tcW w:type="dxa" w:w="1769"/>
          </w:tcPr>
          <w:p>
            <w:pPr>
              <w:jc w:val="center"/>
            </w:pPr>
            <w:r>
              <w:rPr>
                <w:sz w:val="18"/>
              </w:rPr>
              <w:t>3514.24</w:t>
            </w:r>
          </w:p>
        </w:tc>
        <w:tc>
          <w:tcPr>
            <w:tcW w:type="dxa" w:w="1769"/>
          </w:tcPr>
          <w:p>
            <w:pPr>
              <w:jc w:val="center"/>
            </w:pPr>
            <w:r>
              <w:rPr>
                <w:sz w:val="18"/>
              </w:rPr>
              <w:t>concentrado</w:t>
            </w:r>
          </w:p>
        </w:tc>
        <w:tc>
          <w:tcPr>
            <w:tcW w:type="dxa" w:w="1769"/>
          </w:tcPr>
          <w:p>
            <w:pPr>
              <w:jc w:val="center"/>
            </w:pPr>
            <w:r>
              <w:rPr>
                <w:sz w:val="18"/>
              </w:rPr>
              <w:t>portuario</w:t>
            </w:r>
          </w:p>
        </w:tc>
        <w:tc>
          <w:tcPr>
            <w:tcW w:type="dxa" w:w="1769"/>
          </w:tcPr>
          <w:p>
            <w:pPr>
              <w:jc w:val="center"/>
            </w:pPr>
            <w:r>
              <w:rPr>
                <w:sz w:val="18"/>
              </w:rPr>
              <w:t>calculado en este pipeline</w:t>
            </w:r>
          </w:p>
        </w:tc>
      </w:tr>
    </w:tbl>
    <w:p>
      <w:pPr>
        <w:spacing w:after="240"/>
      </w:pPr>
      <w:r>
        <w:rPr>
          <w:i/>
          <w:color w:val="787878"/>
          <w:sz w:val="18"/>
        </w:rPr>
        <w:t>Fuente: Elaboración propia. Salida del pipeline: comparacion_concentracion.csv (P17, P18, P26).</w:t>
      </w:r>
    </w:p>
    <w:p>
      <w:pPr>
        <w:spacing w:after="120" w:line="360" w:lineRule="auto"/>
        <w:jc w:val="both"/>
      </w:pPr>
      <w:r>
        <w:t>La canasta de productos y la de orígenes están desconcentradas, con índices de 434 y 1.351 respectivamente. La movilización de carga, en cambio, está concentrada: el índice alcanza 3.515 y una sola sociedad portuaria moviliza el 51,36 % de las toneladas del periodo.</w:t>
      </w:r>
    </w:p>
    <w:p>
      <w:pPr>
        <w:spacing w:after="120" w:line="360" w:lineRule="auto"/>
        <w:jc w:val="both"/>
      </w:pPr>
      <w:r>
        <w:t>La lectura conjunta es específica de este trabajo: Buenaventura importa mercancía variada desde orígenes variados y la moviliza a través de pocas sociedades portuarias. Ninguna de las dos fuentes por separado permite observar ese contraste, y ese es el argumento que justifica la integración.</w:t>
      </w:r>
    </w:p>
    <w:p>
      <w:pPr>
        <w:spacing w:after="120" w:line="360" w:lineRule="auto"/>
        <w:jc w:val="both"/>
      </w:pPr>
      <w:r>
        <w:t>Entre los años completos, el índice por sociedad portuaria bajó de 4.722 en 2018 a 2.988 en 2023 y subió a 3.740 en 2025. El valor de 2026 (4.217) no es comparable: cubre seis meses y solo tres sociedades reportan. Recalculando 2025 con esas mismas tres sociedades, el índice sería 4.096, de modo que la mayor parte del salto se explica por el cambio de cobertura del reporte y no por una redistribución entre las sociedades que continúan.</w:t>
      </w:r>
    </w:p>
    <w:p>
      <w:pPr>
        <w:spacing w:after="120" w:line="360" w:lineRule="auto"/>
        <w:jc w:val="both"/>
      </w:pPr>
      <w:r>
        <w:t>El índice mide reparto de toneladas reportadas. No mide capacidad instalada, utilización ni posibilidad real de sustitución entre sociedades, de modo que un valor alto no permite concluir por sí solo que exista un riesgo operativo.</w:t>
      </w:r>
    </w:p>
    <w:p>
      <w:r>
        <w:rPr>
          <w:b/>
          <w:sz w:val="24"/>
        </w:rPr>
        <w:t>8.4 Especialización y capacidad de respaldo</w:t>
      </w:r>
    </w:p>
    <w:p>
      <w:r>
        <w:rPr>
          <w:b/>
          <w:sz w:val="22"/>
        </w:rPr>
        <w:t>Tabla 5. Composición porcentual de la carga de cada sociedad portuaria por tipo</w:t>
      </w:r>
    </w:p>
    <w:tbl>
      <w:tblPr>
        <w:tblStyle w:val="TableGrid"/>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sociedad_portuaria</w:t>
            </w:r>
          </w:p>
        </w:tc>
        <w:tc>
          <w:tcPr>
            <w:tcW w:type="dxa" w:w="1474"/>
          </w:tcPr>
          <w:p>
            <w:pPr>
              <w:jc w:val="center"/>
            </w:pPr>
            <w:r>
              <w:rPr>
                <w:b/>
                <w:sz w:val="18"/>
              </w:rPr>
              <w:t>CARBON AL GRANEL</w:t>
            </w:r>
          </w:p>
        </w:tc>
        <w:tc>
          <w:tcPr>
            <w:tcW w:type="dxa" w:w="1474"/>
          </w:tcPr>
          <w:p>
            <w:pPr>
              <w:jc w:val="center"/>
            </w:pPr>
            <w:r>
              <w:rPr>
                <w:b/>
                <w:sz w:val="18"/>
              </w:rPr>
              <w:t>CONTENEDORES</w:t>
            </w:r>
          </w:p>
        </w:tc>
        <w:tc>
          <w:tcPr>
            <w:tcW w:type="dxa" w:w="1474"/>
          </w:tcPr>
          <w:p>
            <w:pPr>
              <w:jc w:val="center"/>
            </w:pPr>
            <w:r>
              <w:rPr>
                <w:b/>
                <w:sz w:val="18"/>
              </w:rPr>
              <w:t>GENERAL</w:t>
            </w:r>
          </w:p>
        </w:tc>
        <w:tc>
          <w:tcPr>
            <w:tcW w:type="dxa" w:w="1474"/>
          </w:tcPr>
          <w:p>
            <w:pPr>
              <w:jc w:val="center"/>
            </w:pPr>
            <w:r>
              <w:rPr>
                <w:b/>
                <w:sz w:val="18"/>
              </w:rPr>
              <w:t>GRANEL LIQUIDO</w:t>
            </w:r>
          </w:p>
        </w:tc>
        <w:tc>
          <w:tcPr>
            <w:tcW w:type="dxa" w:w="1474"/>
          </w:tcPr>
          <w:p>
            <w:pPr>
              <w:jc w:val="center"/>
            </w:pPr>
            <w:r>
              <w:rPr>
                <w:b/>
                <w:sz w:val="18"/>
              </w:rPr>
              <w:t>GRANEL SOLIDO DIFER. DE CARBON</w:t>
            </w:r>
          </w:p>
        </w:tc>
      </w:tr>
      <w:tr>
        <w:tc>
          <w:tcPr>
            <w:tcW w:type="dxa" w:w="1474"/>
          </w:tcPr>
          <w:p>
            <w:pPr>
              <w:jc w:val="center"/>
            </w:pPr>
            <w:r>
              <w:rPr>
                <w:sz w:val="18"/>
              </w:rPr>
              <w:t>COMPANIA DE PUERTOS ASOCIADOS S.A.</w:t>
            </w:r>
          </w:p>
        </w:tc>
        <w:tc>
          <w:tcPr>
            <w:tcW w:type="dxa" w:w="1474"/>
          </w:tcPr>
          <w:p>
            <w:pPr>
              <w:jc w:val="center"/>
            </w:pPr>
            <w:r>
              <w:rPr>
                <w:sz w:val="18"/>
              </w:rPr>
              <w:t>0.0</w:t>
            </w:r>
          </w:p>
        </w:tc>
        <w:tc>
          <w:tcPr>
            <w:tcW w:type="dxa" w:w="1474"/>
          </w:tcPr>
          <w:p>
            <w:pPr>
              <w:jc w:val="center"/>
            </w:pPr>
            <w:r>
              <w:rPr>
                <w:sz w:val="18"/>
              </w:rPr>
              <w:t>0.0</w:t>
            </w:r>
          </w:p>
        </w:tc>
        <w:tc>
          <w:tcPr>
            <w:tcW w:type="dxa" w:w="1474"/>
          </w:tcPr>
          <w:p>
            <w:pPr>
              <w:jc w:val="center"/>
            </w:pPr>
            <w:r>
              <w:rPr>
                <w:sz w:val="18"/>
              </w:rPr>
              <w:t>0.0</w:t>
            </w:r>
          </w:p>
        </w:tc>
        <w:tc>
          <w:tcPr>
            <w:tcW w:type="dxa" w:w="1474"/>
          </w:tcPr>
          <w:p>
            <w:pPr>
              <w:jc w:val="center"/>
            </w:pPr>
            <w:r>
              <w:rPr>
                <w:sz w:val="18"/>
              </w:rPr>
              <w:t>0.0</w:t>
            </w:r>
          </w:p>
        </w:tc>
        <w:tc>
          <w:tcPr>
            <w:tcW w:type="dxa" w:w="1474"/>
          </w:tcPr>
          <w:p>
            <w:pPr>
              <w:jc w:val="center"/>
            </w:pPr>
            <w:r>
              <w:rPr>
                <w:sz w:val="18"/>
              </w:rPr>
              <w:t>100.0</w:t>
            </w:r>
          </w:p>
        </w:tc>
      </w:tr>
      <w:tr>
        <w:tc>
          <w:tcPr>
            <w:tcW w:type="dxa" w:w="1474"/>
          </w:tcPr>
          <w:p>
            <w:pPr>
              <w:jc w:val="center"/>
            </w:pPr>
            <w:r>
              <w:rPr>
                <w:sz w:val="18"/>
              </w:rPr>
              <w:t>GRUPO PORTUARIO S.A</w:t>
            </w:r>
          </w:p>
        </w:tc>
        <w:tc>
          <w:tcPr>
            <w:tcW w:type="dxa" w:w="1474"/>
          </w:tcPr>
          <w:p>
            <w:pPr>
              <w:jc w:val="center"/>
            </w:pPr>
            <w:r>
              <w:rPr>
                <w:sz w:val="18"/>
              </w:rPr>
              <w:t>49.2</w:t>
            </w:r>
          </w:p>
        </w:tc>
        <w:tc>
          <w:tcPr>
            <w:tcW w:type="dxa" w:w="1474"/>
          </w:tcPr>
          <w:p>
            <w:pPr>
              <w:jc w:val="center"/>
            </w:pPr>
            <w:r>
              <w:rPr>
                <w:sz w:val="18"/>
              </w:rPr>
              <w:t>0.0</w:t>
            </w:r>
          </w:p>
        </w:tc>
        <w:tc>
          <w:tcPr>
            <w:tcW w:type="dxa" w:w="1474"/>
          </w:tcPr>
          <w:p>
            <w:pPr>
              <w:jc w:val="center"/>
            </w:pPr>
            <w:r>
              <w:rPr>
                <w:sz w:val="18"/>
              </w:rPr>
              <w:t>0.0</w:t>
            </w:r>
          </w:p>
        </w:tc>
        <w:tc>
          <w:tcPr>
            <w:tcW w:type="dxa" w:w="1474"/>
          </w:tcPr>
          <w:p>
            <w:pPr>
              <w:jc w:val="center"/>
            </w:pPr>
            <w:r>
              <w:rPr>
                <w:sz w:val="18"/>
              </w:rPr>
              <w:t>0.0</w:t>
            </w:r>
          </w:p>
        </w:tc>
        <w:tc>
          <w:tcPr>
            <w:tcW w:type="dxa" w:w="1474"/>
          </w:tcPr>
          <w:p>
            <w:pPr>
              <w:jc w:val="center"/>
            </w:pPr>
            <w:r>
              <w:rPr>
                <w:sz w:val="18"/>
              </w:rPr>
              <w:t>50.8</w:t>
            </w:r>
          </w:p>
        </w:tc>
      </w:tr>
      <w:tr>
        <w:tc>
          <w:tcPr>
            <w:tcW w:type="dxa" w:w="1474"/>
          </w:tcPr>
          <w:p>
            <w:pPr>
              <w:jc w:val="center"/>
            </w:pPr>
            <w:r>
              <w:rPr>
                <w:sz w:val="18"/>
              </w:rPr>
              <w:t>SOCIEDAD PORTUARIA REGIONAL DE BUENAVENTURA S.A</w:t>
            </w:r>
          </w:p>
        </w:tc>
        <w:tc>
          <w:tcPr>
            <w:tcW w:type="dxa" w:w="1474"/>
          </w:tcPr>
          <w:p>
            <w:pPr>
              <w:jc w:val="center"/>
            </w:pPr>
            <w:r>
              <w:rPr>
                <w:sz w:val="18"/>
              </w:rPr>
              <w:t>0.0</w:t>
            </w:r>
          </w:p>
        </w:tc>
        <w:tc>
          <w:tcPr>
            <w:tcW w:type="dxa" w:w="1474"/>
          </w:tcPr>
          <w:p>
            <w:pPr>
              <w:jc w:val="center"/>
            </w:pPr>
            <w:r>
              <w:rPr>
                <w:sz w:val="18"/>
              </w:rPr>
              <w:t>50.1</w:t>
            </w:r>
          </w:p>
        </w:tc>
        <w:tc>
          <w:tcPr>
            <w:tcW w:type="dxa" w:w="1474"/>
          </w:tcPr>
          <w:p>
            <w:pPr>
              <w:jc w:val="center"/>
            </w:pPr>
            <w:r>
              <w:rPr>
                <w:sz w:val="18"/>
              </w:rPr>
              <w:t>12.1</w:t>
            </w:r>
          </w:p>
        </w:tc>
        <w:tc>
          <w:tcPr>
            <w:tcW w:type="dxa" w:w="1474"/>
          </w:tcPr>
          <w:p>
            <w:pPr>
              <w:jc w:val="center"/>
            </w:pPr>
            <w:r>
              <w:rPr>
                <w:sz w:val="18"/>
              </w:rPr>
              <w:t>5.2</w:t>
            </w:r>
          </w:p>
        </w:tc>
        <w:tc>
          <w:tcPr>
            <w:tcW w:type="dxa" w:w="1474"/>
          </w:tcPr>
          <w:p>
            <w:pPr>
              <w:jc w:val="center"/>
            </w:pPr>
            <w:r>
              <w:rPr>
                <w:sz w:val="18"/>
              </w:rPr>
              <w:t>32.5</w:t>
            </w:r>
          </w:p>
        </w:tc>
      </w:tr>
      <w:tr>
        <w:tc>
          <w:tcPr>
            <w:tcW w:type="dxa" w:w="1474"/>
          </w:tcPr>
          <w:p>
            <w:pPr>
              <w:jc w:val="center"/>
            </w:pPr>
            <w:r>
              <w:rPr>
                <w:sz w:val="18"/>
              </w:rPr>
              <w:t>SOCIEDAD PORTUARIA TERMINAL DE CONTENEDORES DE BUENAVENTURA S.A.</w:t>
            </w:r>
          </w:p>
        </w:tc>
        <w:tc>
          <w:tcPr>
            <w:tcW w:type="dxa" w:w="1474"/>
          </w:tcPr>
          <w:p>
            <w:pPr>
              <w:jc w:val="center"/>
            </w:pPr>
            <w:r>
              <w:rPr>
                <w:sz w:val="18"/>
              </w:rPr>
              <w:t>0.0</w:t>
            </w:r>
          </w:p>
        </w:tc>
        <w:tc>
          <w:tcPr>
            <w:tcW w:type="dxa" w:w="1474"/>
          </w:tcPr>
          <w:p>
            <w:pPr>
              <w:jc w:val="center"/>
            </w:pPr>
            <w:r>
              <w:rPr>
                <w:sz w:val="18"/>
              </w:rPr>
              <w:t>100.0</w:t>
            </w:r>
          </w:p>
        </w:tc>
        <w:tc>
          <w:tcPr>
            <w:tcW w:type="dxa" w:w="1474"/>
          </w:tcPr>
          <w:p>
            <w:pPr>
              <w:jc w:val="center"/>
            </w:pPr>
            <w:r>
              <w:rPr>
                <w:sz w:val="18"/>
              </w:rPr>
              <w:t>0.0</w:t>
            </w:r>
          </w:p>
        </w:tc>
        <w:tc>
          <w:tcPr>
            <w:tcW w:type="dxa" w:w="1474"/>
          </w:tcPr>
          <w:p>
            <w:pPr>
              <w:jc w:val="center"/>
            </w:pPr>
            <w:r>
              <w:rPr>
                <w:sz w:val="18"/>
              </w:rPr>
              <w:t>0.0</w:t>
            </w:r>
          </w:p>
        </w:tc>
        <w:tc>
          <w:tcPr>
            <w:tcW w:type="dxa" w:w="1474"/>
          </w:tcPr>
          <w:p>
            <w:pPr>
              <w:jc w:val="center"/>
            </w:pPr>
            <w:r>
              <w:rPr>
                <w:sz w:val="18"/>
              </w:rPr>
              <w:t>0.0</w:t>
            </w:r>
          </w:p>
        </w:tc>
      </w:tr>
      <w:tr>
        <w:tc>
          <w:tcPr>
            <w:tcW w:type="dxa" w:w="1474"/>
          </w:tcPr>
          <w:p>
            <w:pPr>
              <w:jc w:val="center"/>
            </w:pPr>
            <w:r>
              <w:rPr>
                <w:sz w:val="18"/>
              </w:rPr>
              <w:t>SOCIEDAD PUERTO INDUSTRIAL AGUADULCE S.A.</w:t>
            </w:r>
          </w:p>
        </w:tc>
        <w:tc>
          <w:tcPr>
            <w:tcW w:type="dxa" w:w="1474"/>
          </w:tcPr>
          <w:p>
            <w:pPr>
              <w:jc w:val="center"/>
            </w:pPr>
            <w:r>
              <w:rPr>
                <w:sz w:val="18"/>
              </w:rPr>
              <w:t>7.5</w:t>
            </w:r>
          </w:p>
        </w:tc>
        <w:tc>
          <w:tcPr>
            <w:tcW w:type="dxa" w:w="1474"/>
          </w:tcPr>
          <w:p>
            <w:pPr>
              <w:jc w:val="center"/>
            </w:pPr>
            <w:r>
              <w:rPr>
                <w:sz w:val="18"/>
              </w:rPr>
              <w:t>68.1</w:t>
            </w:r>
          </w:p>
        </w:tc>
        <w:tc>
          <w:tcPr>
            <w:tcW w:type="dxa" w:w="1474"/>
          </w:tcPr>
          <w:p>
            <w:pPr>
              <w:jc w:val="center"/>
            </w:pPr>
            <w:r>
              <w:rPr>
                <w:sz w:val="18"/>
              </w:rPr>
              <w:t>5.6</w:t>
            </w:r>
          </w:p>
        </w:tc>
        <w:tc>
          <w:tcPr>
            <w:tcW w:type="dxa" w:w="1474"/>
          </w:tcPr>
          <w:p>
            <w:pPr>
              <w:jc w:val="center"/>
            </w:pPr>
            <w:r>
              <w:rPr>
                <w:sz w:val="18"/>
              </w:rPr>
              <w:t>0.2</w:t>
            </w:r>
          </w:p>
        </w:tc>
        <w:tc>
          <w:tcPr>
            <w:tcW w:type="dxa" w:w="1474"/>
          </w:tcPr>
          <w:p>
            <w:pPr>
              <w:jc w:val="center"/>
            </w:pPr>
            <w:r>
              <w:rPr>
                <w:sz w:val="18"/>
              </w:rPr>
              <w:t>18.6</w:t>
            </w:r>
          </w:p>
        </w:tc>
      </w:tr>
    </w:tbl>
    <w:p>
      <w:pPr>
        <w:spacing w:after="240"/>
      </w:pPr>
      <w:r>
        <w:rPr>
          <w:i/>
          <w:color w:val="787878"/>
          <w:sz w:val="18"/>
        </w:rPr>
        <w:t>Fuente: Elaboración propia. Salida del pipeline: especializacion_terminales.csv (P27).</w:t>
      </w:r>
    </w:p>
    <w:p>
      <w:pPr>
        <w:spacing w:after="120" w:line="360" w:lineRule="auto"/>
        <w:jc w:val="both"/>
      </w:pPr>
      <w:r>
        <w:t>La especialización es casi total y matiza la lectura del índice de concentración, que trata a las sociedades como si fueran intercambiables. El cruce muestra que no movilizan lo mismo: una de ellas no registró toneladas de granel en todo el periodo y otra no registró contenedores. El reparto agregado describe cuánto movilizó cada una, no si podrían movilizar la carga de las demás: la fuente no contiene capacidad instalada, utilización ni número de instalaciones.</w:t>
      </w:r>
    </w:p>
    <w:p>
      <w:r>
        <w:rPr>
          <w:b/>
          <w:sz w:val="24"/>
        </w:rPr>
        <w:t>8.5 El total portuario y sus componentes</w:t>
      </w:r>
    </w:p>
    <w:p>
      <w:pPr>
        <w:spacing w:after="120" w:line="360" w:lineRule="auto"/>
        <w:jc w:val="both"/>
      </w:pPr>
      <w:r>
        <w:t>El tráfico portuario agregado combina tres flujos distintos: importación, exportación y transbordo. El transbordo es carga que llega en un buque y sale en otro sin entrar al territorio aduanero, de modo que no forma parte del comercio exterior del país.</w:t>
      </w:r>
    </w:p>
    <w:p>
      <w:pPr>
        <w:spacing w:after="120" w:line="360" w:lineRule="auto"/>
        <w:jc w:val="both"/>
      </w:pPr>
      <w:r>
        <w:t>Separarlos cambia la lectura. Comparando los primeros doce meses de la serie portuaria con los últimos doce, las toneladas de importación suben un 19,6 % y las de exportación un 1,3 %, mientras el transbordo cae un 85,2 %. El total resultante baja un 13,3 %. Un lector que observe únicamente el total concluiría que la zona portuaria movilizó menos carga; la descomposición muestra que lo que descendió fue el transbordo, mientras la carga de importación aumentaba.</w:t>
      </w:r>
    </w:p>
    <w:p>
      <w:pPr>
        <w:spacing w:after="120" w:line="360" w:lineRule="auto"/>
        <w:jc w:val="both"/>
      </w:pPr>
      <w:r>
        <w:t>La fuente no informa por qué cambió el transbordo. Decisiones de las navieras, reasignación de rutas o cambios en el reporte son explicaciones posibles que estos datos no permiten distinguir.</w:t>
      </w:r>
    </w:p>
    <w:p>
      <w:r>
        <w:rPr>
          <w:b/>
          <w:sz w:val="24"/>
        </w:rPr>
        <w:t>8.6 Sociedades sin reporte en 2026</w:t>
      </w:r>
    </w:p>
    <w:p>
      <w:r>
        <w:rPr>
          <w:b/>
          <w:sz w:val="22"/>
        </w:rPr>
        <w:t>Tabla 6. Sociedades portuarias que no aparecen en los reportes de 2026</w:t>
      </w:r>
    </w:p>
    <w:tbl>
      <w:tblPr>
        <w:tblStyle w:val="TableGrid"/>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sociedad_portuaria</w:t>
            </w:r>
          </w:p>
        </w:tc>
        <w:tc>
          <w:tcPr>
            <w:tcW w:type="dxa" w:w="4422"/>
          </w:tcPr>
          <w:p>
            <w:pPr>
              <w:jc w:val="center"/>
            </w:pPr>
            <w:r>
              <w:rPr>
                <w:b/>
                <w:sz w:val="18"/>
              </w:rPr>
              <w:t>ultimo_anio_con_reporte</w:t>
            </w:r>
          </w:p>
        </w:tc>
      </w:tr>
      <w:tr>
        <w:tc>
          <w:tcPr>
            <w:tcW w:type="dxa" w:w="4422"/>
          </w:tcPr>
          <w:p>
            <w:pPr>
              <w:jc w:val="center"/>
            </w:pPr>
            <w:r>
              <w:rPr>
                <w:sz w:val="18"/>
              </w:rPr>
              <w:t>COMPANIA DE PUERTOS ASOCIADOS S.A.</w:t>
            </w:r>
          </w:p>
        </w:tc>
        <w:tc>
          <w:tcPr>
            <w:tcW w:type="dxa" w:w="4422"/>
          </w:tcPr>
          <w:p>
            <w:pPr>
              <w:jc w:val="center"/>
            </w:pPr>
            <w:r>
              <w:rPr>
                <w:sz w:val="18"/>
              </w:rPr>
              <w:t>2025</w:t>
            </w:r>
          </w:p>
        </w:tc>
      </w:tr>
      <w:tr>
        <w:tc>
          <w:tcPr>
            <w:tcW w:type="dxa" w:w="4422"/>
          </w:tcPr>
          <w:p>
            <w:pPr>
              <w:jc w:val="center"/>
            </w:pPr>
            <w:r>
              <w:rPr>
                <w:sz w:val="18"/>
              </w:rPr>
              <w:t>GRUPO PORTUARIO S.A</w:t>
            </w:r>
          </w:p>
        </w:tc>
        <w:tc>
          <w:tcPr>
            <w:tcW w:type="dxa" w:w="4422"/>
          </w:tcPr>
          <w:p>
            <w:pPr>
              <w:jc w:val="center"/>
            </w:pPr>
            <w:r>
              <w:rPr>
                <w:sz w:val="18"/>
              </w:rPr>
              <w:t>2025</w:t>
            </w:r>
          </w:p>
        </w:tc>
      </w:tr>
    </w:tbl>
    <w:p>
      <w:pPr>
        <w:spacing w:after="240"/>
      </w:pPr>
      <w:r>
        <w:rPr>
          <w:i/>
          <w:color w:val="787878"/>
          <w:sz w:val="18"/>
        </w:rPr>
        <w:t>Fuente: Elaboración propia. Salida del pipeline: sociedades_sin_reporte_2026.csv (P28).</w:t>
      </w:r>
    </w:p>
    <w:p>
      <w:pPr>
        <w:spacing w:after="120" w:line="360" w:lineRule="auto"/>
        <w:jc w:val="both"/>
      </w:pPr>
      <w:r>
        <w:t>2 de 5 sociedades portuarias no aparecen reportando en los seis meses observados de 2026. Se verificó mes a mes para descartar que se tratara de un rezago de publicación.</w:t>
      </w:r>
    </w:p>
    <w:p>
      <w:pPr>
        <w:spacing w:after="120" w:line="360" w:lineRule="auto"/>
        <w:jc w:val="both"/>
      </w:pPr>
      <w:r>
        <w:t>La fuente registra reporte, no operación. Con estos datos solo puede afirmarse que no figuran en los reportes del periodo observado; no puede afirmarse que hayan dejado de operar. La causa institucional requeriría fuentes que no se integraron. La implicación metodológica es relevante: un modelo entrenado sobre el total de la zona interpretaría esta ausencia como una contracción real del comercio.</w:t>
      </w:r>
    </w:p>
    <w:p>
      <w:r>
        <w:rPr>
          <w:b/>
          <w:sz w:val="28"/>
        </w:rPr>
        <w:t>9. RESULTADOS DEL MODELADO</w:t>
      </w:r>
    </w:p>
    <w:p>
      <w:r>
        <w:rPr>
          <w:b/>
          <w:sz w:val="24"/>
        </w:rPr>
        <w:t>9.1 Indicadores elegibles</w:t>
      </w:r>
    </w:p>
    <w:p>
      <w:r>
        <w:rPr>
          <w:b/>
          <w:sz w:val="22"/>
        </w:rPr>
        <w:t>Tabla 7. Elegibilidad de los indicadores candidatos a pronóstico</w:t>
      </w:r>
    </w:p>
    <w:tbl>
      <w:tblPr>
        <w:tblStyle w:val="TableGrid"/>
        <w:tblW w:type="auto" w:w="0"/>
        <w:tblLayout w:type="fixed"/>
        <w:tblLook w:firstColumn="1" w:firstRow="1" w:lastColumn="0" w:lastRow="0" w:noHBand="0" w:noVBand="1" w:val="04A0"/>
      </w:tblPr>
      <w:tblGrid>
        <w:gridCol w:w="1105"/>
        <w:gridCol w:w="1105"/>
        <w:gridCol w:w="1105"/>
        <w:gridCol w:w="1105"/>
        <w:gridCol w:w="1105"/>
        <w:gridCol w:w="1105"/>
        <w:gridCol w:w="1105"/>
        <w:gridCol w:w="1105"/>
      </w:tblGrid>
      <w:tr>
        <w:trPr>
          <w:tblHeader w:val="true"/>
        </w:trPr>
        <w:tc>
          <w:tcPr>
            <w:tcW w:type="dxa" w:w="1106"/>
          </w:tcPr>
          <w:p>
            <w:pPr>
              <w:jc w:val="center"/>
            </w:pPr>
            <w:r>
              <w:rPr>
                <w:b/>
                <w:sz w:val="18"/>
              </w:rPr>
              <w:t>indicador</w:t>
            </w:r>
          </w:p>
        </w:tc>
        <w:tc>
          <w:tcPr>
            <w:tcW w:type="dxa" w:w="1106"/>
          </w:tcPr>
          <w:p>
            <w:pPr>
              <w:jc w:val="center"/>
            </w:pPr>
            <w:r>
              <w:rPr>
                <w:b/>
                <w:sz w:val="18"/>
              </w:rPr>
              <w:t>dominio</w:t>
            </w:r>
          </w:p>
        </w:tc>
        <w:tc>
          <w:tcPr>
            <w:tcW w:type="dxa" w:w="1106"/>
          </w:tcPr>
          <w:p>
            <w:pPr>
              <w:jc w:val="center"/>
            </w:pPr>
            <w:r>
              <w:rPr>
                <w:b/>
                <w:sz w:val="18"/>
              </w:rPr>
              <w:t>n_obs</w:t>
            </w:r>
          </w:p>
        </w:tc>
        <w:tc>
          <w:tcPr>
            <w:tcW w:type="dxa" w:w="1106"/>
          </w:tcPr>
          <w:p>
            <w:pPr>
              <w:jc w:val="center"/>
            </w:pPr>
            <w:r>
              <w:rPr>
                <w:b/>
                <w:sz w:val="18"/>
              </w:rPr>
              <w:t>frecuencia</w:t>
            </w:r>
          </w:p>
        </w:tc>
        <w:tc>
          <w:tcPr>
            <w:tcW w:type="dxa" w:w="1106"/>
          </w:tcPr>
          <w:p>
            <w:pPr>
              <w:jc w:val="center"/>
            </w:pPr>
            <w:r>
              <w:rPr>
                <w:b/>
                <w:sz w:val="18"/>
              </w:rPr>
              <w:t>continuidad</w:t>
            </w:r>
          </w:p>
        </w:tc>
        <w:tc>
          <w:tcPr>
            <w:tcW w:type="dxa" w:w="1106"/>
          </w:tcPr>
          <w:p>
            <w:pPr>
              <w:jc w:val="center"/>
            </w:pPr>
            <w:r>
              <w:rPr>
                <w:b/>
                <w:sz w:val="18"/>
              </w:rPr>
              <w:t>rezago_dias</w:t>
            </w:r>
          </w:p>
        </w:tc>
        <w:tc>
          <w:tcPr>
            <w:tcW w:type="dxa" w:w="1106"/>
          </w:tcPr>
          <w:p>
            <w:pPr>
              <w:jc w:val="center"/>
            </w:pPr>
            <w:r>
              <w:rPr>
                <w:b/>
                <w:sz w:val="18"/>
              </w:rPr>
              <w:t>elegible</w:t>
            </w:r>
          </w:p>
        </w:tc>
        <w:tc>
          <w:tcPr>
            <w:tcW w:type="dxa" w:w="1106"/>
          </w:tcPr>
          <w:p>
            <w:pPr>
              <w:jc w:val="center"/>
            </w:pPr>
            <w:r>
              <w:rPr>
                <w:b/>
                <w:sz w:val="18"/>
              </w:rPr>
              <w:t>razon</w:t>
            </w:r>
          </w:p>
        </w:tc>
      </w:tr>
      <w:tr>
        <w:tc>
          <w:tcPr>
            <w:tcW w:type="dxa" w:w="1106"/>
          </w:tcPr>
          <w:p>
            <w:pPr>
              <w:jc w:val="center"/>
            </w:pPr>
            <w:r>
              <w:rPr>
                <w:sz w:val="18"/>
              </w:rPr>
              <w:t>cif_usd</w:t>
            </w:r>
          </w:p>
        </w:tc>
        <w:tc>
          <w:tcPr>
            <w:tcW w:type="dxa" w:w="1106"/>
          </w:tcPr>
          <w:p>
            <w:pPr>
              <w:jc w:val="center"/>
            </w:pPr>
            <w:r>
              <w:rPr>
                <w:sz w:val="18"/>
              </w:rPr>
              <w:t>aduanero</w:t>
            </w:r>
          </w:p>
        </w:tc>
        <w:tc>
          <w:tcPr>
            <w:tcW w:type="dxa" w:w="1106"/>
          </w:tcPr>
          <w:p>
            <w:pPr>
              <w:jc w:val="center"/>
            </w:pPr>
            <w:r>
              <w:rPr>
                <w:sz w:val="18"/>
              </w:rPr>
              <w:t>173</w:t>
            </w:r>
          </w:p>
        </w:tc>
        <w:tc>
          <w:tcPr>
            <w:tcW w:type="dxa" w:w="1106"/>
          </w:tcPr>
          <w:p>
            <w:pPr>
              <w:jc w:val="center"/>
            </w:pPr>
            <w:r>
              <w:rPr>
                <w:sz w:val="18"/>
              </w:rPr>
              <w:t>mensual</w:t>
            </w:r>
          </w:p>
        </w:tc>
        <w:tc>
          <w:tcPr>
            <w:tcW w:type="dxa" w:w="1106"/>
          </w:tcPr>
          <w:p>
            <w:pPr>
              <w:jc w:val="center"/>
            </w:pPr>
            <w:r>
              <w:rPr>
                <w:sz w:val="18"/>
              </w:rPr>
              <w:t>completa</w:t>
            </w:r>
          </w:p>
        </w:tc>
        <w:tc>
          <w:tcPr>
            <w:tcW w:type="dxa" w:w="1106"/>
          </w:tcPr>
          <w:p>
            <w:pPr>
              <w:jc w:val="center"/>
            </w:pPr>
            <w:r>
              <w:rPr>
                <w:sz w:val="18"/>
              </w:rPr>
              <w:t>45.0</w:t>
            </w:r>
          </w:p>
        </w:tc>
        <w:tc>
          <w:tcPr>
            <w:tcW w:type="dxa" w:w="1106"/>
          </w:tcPr>
          <w:p>
            <w:pPr>
              <w:jc w:val="center"/>
            </w:pPr>
            <w:r>
              <w:rPr>
                <w:sz w:val="18"/>
              </w:rPr>
              <w:t>True</w:t>
            </w:r>
          </w:p>
        </w:tc>
        <w:tc>
          <w:tcPr>
            <w:tcW w:type="dxa" w:w="1106"/>
          </w:tcPr>
          <w:p>
            <w:pPr>
              <w:jc w:val="center"/>
            </w:pPr>
            <w:r>
              <w:rPr>
                <w:sz w:val="18"/>
              </w:rPr>
              <w:t>173 observaciones, serie reconciliada</w:t>
            </w:r>
          </w:p>
        </w:tc>
      </w:tr>
      <w:tr>
        <w:tc>
          <w:tcPr>
            <w:tcW w:type="dxa" w:w="1106"/>
          </w:tcPr>
          <w:p>
            <w:pPr>
              <w:jc w:val="center"/>
            </w:pPr>
            <w:r>
              <w:rPr>
                <w:sz w:val="18"/>
              </w:rPr>
              <w:t>peso_neto_kg</w:t>
            </w:r>
          </w:p>
        </w:tc>
        <w:tc>
          <w:tcPr>
            <w:tcW w:type="dxa" w:w="1106"/>
          </w:tcPr>
          <w:p>
            <w:pPr>
              <w:jc w:val="center"/>
            </w:pPr>
            <w:r>
              <w:rPr>
                <w:sz w:val="18"/>
              </w:rPr>
              <w:t>aduanero</w:t>
            </w:r>
          </w:p>
        </w:tc>
        <w:tc>
          <w:tcPr>
            <w:tcW w:type="dxa" w:w="1106"/>
          </w:tcPr>
          <w:p>
            <w:pPr>
              <w:jc w:val="center"/>
            </w:pPr>
            <w:r>
              <w:rPr>
                <w:sz w:val="18"/>
              </w:rPr>
              <w:t>173</w:t>
            </w:r>
          </w:p>
        </w:tc>
        <w:tc>
          <w:tcPr>
            <w:tcW w:type="dxa" w:w="1106"/>
          </w:tcPr>
          <w:p>
            <w:pPr>
              <w:jc w:val="center"/>
            </w:pPr>
            <w:r>
              <w:rPr>
                <w:sz w:val="18"/>
              </w:rPr>
              <w:t>mensual</w:t>
            </w:r>
          </w:p>
        </w:tc>
        <w:tc>
          <w:tcPr>
            <w:tcW w:type="dxa" w:w="1106"/>
          </w:tcPr>
          <w:p>
            <w:pPr>
              <w:jc w:val="center"/>
            </w:pPr>
            <w:r>
              <w:rPr>
                <w:sz w:val="18"/>
              </w:rPr>
              <w:t>completa</w:t>
            </w:r>
          </w:p>
        </w:tc>
        <w:tc>
          <w:tcPr>
            <w:tcW w:type="dxa" w:w="1106"/>
          </w:tcPr>
          <w:p>
            <w:pPr>
              <w:jc w:val="center"/>
            </w:pPr>
            <w:r>
              <w:rPr>
                <w:sz w:val="18"/>
              </w:rPr>
              <w:t>45.0</w:t>
            </w:r>
          </w:p>
        </w:tc>
        <w:tc>
          <w:tcPr>
            <w:tcW w:type="dxa" w:w="1106"/>
          </w:tcPr>
          <w:p>
            <w:pPr>
              <w:jc w:val="center"/>
            </w:pPr>
            <w:r>
              <w:rPr>
                <w:sz w:val="18"/>
              </w:rPr>
              <w:t>True</w:t>
            </w:r>
          </w:p>
        </w:tc>
        <w:tc>
          <w:tcPr>
            <w:tcW w:type="dxa" w:w="1106"/>
          </w:tcPr>
          <w:p>
            <w:pPr>
              <w:jc w:val="center"/>
            </w:pPr>
            <w:r>
              <w:rPr>
                <w:sz w:val="18"/>
              </w:rPr>
              <w:t>173 observaciones</w:t>
            </w:r>
          </w:p>
        </w:tc>
      </w:tr>
      <w:tr>
        <w:tc>
          <w:tcPr>
            <w:tcW w:type="dxa" w:w="1106"/>
          </w:tcPr>
          <w:p>
            <w:pPr>
              <w:jc w:val="center"/>
            </w:pPr>
            <w:r>
              <w:rPr>
                <w:sz w:val="18"/>
              </w:rPr>
              <w:t>toneladas_totales</w:t>
            </w:r>
          </w:p>
        </w:tc>
        <w:tc>
          <w:tcPr>
            <w:tcW w:type="dxa" w:w="1106"/>
          </w:tcPr>
          <w:p>
            <w:pPr>
              <w:jc w:val="center"/>
            </w:pPr>
            <w:r>
              <w:rPr>
                <w:sz w:val="18"/>
              </w:rPr>
              <w:t>portuario</w:t>
            </w:r>
          </w:p>
        </w:tc>
        <w:tc>
          <w:tcPr>
            <w:tcW w:type="dxa" w:w="1106"/>
          </w:tcPr>
          <w:p>
            <w:pPr>
              <w:jc w:val="center"/>
            </w:pPr>
            <w:r>
              <w:rPr>
                <w:sz w:val="18"/>
              </w:rPr>
              <w:t>102</w:t>
            </w:r>
          </w:p>
        </w:tc>
        <w:tc>
          <w:tcPr>
            <w:tcW w:type="dxa" w:w="1106"/>
          </w:tcPr>
          <w:p>
            <w:pPr>
              <w:jc w:val="center"/>
            </w:pPr>
            <w:r>
              <w:rPr>
                <w:sz w:val="18"/>
              </w:rPr>
              <w:t>mensual</w:t>
            </w:r>
          </w:p>
        </w:tc>
        <w:tc>
          <w:tcPr>
            <w:tcW w:type="dxa" w:w="1106"/>
          </w:tcPr>
          <w:p>
            <w:pPr>
              <w:jc w:val="center"/>
            </w:pPr>
            <w:r>
              <w:rPr>
                <w:sz w:val="18"/>
              </w:rPr>
              <w:t>completa</w:t>
            </w:r>
          </w:p>
        </w:tc>
        <w:tc>
          <w:tcPr>
            <w:tcW w:type="dxa" w:w="1106"/>
          </w:tcPr>
          <w:p>
            <w:pPr>
              <w:jc w:val="center"/>
            </w:pPr>
            <w:r>
              <w:rPr>
                <w:sz w:val="18"/>
              </w:rPr>
              <w:t>60.0</w:t>
            </w:r>
          </w:p>
        </w:tc>
        <w:tc>
          <w:tcPr>
            <w:tcW w:type="dxa" w:w="1106"/>
          </w:tcPr>
          <w:p>
            <w:pPr>
              <w:jc w:val="center"/>
            </w:pPr>
            <w:r>
              <w:rPr>
                <w:sz w:val="18"/>
              </w:rPr>
              <w:t>True</w:t>
            </w:r>
          </w:p>
        </w:tc>
        <w:tc>
          <w:tcPr>
            <w:tcW w:type="dxa" w:w="1106"/>
          </w:tcPr>
          <w:p>
            <w:pPr>
              <w:jc w:val="center"/>
            </w:pPr>
            <w:r>
              <w:rPr>
                <w:sz w:val="18"/>
              </w:rPr>
              <w:t>102 observaciones, suficiente para 24 y 36 cortes</w:t>
            </w:r>
          </w:p>
        </w:tc>
      </w:tr>
      <w:tr>
        <w:tc>
          <w:tcPr>
            <w:tcW w:type="dxa" w:w="1106"/>
          </w:tcPr>
          <w:p>
            <w:pPr>
              <w:jc w:val="center"/>
            </w:pPr>
            <w:r>
              <w:rPr>
                <w:sz w:val="18"/>
              </w:rPr>
              <w:t>ton_contenerizada</w:t>
            </w:r>
          </w:p>
        </w:tc>
        <w:tc>
          <w:tcPr>
            <w:tcW w:type="dxa" w:w="1106"/>
          </w:tcPr>
          <w:p>
            <w:pPr>
              <w:jc w:val="center"/>
            </w:pPr>
            <w:r>
              <w:rPr>
                <w:sz w:val="18"/>
              </w:rPr>
              <w:t>portuario</w:t>
            </w:r>
          </w:p>
        </w:tc>
        <w:tc>
          <w:tcPr>
            <w:tcW w:type="dxa" w:w="1106"/>
          </w:tcPr>
          <w:p>
            <w:pPr>
              <w:jc w:val="center"/>
            </w:pPr>
            <w:r>
              <w:rPr>
                <w:sz w:val="18"/>
              </w:rPr>
              <w:t>102</w:t>
            </w:r>
          </w:p>
        </w:tc>
        <w:tc>
          <w:tcPr>
            <w:tcW w:type="dxa" w:w="1106"/>
          </w:tcPr>
          <w:p>
            <w:pPr>
              <w:jc w:val="center"/>
            </w:pPr>
            <w:r>
              <w:rPr>
                <w:sz w:val="18"/>
              </w:rPr>
              <w:t>mensual</w:t>
            </w:r>
          </w:p>
        </w:tc>
        <w:tc>
          <w:tcPr>
            <w:tcW w:type="dxa" w:w="1106"/>
          </w:tcPr>
          <w:p>
            <w:pPr>
              <w:jc w:val="center"/>
            </w:pPr>
            <w:r>
              <w:rPr>
                <w:sz w:val="18"/>
              </w:rPr>
              <w:t>completa</w:t>
            </w:r>
          </w:p>
        </w:tc>
        <w:tc>
          <w:tcPr>
            <w:tcW w:type="dxa" w:w="1106"/>
          </w:tcPr>
          <w:p>
            <w:pPr>
              <w:jc w:val="center"/>
            </w:pPr>
            <w:r>
              <w:rPr>
                <w:sz w:val="18"/>
              </w:rPr>
              <w:t>60.0</w:t>
            </w:r>
          </w:p>
        </w:tc>
        <w:tc>
          <w:tcPr>
            <w:tcW w:type="dxa" w:w="1106"/>
          </w:tcPr>
          <w:p>
            <w:pPr>
              <w:jc w:val="center"/>
            </w:pPr>
            <w:r>
              <w:rPr>
                <w:sz w:val="18"/>
              </w:rPr>
              <w:t>True</w:t>
            </w:r>
          </w:p>
        </w:tc>
        <w:tc>
          <w:tcPr>
            <w:tcW w:type="dxa" w:w="1106"/>
          </w:tcPr>
          <w:p>
            <w:pPr>
              <w:jc w:val="center"/>
            </w:pPr>
            <w:r>
              <w:rPr>
                <w:sz w:val="18"/>
              </w:rPr>
              <w:t>102 observaciones</w:t>
            </w:r>
          </w:p>
        </w:tc>
      </w:tr>
      <w:tr>
        <w:tc>
          <w:tcPr>
            <w:tcW w:type="dxa" w:w="1106"/>
          </w:tcPr>
          <w:p>
            <w:pPr>
              <w:jc w:val="center"/>
            </w:pPr>
            <w:r>
              <w:rPr>
                <w:sz w:val="18"/>
              </w:rPr>
              <w:t>TEU</w:t>
            </w:r>
          </w:p>
        </w:tc>
        <w:tc>
          <w:tcPr>
            <w:tcW w:type="dxa" w:w="1106"/>
          </w:tcPr>
          <w:p>
            <w:pPr>
              <w:jc w:val="center"/>
            </w:pPr>
            <w:r>
              <w:rPr>
                <w:sz w:val="18"/>
              </w:rPr>
              <w:t>portuario</w:t>
            </w:r>
          </w:p>
        </w:tc>
        <w:tc>
          <w:tcPr>
            <w:tcW w:type="dxa" w:w="1106"/>
          </w:tcPr>
          <w:p>
            <w:pPr>
              <w:jc w:val="center"/>
            </w:pPr>
            <w:r>
              <w:rPr>
                <w:sz w:val="18"/>
              </w:rPr>
              <w:t>0</w:t>
            </w:r>
          </w:p>
        </w:tc>
        <w:tc>
          <w:tcPr>
            <w:tcW w:type="dxa" w:w="1106"/>
          </w:tcPr>
          <w:p>
            <w:pPr>
              <w:jc w:val="center"/>
            </w:pPr>
            <w:r>
              <w:rPr>
                <w:sz w:val="18"/>
              </w:rPr>
              <w:t>—</w:t>
            </w:r>
          </w:p>
        </w:tc>
        <w:tc>
          <w:tcPr>
            <w:tcW w:type="dxa" w:w="1106"/>
          </w:tcPr>
          <w:p>
            <w:pPr>
              <w:jc w:val="center"/>
            </w:pPr>
            <w:r>
              <w:rPr>
                <w:sz w:val="18"/>
              </w:rPr>
              <w:t>—</w:t>
            </w:r>
          </w:p>
        </w:tc>
        <w:tc>
          <w:tcPr>
            <w:tcW w:type="dxa" w:w="1106"/>
          </w:tcPr>
          <w:p>
            <w:pPr>
              <w:jc w:val="center"/>
            </w:pPr>
            <w:r>
              <w:rPr>
                <w:sz w:val="18"/>
              </w:rPr>
            </w:r>
          </w:p>
        </w:tc>
        <w:tc>
          <w:tcPr>
            <w:tcW w:type="dxa" w:w="1106"/>
          </w:tcPr>
          <w:p>
            <w:pPr>
              <w:jc w:val="center"/>
            </w:pPr>
            <w:r>
              <w:rPr>
                <w:sz w:val="18"/>
              </w:rPr>
              <w:t>False</w:t>
            </w:r>
          </w:p>
        </w:tc>
        <w:tc>
          <w:tcPr>
            <w:tcW w:type="dxa" w:w="1106"/>
          </w:tcPr>
          <w:p>
            <w:pPr>
              <w:jc w:val="center"/>
            </w:pPr>
            <w:r>
              <w:rPr>
                <w:sz w:val="18"/>
              </w:rPr>
              <w:t>La fuente no publica TEU</w:t>
            </w:r>
          </w:p>
        </w:tc>
      </w:tr>
      <w:tr>
        <w:tc>
          <w:tcPr>
            <w:tcW w:type="dxa" w:w="1106"/>
          </w:tcPr>
          <w:p>
            <w:pPr>
              <w:jc w:val="center"/>
            </w:pPr>
            <w:r>
              <w:rPr>
                <w:sz w:val="18"/>
              </w:rPr>
              <w:t>arribos</w:t>
            </w:r>
          </w:p>
        </w:tc>
        <w:tc>
          <w:tcPr>
            <w:tcW w:type="dxa" w:w="1106"/>
          </w:tcPr>
          <w:p>
            <w:pPr>
              <w:jc w:val="center"/>
            </w:pPr>
            <w:r>
              <w:rPr>
                <w:sz w:val="18"/>
              </w:rPr>
              <w:t>marítimo</w:t>
            </w:r>
          </w:p>
        </w:tc>
        <w:tc>
          <w:tcPr>
            <w:tcW w:type="dxa" w:w="1106"/>
          </w:tcPr>
          <w:p>
            <w:pPr>
              <w:jc w:val="center"/>
            </w:pPr>
            <w:r>
              <w:rPr>
                <w:sz w:val="18"/>
              </w:rPr>
              <w:t>0</w:t>
            </w:r>
          </w:p>
        </w:tc>
        <w:tc>
          <w:tcPr>
            <w:tcW w:type="dxa" w:w="1106"/>
          </w:tcPr>
          <w:p>
            <w:pPr>
              <w:jc w:val="center"/>
            </w:pPr>
            <w:r>
              <w:rPr>
                <w:sz w:val="18"/>
              </w:rPr>
              <w:t>—</w:t>
            </w:r>
          </w:p>
        </w:tc>
        <w:tc>
          <w:tcPr>
            <w:tcW w:type="dxa" w:w="1106"/>
          </w:tcPr>
          <w:p>
            <w:pPr>
              <w:jc w:val="center"/>
            </w:pPr>
            <w:r>
              <w:rPr>
                <w:sz w:val="18"/>
              </w:rPr>
              <w:t>—</w:t>
            </w:r>
          </w:p>
        </w:tc>
        <w:tc>
          <w:tcPr>
            <w:tcW w:type="dxa" w:w="1106"/>
          </w:tcPr>
          <w:p>
            <w:pPr>
              <w:jc w:val="center"/>
            </w:pPr>
            <w:r>
              <w:rPr>
                <w:sz w:val="18"/>
              </w:rPr>
            </w:r>
          </w:p>
        </w:tc>
        <w:tc>
          <w:tcPr>
            <w:tcW w:type="dxa" w:w="1106"/>
          </w:tcPr>
          <w:p>
            <w:pPr>
              <w:jc w:val="center"/>
            </w:pPr>
            <w:r>
              <w:rPr>
                <w:sz w:val="18"/>
              </w:rPr>
              <w:t>False</w:t>
            </w:r>
          </w:p>
        </w:tc>
        <w:tc>
          <w:tcPr>
            <w:tcW w:type="dxa" w:w="1106"/>
          </w:tcPr>
          <w:p>
            <w:pPr>
              <w:jc w:val="center"/>
            </w:pPr>
            <w:r>
              <w:rPr>
                <w:sz w:val="18"/>
              </w:rPr>
              <w:t>Sin fuente tabular</w:t>
            </w:r>
          </w:p>
        </w:tc>
      </w:tr>
      <w:tr>
        <w:tc>
          <w:tcPr>
            <w:tcW w:type="dxa" w:w="1106"/>
          </w:tcPr>
          <w:p>
            <w:pPr>
              <w:jc w:val="center"/>
            </w:pPr>
            <w:r>
              <w:rPr>
                <w:sz w:val="18"/>
              </w:rPr>
              <w:t>permanencia_media</w:t>
            </w:r>
          </w:p>
        </w:tc>
        <w:tc>
          <w:tcPr>
            <w:tcW w:type="dxa" w:w="1106"/>
          </w:tcPr>
          <w:p>
            <w:pPr>
              <w:jc w:val="center"/>
            </w:pPr>
            <w:r>
              <w:rPr>
                <w:sz w:val="18"/>
              </w:rPr>
              <w:t>operacional</w:t>
            </w:r>
          </w:p>
        </w:tc>
        <w:tc>
          <w:tcPr>
            <w:tcW w:type="dxa" w:w="1106"/>
          </w:tcPr>
          <w:p>
            <w:pPr>
              <w:jc w:val="center"/>
            </w:pPr>
            <w:r>
              <w:rPr>
                <w:sz w:val="18"/>
              </w:rPr>
              <w:t>0</w:t>
            </w:r>
          </w:p>
        </w:tc>
        <w:tc>
          <w:tcPr>
            <w:tcW w:type="dxa" w:w="1106"/>
          </w:tcPr>
          <w:p>
            <w:pPr>
              <w:jc w:val="center"/>
            </w:pPr>
            <w:r>
              <w:rPr>
                <w:sz w:val="18"/>
              </w:rPr>
              <w:t>—</w:t>
            </w:r>
          </w:p>
        </w:tc>
        <w:tc>
          <w:tcPr>
            <w:tcW w:type="dxa" w:w="1106"/>
          </w:tcPr>
          <w:p>
            <w:pPr>
              <w:jc w:val="center"/>
            </w:pPr>
            <w:r>
              <w:rPr>
                <w:sz w:val="18"/>
              </w:rPr>
              <w:t>—</w:t>
            </w:r>
          </w:p>
        </w:tc>
        <w:tc>
          <w:tcPr>
            <w:tcW w:type="dxa" w:w="1106"/>
          </w:tcPr>
          <w:p>
            <w:pPr>
              <w:jc w:val="center"/>
            </w:pPr>
            <w:r>
              <w:rPr>
                <w:sz w:val="18"/>
              </w:rPr>
            </w:r>
          </w:p>
        </w:tc>
        <w:tc>
          <w:tcPr>
            <w:tcW w:type="dxa" w:w="1106"/>
          </w:tcPr>
          <w:p>
            <w:pPr>
              <w:jc w:val="center"/>
            </w:pPr>
            <w:r>
              <w:rPr>
                <w:sz w:val="18"/>
              </w:rPr>
              <w:t>False</w:t>
            </w:r>
          </w:p>
        </w:tc>
        <w:tc>
          <w:tcPr>
            <w:tcW w:type="dxa" w:w="1106"/>
          </w:tcPr>
          <w:p>
            <w:pPr>
              <w:jc w:val="center"/>
            </w:pPr>
            <w:r>
              <w:rPr>
                <w:sz w:val="18"/>
              </w:rPr>
              <w:t>Sin fuente pública</w:t>
            </w:r>
          </w:p>
        </w:tc>
      </w:tr>
    </w:tbl>
    <w:p>
      <w:pPr>
        <w:spacing w:after="240"/>
      </w:pPr>
      <w:r>
        <w:rPr>
          <w:i/>
          <w:color w:val="787878"/>
          <w:sz w:val="18"/>
        </w:rPr>
        <w:t>Fuente: Elaboración propia. Salida del pipeline: elegibilidad_indicadores.csv (P46).</w:t>
      </w:r>
    </w:p>
    <w:p>
      <w:pPr>
        <w:spacing w:after="120" w:line="360" w:lineRule="auto"/>
        <w:jc w:val="both"/>
      </w:pPr>
      <w:r>
        <w:t>El criterio se fijó antes de mirar los resultados: un indicador con menos de 36 observaciones mensuales no se pronostica, se describe. Tres de los siete candidatos quedan excluidos porque su fuente no existe.</w:t>
      </w:r>
    </w:p>
    <w:p>
      <w:r>
        <w:rPr>
          <w:b/>
          <w:sz w:val="24"/>
        </w:rPr>
        <w:t>9.2 La integración no mejora el pronóstico</w:t>
      </w:r>
    </w:p>
    <w:p>
      <w:pPr>
        <w:spacing w:after="120" w:line="360" w:lineRule="auto"/>
        <w:jc w:val="both"/>
      </w:pPr>
      <w:r>
        <w:t>La versión 5 partía de una hipótesis implícita: cruzar dominios mejoraría la predicción del valor CIF. Se midió mediante un análisis de ablación por grupos de variables, con todas ellas rezagadas para que ninguna use información no disponible en la fecha de predicción.</w:t>
      </w:r>
    </w:p>
    <w:p>
      <w:r>
        <w:rPr>
          <w:b/>
          <w:sz w:val="22"/>
        </w:rPr>
        <w:t>Tabla 8. Análisis de ablación multidominio sobre el pronóstico del valor CIF</w:t>
      </w:r>
    </w:p>
    <w:tbl>
      <w:tblPr>
        <w:tblStyle w:val="TableGrid"/>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conjunto</w:t>
            </w:r>
          </w:p>
        </w:tc>
        <w:tc>
          <w:tcPr>
            <w:tcW w:type="dxa" w:w="2211"/>
          </w:tcPr>
          <w:p>
            <w:pPr>
              <w:jc w:val="center"/>
            </w:pPr>
            <w:r>
              <w:rPr>
                <w:b/>
                <w:sz w:val="18"/>
              </w:rPr>
              <w:t>n_vars</w:t>
            </w:r>
          </w:p>
        </w:tc>
        <w:tc>
          <w:tcPr>
            <w:tcW w:type="dxa" w:w="2211"/>
          </w:tcPr>
          <w:p>
            <w:pPr>
              <w:jc w:val="center"/>
            </w:pPr>
            <w:r>
              <w:rPr>
                <w:b/>
                <w:sz w:val="18"/>
              </w:rPr>
              <w:t>wape_pct</w:t>
            </w:r>
          </w:p>
        </w:tc>
        <w:tc>
          <w:tcPr>
            <w:tcW w:type="dxa" w:w="2211"/>
          </w:tcPr>
          <w:p>
            <w:pPr>
              <w:jc w:val="center"/>
            </w:pPr>
            <w:r>
              <w:rPr>
                <w:b/>
                <w:sz w:val="18"/>
              </w:rPr>
              <w:t>ganancia_vs_A_pp</w:t>
            </w:r>
          </w:p>
        </w:tc>
      </w:tr>
      <w:tr>
        <w:tc>
          <w:tcPr>
            <w:tcW w:type="dxa" w:w="2211"/>
          </w:tcPr>
          <w:p>
            <w:pPr>
              <w:jc w:val="center"/>
            </w:pPr>
            <w:r>
              <w:rPr>
                <w:sz w:val="18"/>
              </w:rPr>
              <w:t>B · A + calendario</w:t>
            </w:r>
          </w:p>
        </w:tc>
        <w:tc>
          <w:tcPr>
            <w:tcW w:type="dxa" w:w="2211"/>
          </w:tcPr>
          <w:p>
            <w:pPr>
              <w:jc w:val="center"/>
            </w:pPr>
            <w:r>
              <w:rPr>
                <w:sz w:val="18"/>
              </w:rPr>
              <w:t>7</w:t>
            </w:r>
          </w:p>
        </w:tc>
        <w:tc>
          <w:tcPr>
            <w:tcW w:type="dxa" w:w="2211"/>
          </w:tcPr>
          <w:p>
            <w:pPr>
              <w:jc w:val="center"/>
            </w:pPr>
            <w:r>
              <w:rPr>
                <w:sz w:val="18"/>
              </w:rPr>
              <w:t>5.875</w:t>
            </w:r>
          </w:p>
        </w:tc>
        <w:tc>
          <w:tcPr>
            <w:tcW w:type="dxa" w:w="2211"/>
          </w:tcPr>
          <w:p>
            <w:pPr>
              <w:jc w:val="center"/>
            </w:pPr>
            <w:r>
              <w:rPr>
                <w:sz w:val="18"/>
              </w:rPr>
              <w:t>0.207</w:t>
            </w:r>
          </w:p>
        </w:tc>
      </w:tr>
      <w:tr>
        <w:tc>
          <w:tcPr>
            <w:tcW w:type="dxa" w:w="2211"/>
          </w:tcPr>
          <w:p>
            <w:pPr>
              <w:jc w:val="center"/>
            </w:pPr>
            <w:r>
              <w:rPr>
                <w:sz w:val="18"/>
              </w:rPr>
              <w:t>A · historia propia</w:t>
            </w:r>
          </w:p>
        </w:tc>
        <w:tc>
          <w:tcPr>
            <w:tcW w:type="dxa" w:w="2211"/>
          </w:tcPr>
          <w:p>
            <w:pPr>
              <w:jc w:val="center"/>
            </w:pPr>
            <w:r>
              <w:rPr>
                <w:sz w:val="18"/>
              </w:rPr>
              <w:t>5</w:t>
            </w:r>
          </w:p>
        </w:tc>
        <w:tc>
          <w:tcPr>
            <w:tcW w:type="dxa" w:w="2211"/>
          </w:tcPr>
          <w:p>
            <w:pPr>
              <w:jc w:val="center"/>
            </w:pPr>
            <w:r>
              <w:rPr>
                <w:sz w:val="18"/>
              </w:rPr>
              <w:t>6.082</w:t>
            </w:r>
          </w:p>
        </w:tc>
        <w:tc>
          <w:tcPr>
            <w:tcW w:type="dxa" w:w="2211"/>
          </w:tcPr>
          <w:p>
            <w:pPr>
              <w:jc w:val="center"/>
            </w:pPr>
            <w:r>
              <w:rPr>
                <w:sz w:val="18"/>
              </w:rPr>
              <w:t>0.0</w:t>
            </w:r>
          </w:p>
        </w:tc>
      </w:tr>
      <w:tr>
        <w:tc>
          <w:tcPr>
            <w:tcW w:type="dxa" w:w="2211"/>
          </w:tcPr>
          <w:p>
            <w:pPr>
              <w:jc w:val="center"/>
            </w:pPr>
            <w:r>
              <w:rPr>
                <w:sz w:val="18"/>
              </w:rPr>
              <w:t>D · A + contexto (TRM, ONI)</w:t>
            </w:r>
          </w:p>
        </w:tc>
        <w:tc>
          <w:tcPr>
            <w:tcW w:type="dxa" w:w="2211"/>
          </w:tcPr>
          <w:p>
            <w:pPr>
              <w:jc w:val="center"/>
            </w:pPr>
            <w:r>
              <w:rPr>
                <w:sz w:val="18"/>
              </w:rPr>
              <w:t>9</w:t>
            </w:r>
          </w:p>
        </w:tc>
        <w:tc>
          <w:tcPr>
            <w:tcW w:type="dxa" w:w="2211"/>
          </w:tcPr>
          <w:p>
            <w:pPr>
              <w:jc w:val="center"/>
            </w:pPr>
            <w:r>
              <w:rPr>
                <w:sz w:val="18"/>
              </w:rPr>
              <w:t>6.133</w:t>
            </w:r>
          </w:p>
        </w:tc>
        <w:tc>
          <w:tcPr>
            <w:tcW w:type="dxa" w:w="2211"/>
          </w:tcPr>
          <w:p>
            <w:pPr>
              <w:jc w:val="center"/>
            </w:pPr>
            <w:r>
              <w:rPr>
                <w:sz w:val="18"/>
              </w:rPr>
              <w:t>-0.051</w:t>
            </w:r>
          </w:p>
        </w:tc>
      </w:tr>
      <w:tr>
        <w:tc>
          <w:tcPr>
            <w:tcW w:type="dxa" w:w="2211"/>
          </w:tcPr>
          <w:p>
            <w:pPr>
              <w:jc w:val="center"/>
            </w:pPr>
            <w:r>
              <w:rPr>
                <w:sz w:val="18"/>
              </w:rPr>
              <w:t>E · integrado completo</w:t>
            </w:r>
          </w:p>
        </w:tc>
        <w:tc>
          <w:tcPr>
            <w:tcW w:type="dxa" w:w="2211"/>
          </w:tcPr>
          <w:p>
            <w:pPr>
              <w:jc w:val="center"/>
            </w:pPr>
            <w:r>
              <w:rPr>
                <w:sz w:val="18"/>
              </w:rPr>
              <w:t>16</w:t>
            </w:r>
          </w:p>
        </w:tc>
        <w:tc>
          <w:tcPr>
            <w:tcW w:type="dxa" w:w="2211"/>
          </w:tcPr>
          <w:p>
            <w:pPr>
              <w:jc w:val="center"/>
            </w:pPr>
            <w:r>
              <w:rPr>
                <w:sz w:val="18"/>
              </w:rPr>
              <w:t>6.167</w:t>
            </w:r>
          </w:p>
        </w:tc>
        <w:tc>
          <w:tcPr>
            <w:tcW w:type="dxa" w:w="2211"/>
          </w:tcPr>
          <w:p>
            <w:pPr>
              <w:jc w:val="center"/>
            </w:pPr>
            <w:r>
              <w:rPr>
                <w:sz w:val="18"/>
              </w:rPr>
              <w:t>-0.085</w:t>
            </w:r>
          </w:p>
        </w:tc>
      </w:tr>
      <w:tr>
        <w:tc>
          <w:tcPr>
            <w:tcW w:type="dxa" w:w="2211"/>
          </w:tcPr>
          <w:p>
            <w:pPr>
              <w:jc w:val="center"/>
            </w:pPr>
            <w:r>
              <w:rPr>
                <w:sz w:val="18"/>
              </w:rPr>
              <w:t>C · A + PUERTO</w:t>
            </w:r>
          </w:p>
        </w:tc>
        <w:tc>
          <w:tcPr>
            <w:tcW w:type="dxa" w:w="2211"/>
          </w:tcPr>
          <w:p>
            <w:pPr>
              <w:jc w:val="center"/>
            </w:pPr>
            <w:r>
              <w:rPr>
                <w:sz w:val="18"/>
              </w:rPr>
              <w:t>10</w:t>
            </w:r>
          </w:p>
        </w:tc>
        <w:tc>
          <w:tcPr>
            <w:tcW w:type="dxa" w:w="2211"/>
          </w:tcPr>
          <w:p>
            <w:pPr>
              <w:jc w:val="center"/>
            </w:pPr>
            <w:r>
              <w:rPr>
                <w:sz w:val="18"/>
              </w:rPr>
              <w:t>6.575</w:t>
            </w:r>
          </w:p>
        </w:tc>
        <w:tc>
          <w:tcPr>
            <w:tcW w:type="dxa" w:w="2211"/>
          </w:tcPr>
          <w:p>
            <w:pPr>
              <w:jc w:val="center"/>
            </w:pPr>
            <w:r>
              <w:rPr>
                <w:sz w:val="18"/>
              </w:rPr>
              <w:t>-0.493</w:t>
            </w:r>
          </w:p>
        </w:tc>
      </w:tr>
      <w:tr>
        <w:tc>
          <w:tcPr>
            <w:tcW w:type="dxa" w:w="2211"/>
          </w:tcPr>
          <w:p>
            <w:pPr>
              <w:jc w:val="center"/>
            </w:pPr>
            <w:r>
              <w:rPr>
                <w:sz w:val="18"/>
              </w:rPr>
              <w:t>base · drift</w:t>
            </w:r>
          </w:p>
        </w:tc>
        <w:tc>
          <w:tcPr>
            <w:tcW w:type="dxa" w:w="2211"/>
          </w:tcPr>
          <w:p>
            <w:pPr>
              <w:jc w:val="center"/>
            </w:pPr>
            <w:r>
              <w:rPr>
                <w:sz w:val="18"/>
              </w:rPr>
              <w:t>0</w:t>
            </w:r>
          </w:p>
        </w:tc>
        <w:tc>
          <w:tcPr>
            <w:tcW w:type="dxa" w:w="2211"/>
          </w:tcPr>
          <w:p>
            <w:pPr>
              <w:jc w:val="center"/>
            </w:pPr>
            <w:r>
              <w:rPr>
                <w:sz w:val="18"/>
              </w:rPr>
              <w:t>6.905</w:t>
            </w:r>
          </w:p>
        </w:tc>
        <w:tc>
          <w:tcPr>
            <w:tcW w:type="dxa" w:w="2211"/>
          </w:tcPr>
          <w:p>
            <w:pPr>
              <w:jc w:val="center"/>
            </w:pPr>
            <w:r>
              <w:rPr>
                <w:sz w:val="18"/>
              </w:rPr>
              <w:t>-0.823</w:t>
            </w:r>
          </w:p>
        </w:tc>
      </w:tr>
      <w:tr>
        <w:tc>
          <w:tcPr>
            <w:tcW w:type="dxa" w:w="2211"/>
          </w:tcPr>
          <w:p>
            <w:pPr>
              <w:jc w:val="center"/>
            </w:pPr>
            <w:r>
              <w:rPr>
                <w:sz w:val="18"/>
              </w:rPr>
              <w:t>base · naive_1</w:t>
            </w:r>
          </w:p>
        </w:tc>
        <w:tc>
          <w:tcPr>
            <w:tcW w:type="dxa" w:w="2211"/>
          </w:tcPr>
          <w:p>
            <w:pPr>
              <w:jc w:val="center"/>
            </w:pPr>
            <w:r>
              <w:rPr>
                <w:sz w:val="18"/>
              </w:rPr>
              <w:t>0</w:t>
            </w:r>
          </w:p>
        </w:tc>
        <w:tc>
          <w:tcPr>
            <w:tcW w:type="dxa" w:w="2211"/>
          </w:tcPr>
          <w:p>
            <w:pPr>
              <w:jc w:val="center"/>
            </w:pPr>
            <w:r>
              <w:rPr>
                <w:sz w:val="18"/>
              </w:rPr>
              <w:t>6.956</w:t>
            </w:r>
          </w:p>
        </w:tc>
        <w:tc>
          <w:tcPr>
            <w:tcW w:type="dxa" w:w="2211"/>
          </w:tcPr>
          <w:p>
            <w:pPr>
              <w:jc w:val="center"/>
            </w:pPr>
            <w:r>
              <w:rPr>
                <w:sz w:val="18"/>
              </w:rPr>
              <w:t>-0.874</w:t>
            </w:r>
          </w:p>
        </w:tc>
      </w:tr>
      <w:tr>
        <w:tc>
          <w:tcPr>
            <w:tcW w:type="dxa" w:w="2211"/>
          </w:tcPr>
          <w:p>
            <w:pPr>
              <w:jc w:val="center"/>
            </w:pPr>
            <w:r>
              <w:rPr>
                <w:sz w:val="18"/>
              </w:rPr>
              <w:t>base · naive_12</w:t>
            </w:r>
          </w:p>
        </w:tc>
        <w:tc>
          <w:tcPr>
            <w:tcW w:type="dxa" w:w="2211"/>
          </w:tcPr>
          <w:p>
            <w:pPr>
              <w:jc w:val="center"/>
            </w:pPr>
            <w:r>
              <w:rPr>
                <w:sz w:val="18"/>
              </w:rPr>
              <w:t>0</w:t>
            </w:r>
          </w:p>
        </w:tc>
        <w:tc>
          <w:tcPr>
            <w:tcW w:type="dxa" w:w="2211"/>
          </w:tcPr>
          <w:p>
            <w:pPr>
              <w:jc w:val="center"/>
            </w:pPr>
            <w:r>
              <w:rPr>
                <w:sz w:val="18"/>
              </w:rPr>
              <w:t>16.487</w:t>
            </w:r>
          </w:p>
        </w:tc>
        <w:tc>
          <w:tcPr>
            <w:tcW w:type="dxa" w:w="2211"/>
          </w:tcPr>
          <w:p>
            <w:pPr>
              <w:jc w:val="center"/>
            </w:pPr>
            <w:r>
              <w:rPr>
                <w:sz w:val="18"/>
              </w:rPr>
              <w:t>-10.405</w:t>
            </w:r>
          </w:p>
        </w:tc>
      </w:tr>
    </w:tbl>
    <w:p>
      <w:pPr>
        <w:spacing w:after="240"/>
      </w:pPr>
      <w:r>
        <w:rPr>
          <w:i/>
          <w:color w:val="787878"/>
          <w:sz w:val="18"/>
        </w:rPr>
        <w:t>Fuente: Elaboración propia. Backtest walk-forward de 24 cortes. Salida del pipeline: ablacion_multidominio.csv (P49).</w:t>
      </w:r>
    </w:p>
    <w:p>
      <w:pPr>
        <w:spacing w:after="120" w:line="360" w:lineRule="auto"/>
        <w:jc w:val="both"/>
      </w:pPr>
      <w:r>
        <w:t>El conjunto que solo usa la historia propia del CIF y variables de calendario alcanza un WAPE de 5,875 %. Añadir variables portuarias lo eleva a 6,575 %, y el modelo integrado completo a 6,167 %. **Las variables portuarias empeoran el pronóstico.**</w:t>
      </w:r>
    </w:p>
    <w:p>
      <w:pPr>
        <w:spacing w:after="120" w:line="360" w:lineRule="auto"/>
        <w:jc w:val="both"/>
      </w:pPr>
      <w:r>
        <w:t>La explicación es coherente con la naturaleza de las fuentes: ambas miden el mismo comercio subyacente y comparten el mismo rezago de publicación, de modo que el dominio portuario no aporta información que la historia del propio valor CIF no contenga ya, y sí consume grados de libertad sobre una muestra corta.</w:t>
      </w:r>
    </w:p>
    <w:p>
      <w:pPr>
        <w:spacing w:after="120" w:line="360" w:lineRule="auto"/>
        <w:jc w:val="both"/>
      </w:pPr>
      <w:r>
        <w:t>La consecuencia para el diseño del producto es directa: el modelo predictivo principal es el aduanero, y el dominio portuario se conserva por su valor descriptivo y explicativo. Sirve para responder si un mes cambió por valor o por volumen físico y por qué sociedad portuaria pasó la carga. Presentarlo como una mejora del pronóstico sería afirmar lo contrario de lo que se midió.</w:t>
      </w:r>
    </w:p>
    <w:p>
      <w:r>
        <w:rPr>
          <w:b/>
          <w:sz w:val="24"/>
        </w:rPr>
        <w:t>9.3 Indicadores portuarios</w:t>
      </w:r>
    </w:p>
    <w:p>
      <w:r>
        <w:rPr>
          <w:b/>
          <w:sz w:val="22"/>
        </w:rPr>
        <w:t>Tabla 9. Desempeño de modelos y líneas base sobre los indicadores portuarios</w:t>
      </w:r>
    </w:p>
    <w:tbl>
      <w:tblPr>
        <w:tblStyle w:val="TableGrid"/>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objetivo</w:t>
            </w:r>
          </w:p>
        </w:tc>
        <w:tc>
          <w:tcPr>
            <w:tcW w:type="dxa" w:w="2211"/>
          </w:tcPr>
          <w:p>
            <w:pPr>
              <w:jc w:val="center"/>
            </w:pPr>
            <w:r>
              <w:rPr>
                <w:b/>
                <w:sz w:val="18"/>
              </w:rPr>
              <w:t>modelo</w:t>
            </w:r>
          </w:p>
        </w:tc>
        <w:tc>
          <w:tcPr>
            <w:tcW w:type="dxa" w:w="2211"/>
          </w:tcPr>
          <w:p>
            <w:pPr>
              <w:jc w:val="center"/>
            </w:pPr>
            <w:r>
              <w:rPr>
                <w:b/>
                <w:sz w:val="18"/>
              </w:rPr>
              <w:t>wape_pct</w:t>
            </w:r>
          </w:p>
        </w:tc>
        <w:tc>
          <w:tcPr>
            <w:tcW w:type="dxa" w:w="2211"/>
          </w:tcPr>
          <w:p>
            <w:pPr>
              <w:jc w:val="center"/>
            </w:pPr>
            <w:r>
              <w:rPr>
                <w:b/>
                <w:sz w:val="18"/>
              </w:rPr>
              <w:t>mase_12</w:t>
            </w:r>
          </w:p>
        </w:tc>
      </w:tr>
      <w:tr>
        <w:tc>
          <w:tcPr>
            <w:tcW w:type="dxa" w:w="2211"/>
          </w:tcPr>
          <w:p>
            <w:pPr>
              <w:jc w:val="center"/>
            </w:pPr>
            <w:r>
              <w:rPr>
                <w:sz w:val="18"/>
              </w:rPr>
              <w:t>toneladas_totales</w:t>
            </w:r>
          </w:p>
        </w:tc>
        <w:tc>
          <w:tcPr>
            <w:tcW w:type="dxa" w:w="2211"/>
          </w:tcPr>
          <w:p>
            <w:pPr>
              <w:jc w:val="center"/>
            </w:pPr>
            <w:r>
              <w:rPr>
                <w:sz w:val="18"/>
              </w:rPr>
              <w:t>ridge</w:t>
            </w:r>
          </w:p>
        </w:tc>
        <w:tc>
          <w:tcPr>
            <w:tcW w:type="dxa" w:w="2211"/>
          </w:tcPr>
          <w:p>
            <w:pPr>
              <w:jc w:val="center"/>
            </w:pPr>
            <w:r>
              <w:rPr>
                <w:sz w:val="18"/>
              </w:rPr>
              <w:t>6.613</w:t>
            </w:r>
          </w:p>
        </w:tc>
        <w:tc>
          <w:tcPr>
            <w:tcW w:type="dxa" w:w="2211"/>
          </w:tcPr>
          <w:p>
            <w:pPr>
              <w:jc w:val="center"/>
            </w:pPr>
            <w:r>
              <w:rPr>
                <w:sz w:val="18"/>
              </w:rPr>
              <w:t>0.54</w:t>
            </w:r>
          </w:p>
        </w:tc>
      </w:tr>
      <w:tr>
        <w:tc>
          <w:tcPr>
            <w:tcW w:type="dxa" w:w="2211"/>
          </w:tcPr>
          <w:p>
            <w:pPr>
              <w:jc w:val="center"/>
            </w:pPr>
            <w:r>
              <w:rPr>
                <w:sz w:val="18"/>
              </w:rPr>
              <w:t>toneladas_totales</w:t>
            </w:r>
          </w:p>
        </w:tc>
        <w:tc>
          <w:tcPr>
            <w:tcW w:type="dxa" w:w="2211"/>
          </w:tcPr>
          <w:p>
            <w:pPr>
              <w:jc w:val="center"/>
            </w:pPr>
            <w:r>
              <w:rPr>
                <w:sz w:val="18"/>
              </w:rPr>
              <w:t>hgb</w:t>
            </w:r>
          </w:p>
        </w:tc>
        <w:tc>
          <w:tcPr>
            <w:tcW w:type="dxa" w:w="2211"/>
          </w:tcPr>
          <w:p>
            <w:pPr>
              <w:jc w:val="center"/>
            </w:pPr>
            <w:r>
              <w:rPr>
                <w:sz w:val="18"/>
              </w:rPr>
              <w:t>7.86</w:t>
            </w:r>
          </w:p>
        </w:tc>
        <w:tc>
          <w:tcPr>
            <w:tcW w:type="dxa" w:w="2211"/>
          </w:tcPr>
          <w:p>
            <w:pPr>
              <w:jc w:val="center"/>
            </w:pPr>
            <w:r>
              <w:rPr>
                <w:sz w:val="18"/>
              </w:rPr>
              <w:t>0.642</w:t>
            </w:r>
          </w:p>
        </w:tc>
      </w:tr>
      <w:tr>
        <w:tc>
          <w:tcPr>
            <w:tcW w:type="dxa" w:w="2211"/>
          </w:tcPr>
          <w:p>
            <w:pPr>
              <w:jc w:val="center"/>
            </w:pPr>
            <w:r>
              <w:rPr>
                <w:sz w:val="18"/>
              </w:rPr>
              <w:t>toneladas_totales</w:t>
            </w:r>
          </w:p>
        </w:tc>
        <w:tc>
          <w:tcPr>
            <w:tcW w:type="dxa" w:w="2211"/>
          </w:tcPr>
          <w:p>
            <w:pPr>
              <w:jc w:val="center"/>
            </w:pPr>
            <w:r>
              <w:rPr>
                <w:sz w:val="18"/>
              </w:rPr>
              <w:t>naive_1</w:t>
            </w:r>
          </w:p>
        </w:tc>
        <w:tc>
          <w:tcPr>
            <w:tcW w:type="dxa" w:w="2211"/>
          </w:tcPr>
          <w:p>
            <w:pPr>
              <w:jc w:val="center"/>
            </w:pPr>
            <w:r>
              <w:rPr>
                <w:sz w:val="18"/>
              </w:rPr>
              <w:t>9.174</w:t>
            </w:r>
          </w:p>
        </w:tc>
        <w:tc>
          <w:tcPr>
            <w:tcW w:type="dxa" w:w="2211"/>
          </w:tcPr>
          <w:p>
            <w:pPr>
              <w:jc w:val="center"/>
            </w:pPr>
            <w:r>
              <w:rPr>
                <w:sz w:val="18"/>
              </w:rPr>
              <w:t>0.749</w:t>
            </w:r>
          </w:p>
        </w:tc>
      </w:tr>
      <w:tr>
        <w:tc>
          <w:tcPr>
            <w:tcW w:type="dxa" w:w="2211"/>
          </w:tcPr>
          <w:p>
            <w:pPr>
              <w:jc w:val="center"/>
            </w:pPr>
            <w:r>
              <w:rPr>
                <w:sz w:val="18"/>
              </w:rPr>
              <w:t>toneladas_totales</w:t>
            </w:r>
          </w:p>
        </w:tc>
        <w:tc>
          <w:tcPr>
            <w:tcW w:type="dxa" w:w="2211"/>
          </w:tcPr>
          <w:p>
            <w:pPr>
              <w:jc w:val="center"/>
            </w:pPr>
            <w:r>
              <w:rPr>
                <w:sz w:val="18"/>
              </w:rPr>
              <w:t>drift</w:t>
            </w:r>
          </w:p>
        </w:tc>
        <w:tc>
          <w:tcPr>
            <w:tcW w:type="dxa" w:w="2211"/>
          </w:tcPr>
          <w:p>
            <w:pPr>
              <w:jc w:val="center"/>
            </w:pPr>
            <w:r>
              <w:rPr>
                <w:sz w:val="18"/>
              </w:rPr>
              <w:t>9.239</w:t>
            </w:r>
          </w:p>
        </w:tc>
        <w:tc>
          <w:tcPr>
            <w:tcW w:type="dxa" w:w="2211"/>
          </w:tcPr>
          <w:p>
            <w:pPr>
              <w:jc w:val="center"/>
            </w:pPr>
            <w:r>
              <w:rPr>
                <w:sz w:val="18"/>
              </w:rPr>
              <w:t>0.755</w:t>
            </w:r>
          </w:p>
        </w:tc>
      </w:tr>
      <w:tr>
        <w:tc>
          <w:tcPr>
            <w:tcW w:type="dxa" w:w="2211"/>
          </w:tcPr>
          <w:p>
            <w:pPr>
              <w:jc w:val="center"/>
            </w:pPr>
            <w:r>
              <w:rPr>
                <w:sz w:val="18"/>
              </w:rPr>
              <w:t>toneladas_totales</w:t>
            </w:r>
          </w:p>
        </w:tc>
        <w:tc>
          <w:tcPr>
            <w:tcW w:type="dxa" w:w="2211"/>
          </w:tcPr>
          <w:p>
            <w:pPr>
              <w:jc w:val="center"/>
            </w:pPr>
            <w:r>
              <w:rPr>
                <w:sz w:val="18"/>
              </w:rPr>
              <w:t>naive_12</w:t>
            </w:r>
          </w:p>
        </w:tc>
        <w:tc>
          <w:tcPr>
            <w:tcW w:type="dxa" w:w="2211"/>
          </w:tcPr>
          <w:p>
            <w:pPr>
              <w:jc w:val="center"/>
            </w:pPr>
            <w:r>
              <w:rPr>
                <w:sz w:val="18"/>
              </w:rPr>
              <w:t>12.838</w:t>
            </w:r>
          </w:p>
        </w:tc>
        <w:tc>
          <w:tcPr>
            <w:tcW w:type="dxa" w:w="2211"/>
          </w:tcPr>
          <w:p>
            <w:pPr>
              <w:jc w:val="center"/>
            </w:pPr>
            <w:r>
              <w:rPr>
                <w:sz w:val="18"/>
              </w:rPr>
              <w:t>1.049</w:t>
            </w:r>
          </w:p>
        </w:tc>
      </w:tr>
      <w:tr>
        <w:tc>
          <w:tcPr>
            <w:tcW w:type="dxa" w:w="2211"/>
          </w:tcPr>
          <w:p>
            <w:pPr>
              <w:jc w:val="center"/>
            </w:pPr>
            <w:r>
              <w:rPr>
                <w:sz w:val="18"/>
              </w:rPr>
              <w:t>ton_contenerizada</w:t>
            </w:r>
          </w:p>
        </w:tc>
        <w:tc>
          <w:tcPr>
            <w:tcW w:type="dxa" w:w="2211"/>
          </w:tcPr>
          <w:p>
            <w:pPr>
              <w:jc w:val="center"/>
            </w:pPr>
            <w:r>
              <w:rPr>
                <w:sz w:val="18"/>
              </w:rPr>
              <w:t>naive_1</w:t>
            </w:r>
          </w:p>
        </w:tc>
        <w:tc>
          <w:tcPr>
            <w:tcW w:type="dxa" w:w="2211"/>
          </w:tcPr>
          <w:p>
            <w:pPr>
              <w:jc w:val="center"/>
            </w:pPr>
            <w:r>
              <w:rPr>
                <w:sz w:val="18"/>
              </w:rPr>
              <w:t>8.553</w:t>
            </w:r>
          </w:p>
        </w:tc>
        <w:tc>
          <w:tcPr>
            <w:tcW w:type="dxa" w:w="2211"/>
          </w:tcPr>
          <w:p>
            <w:pPr>
              <w:jc w:val="center"/>
            </w:pPr>
            <w:r>
              <w:rPr>
                <w:sz w:val="18"/>
              </w:rPr>
              <w:t>0.586</w:t>
            </w:r>
          </w:p>
        </w:tc>
      </w:tr>
      <w:tr>
        <w:tc>
          <w:tcPr>
            <w:tcW w:type="dxa" w:w="2211"/>
          </w:tcPr>
          <w:p>
            <w:pPr>
              <w:jc w:val="center"/>
            </w:pPr>
            <w:r>
              <w:rPr>
                <w:sz w:val="18"/>
              </w:rPr>
              <w:t>ton_contenerizada</w:t>
            </w:r>
          </w:p>
        </w:tc>
        <w:tc>
          <w:tcPr>
            <w:tcW w:type="dxa" w:w="2211"/>
          </w:tcPr>
          <w:p>
            <w:pPr>
              <w:jc w:val="center"/>
            </w:pPr>
            <w:r>
              <w:rPr>
                <w:sz w:val="18"/>
              </w:rPr>
              <w:t>drift</w:t>
            </w:r>
          </w:p>
        </w:tc>
        <w:tc>
          <w:tcPr>
            <w:tcW w:type="dxa" w:w="2211"/>
          </w:tcPr>
          <w:p>
            <w:pPr>
              <w:jc w:val="center"/>
            </w:pPr>
            <w:r>
              <w:rPr>
                <w:sz w:val="18"/>
              </w:rPr>
              <w:t>8.559</w:t>
            </w:r>
          </w:p>
        </w:tc>
        <w:tc>
          <w:tcPr>
            <w:tcW w:type="dxa" w:w="2211"/>
          </w:tcPr>
          <w:p>
            <w:pPr>
              <w:jc w:val="center"/>
            </w:pPr>
            <w:r>
              <w:rPr>
                <w:sz w:val="18"/>
              </w:rPr>
              <w:t>0.587</w:t>
            </w:r>
          </w:p>
        </w:tc>
      </w:tr>
      <w:tr>
        <w:tc>
          <w:tcPr>
            <w:tcW w:type="dxa" w:w="2211"/>
          </w:tcPr>
          <w:p>
            <w:pPr>
              <w:jc w:val="center"/>
            </w:pPr>
            <w:r>
              <w:rPr>
                <w:sz w:val="18"/>
              </w:rPr>
              <w:t>ton_contenerizada</w:t>
            </w:r>
          </w:p>
        </w:tc>
        <w:tc>
          <w:tcPr>
            <w:tcW w:type="dxa" w:w="2211"/>
          </w:tcPr>
          <w:p>
            <w:pPr>
              <w:jc w:val="center"/>
            </w:pPr>
            <w:r>
              <w:rPr>
                <w:sz w:val="18"/>
              </w:rPr>
              <w:t>ridge</w:t>
            </w:r>
          </w:p>
        </w:tc>
        <w:tc>
          <w:tcPr>
            <w:tcW w:type="dxa" w:w="2211"/>
          </w:tcPr>
          <w:p>
            <w:pPr>
              <w:jc w:val="center"/>
            </w:pPr>
            <w:r>
              <w:rPr>
                <w:sz w:val="18"/>
              </w:rPr>
              <w:t>9.45</w:t>
            </w:r>
          </w:p>
        </w:tc>
        <w:tc>
          <w:tcPr>
            <w:tcW w:type="dxa" w:w="2211"/>
          </w:tcPr>
          <w:p>
            <w:pPr>
              <w:jc w:val="center"/>
            </w:pPr>
            <w:r>
              <w:rPr>
                <w:sz w:val="18"/>
              </w:rPr>
              <w:t>0.648</w:t>
            </w:r>
          </w:p>
        </w:tc>
      </w:tr>
      <w:tr>
        <w:tc>
          <w:tcPr>
            <w:tcW w:type="dxa" w:w="2211"/>
          </w:tcPr>
          <w:p>
            <w:pPr>
              <w:jc w:val="center"/>
            </w:pPr>
            <w:r>
              <w:rPr>
                <w:sz w:val="18"/>
              </w:rPr>
              <w:t>ton_contenerizada</w:t>
            </w:r>
          </w:p>
        </w:tc>
        <w:tc>
          <w:tcPr>
            <w:tcW w:type="dxa" w:w="2211"/>
          </w:tcPr>
          <w:p>
            <w:pPr>
              <w:jc w:val="center"/>
            </w:pPr>
            <w:r>
              <w:rPr>
                <w:sz w:val="18"/>
              </w:rPr>
              <w:t>hgb</w:t>
            </w:r>
          </w:p>
        </w:tc>
        <w:tc>
          <w:tcPr>
            <w:tcW w:type="dxa" w:w="2211"/>
          </w:tcPr>
          <w:p>
            <w:pPr>
              <w:jc w:val="center"/>
            </w:pPr>
            <w:r>
              <w:rPr>
                <w:sz w:val="18"/>
              </w:rPr>
              <w:t>10.817</w:t>
            </w:r>
          </w:p>
        </w:tc>
        <w:tc>
          <w:tcPr>
            <w:tcW w:type="dxa" w:w="2211"/>
          </w:tcPr>
          <w:p>
            <w:pPr>
              <w:jc w:val="center"/>
            </w:pPr>
            <w:r>
              <w:rPr>
                <w:sz w:val="18"/>
              </w:rPr>
              <w:t>0.741</w:t>
            </w:r>
          </w:p>
        </w:tc>
      </w:tr>
      <w:tr>
        <w:tc>
          <w:tcPr>
            <w:tcW w:type="dxa" w:w="2211"/>
          </w:tcPr>
          <w:p>
            <w:pPr>
              <w:jc w:val="center"/>
            </w:pPr>
            <w:r>
              <w:rPr>
                <w:sz w:val="18"/>
              </w:rPr>
              <w:t>ton_contenerizada</w:t>
            </w:r>
          </w:p>
        </w:tc>
        <w:tc>
          <w:tcPr>
            <w:tcW w:type="dxa" w:w="2211"/>
          </w:tcPr>
          <w:p>
            <w:pPr>
              <w:jc w:val="center"/>
            </w:pPr>
            <w:r>
              <w:rPr>
                <w:sz w:val="18"/>
              </w:rPr>
              <w:t>naive_12</w:t>
            </w:r>
          </w:p>
        </w:tc>
        <w:tc>
          <w:tcPr>
            <w:tcW w:type="dxa" w:w="2211"/>
          </w:tcPr>
          <w:p>
            <w:pPr>
              <w:jc w:val="center"/>
            </w:pPr>
            <w:r>
              <w:rPr>
                <w:sz w:val="18"/>
              </w:rPr>
              <w:t>17.058</w:t>
            </w:r>
          </w:p>
        </w:tc>
        <w:tc>
          <w:tcPr>
            <w:tcW w:type="dxa" w:w="2211"/>
          </w:tcPr>
          <w:p>
            <w:pPr>
              <w:jc w:val="center"/>
            </w:pPr>
            <w:r>
              <w:rPr>
                <w:sz w:val="18"/>
              </w:rPr>
              <w:t>1.169</w:t>
            </w:r>
          </w:p>
        </w:tc>
      </w:tr>
    </w:tbl>
    <w:p>
      <w:pPr>
        <w:spacing w:after="240"/>
      </w:pPr>
      <w:r>
        <w:rPr>
          <w:i/>
          <w:color w:val="787878"/>
          <w:sz w:val="18"/>
        </w:rPr>
        <w:t>Fuente: Elaboración propia. Ventana de 24 cortes. Salida del pipeline: metricas_modelos_portuarios.csv (P47, P48).</w:t>
      </w:r>
    </w:p>
    <w:p>
      <w:pPr>
        <w:spacing w:after="120" w:line="360" w:lineRule="auto"/>
        <w:jc w:val="both"/>
      </w:pPr>
      <w:r>
        <w:t>El resultado es dividido y se reporta como tal. Para las toneladas totales, Ridge alcanza 6,613 % frente a 9,174 % del naive simple, una mejora sustantiva. Para la carga contenerizada ocurre lo contrario: el naive simple obtiene 8,553 % y Ridge queda en 9,450 %, es decir peor que repetir el último valor observado.</w:t>
      </w:r>
    </w:p>
    <w:p>
      <w:pPr>
        <w:spacing w:after="120" w:line="360" w:lineRule="auto"/>
        <w:jc w:val="both"/>
      </w:pPr>
      <w:r>
        <w:t>La recomendación para la carga contenerizada es no utilizar modelo. Un indicador que no se pronostica mejor que la referencia trivial no debe presentarse con un modelo encima.</w:t>
      </w:r>
    </w:p>
    <w:p>
      <w:r>
        <w:rPr>
          <w:b/>
          <w:sz w:val="24"/>
        </w:rPr>
        <w:t>9.4 Intervalos de predicción</w:t>
      </w:r>
    </w:p>
    <w:p>
      <w:r>
        <w:rPr>
          <w:b/>
          <w:sz w:val="22"/>
        </w:rPr>
        <w:t>Tabla 10. Cobertura empírica de los intervalos de predicción</w:t>
      </w:r>
    </w:p>
    <w:tbl>
      <w:tblPr>
        <w:tblStyle w:val="TableGrid"/>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Indicador</w:t>
            </w:r>
          </w:p>
        </w:tc>
        <w:tc>
          <w:tcPr>
            <w:tcW w:type="dxa" w:w="1474"/>
          </w:tcPr>
          <w:p>
            <w:pPr>
              <w:jc w:val="center"/>
            </w:pPr>
            <w:r>
              <w:rPr>
                <w:b/>
                <w:sz w:val="18"/>
              </w:rPr>
              <w:t>Ventana</w:t>
            </w:r>
          </w:p>
        </w:tc>
        <w:tc>
          <w:tcPr>
            <w:tcW w:type="dxa" w:w="1474"/>
          </w:tcPr>
          <w:p>
            <w:pPr>
              <w:jc w:val="center"/>
            </w:pPr>
            <w:r>
              <w:rPr>
                <w:b/>
                <w:sz w:val="18"/>
              </w:rPr>
              <w:t>Nominal</w:t>
            </w:r>
          </w:p>
        </w:tc>
        <w:tc>
          <w:tcPr>
            <w:tcW w:type="dxa" w:w="1474"/>
          </w:tcPr>
          <w:p>
            <w:pPr>
              <w:jc w:val="center"/>
            </w:pPr>
            <w:r>
              <w:rPr>
                <w:b/>
                <w:sz w:val="18"/>
              </w:rPr>
              <w:t>Empírica</w:t>
            </w:r>
          </w:p>
        </w:tc>
        <w:tc>
          <w:tcPr>
            <w:tcW w:type="dxa" w:w="1474"/>
          </w:tcPr>
          <w:p>
            <w:pPr>
              <w:jc w:val="center"/>
            </w:pPr>
            <w:r>
              <w:rPr>
                <w:b/>
                <w:sz w:val="18"/>
              </w:rPr>
              <w:t>Cortes</w:t>
            </w:r>
          </w:p>
        </w:tc>
        <w:tc>
          <w:tcPr>
            <w:tcW w:type="dxa" w:w="1474"/>
          </w:tcPr>
          <w:p>
            <w:pPr>
              <w:jc w:val="center"/>
            </w:pPr>
            <w:r>
              <w:rPr>
                <w:b/>
                <w:sz w:val="18"/>
              </w:rPr>
              <w:t>Fuera</w:t>
            </w:r>
          </w:p>
        </w:tc>
      </w:tr>
      <w:tr>
        <w:tc>
          <w:tcPr>
            <w:tcW w:type="dxa" w:w="1474"/>
          </w:tcPr>
          <w:p>
            <w:pPr>
              <w:jc w:val="center"/>
            </w:pPr>
            <w:r>
              <w:rPr>
                <w:sz w:val="18"/>
              </w:rPr>
              <w:t>toneladas totales</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91,7 %</w:t>
            </w:r>
          </w:p>
        </w:tc>
        <w:tc>
          <w:tcPr>
            <w:tcW w:type="dxa" w:w="1474"/>
          </w:tcPr>
          <w:p>
            <w:pPr>
              <w:jc w:val="center"/>
            </w:pPr>
            <w:r>
              <w:rPr>
                <w:sz w:val="18"/>
              </w:rPr>
              <w:t>12</w:t>
            </w:r>
          </w:p>
        </w:tc>
        <w:tc>
          <w:tcPr>
            <w:tcW w:type="dxa" w:w="1474"/>
          </w:tcPr>
          <w:p>
            <w:pPr>
              <w:jc w:val="center"/>
            </w:pPr>
            <w:r>
              <w:rPr>
                <w:sz w:val="18"/>
              </w:rPr>
              <w:t>1</w:t>
            </w:r>
          </w:p>
        </w:tc>
      </w:tr>
      <w:tr>
        <w:tc>
          <w:tcPr>
            <w:tcW w:type="dxa" w:w="1474"/>
          </w:tcPr>
          <w:p>
            <w:pPr>
              <w:jc w:val="center"/>
            </w:pPr>
            <w:r>
              <w:rPr>
                <w:sz w:val="18"/>
              </w:rPr>
              <w:t>toneladas totales</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r>
        <w:tc>
          <w:tcPr>
            <w:tcW w:type="dxa" w:w="1474"/>
          </w:tcPr>
          <w:p>
            <w:pPr>
              <w:jc w:val="center"/>
            </w:pPr>
            <w:r>
              <w:rPr>
                <w:sz w:val="18"/>
              </w:rPr>
              <w:t>ton contenerizada naive 1 v24</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12</w:t>
            </w:r>
          </w:p>
        </w:tc>
        <w:tc>
          <w:tcPr>
            <w:tcW w:type="dxa" w:w="1474"/>
          </w:tcPr>
          <w:p>
            <w:pPr>
              <w:jc w:val="center"/>
            </w:pPr>
            <w:r>
              <w:rPr>
                <w:sz w:val="18"/>
              </w:rPr>
              <w:t>3</w:t>
            </w:r>
          </w:p>
        </w:tc>
      </w:tr>
      <w:tr>
        <w:tc>
          <w:tcPr>
            <w:tcW w:type="dxa" w:w="1474"/>
          </w:tcPr>
          <w:p>
            <w:pPr>
              <w:jc w:val="center"/>
            </w:pPr>
            <w:r>
              <w:rPr>
                <w:sz w:val="18"/>
              </w:rPr>
              <w:t>ton contenerizada naive 1 v36</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bl>
    <w:p>
      <w:pPr>
        <w:spacing w:after="240"/>
      </w:pPr>
      <w:r>
        <w:rPr>
          <w:i/>
          <w:color w:val="787878"/>
          <w:sz w:val="18"/>
        </w:rPr>
        <w:t>Fuente: Elaboración propia. Método: cuantiles empíricos de los errores fuera de muestra con calibración expansiva; en ningún caso derivados de una métrica de error puntual. Salida completa del pipeline, con ancho del intervalo, meses fuera y veredicto por caso: cobertura_intervalos_portuarios.csv (P51).</w:t>
      </w:r>
    </w:p>
    <w:p>
      <w:pPr>
        <w:spacing w:after="120" w:line="360" w:lineRule="auto"/>
        <w:jc w:val="both"/>
      </w:pPr>
      <w:r>
        <w:t>La cobertura se mide y no se declara. Con pocos cortes evaluables, el intervalo de confianza de la propia cobertura es amplio y esa limitación se reporta junto con el resultado: una cobertura del 66 % sobre doce cortes no permite concluir que el intervalo esté mal calibrado, del mismo modo que una del 92 % no permite concluir que lo esté bien.</w:t>
      </w:r>
    </w:p>
    <w:p>
      <w:r>
        <w:rPr>
          <w:b/>
          <w:sz w:val="28"/>
        </w:rPr>
        <w:t>10. PRODUCTO DE DATOS</w:t>
      </w:r>
    </w:p>
    <w:p>
      <w:pPr>
        <w:spacing w:after="120" w:line="360" w:lineRule="auto"/>
        <w:jc w:val="both"/>
      </w:pPr>
      <w:r>
        <w:t>El producto consta de un tablero de seis vistas que lee exclusivamente de la capa de consumo y no calcula nada: vista ejecutiva, aduanera, portuaria con el análisis por sociedad portuaria, marítima donde se documenta la no viabilidad, predictiva con la ablación, y de calidad y trazabilidad.</w:t>
      </w:r>
    </w:p>
    <w:p>
      <w:pPr>
        <w:spacing w:after="120" w:line="360" w:lineRule="auto"/>
        <w:jc w:val="both"/>
      </w:pPr>
      <w:r>
        <w:t>Las reglas de alerta operan en tres niveles: normal, seguimiento y alerta. Los umbrales se calibran sobre la variación interanual y únicamente con la ventana de entrenamiento. Se optó por la variación interanual y no por el nivel porque, en una serie con tendencia, comparar contra la mediana histórica del nivel hace que todo mes reciente resulte anómalo y la alerta se dispare siempre.</w:t>
      </w:r>
    </w:p>
    <w:p>
      <w:pPr>
        <w:spacing w:after="120" w:line="360" w:lineRule="auto"/>
        <w:jc w:val="both"/>
      </w:pPr>
      <w:r>
        <w:t>Cada alerta explica su razón y no constituye una orden operativa.</w:t>
      </w:r>
    </w:p>
    <w:p>
      <w:r>
        <w:rPr>
          <w:b/>
          <w:sz w:val="28"/>
        </w:rPr>
        <w:t>11. CONCLUSIONES</w:t>
      </w:r>
    </w:p>
    <w:p>
      <w:pPr>
        <w:pStyle w:val="ListBullet"/>
      </w:pPr>
      <w:r>
        <w:t>Se construyeron y reconciliaron dos dominios: 173 meses aduaneros y 102 portuarios, con 101 meses de intersección.</w:t>
      </w:r>
    </w:p>
    <w:p>
      <w:pPr>
        <w:pStyle w:val="ListBullet"/>
      </w:pPr>
      <w:r>
        <w:t>La integración entre dominios es agregada por mes. No existe llave pública que permita una integración directa y no se construyó ninguna por inferencia.</w:t>
      </w:r>
    </w:p>
    <w:p>
      <w:pPr>
        <w:pStyle w:val="ListBullet"/>
      </w:pPr>
      <w:r>
        <w:t>La integración no mejora el pronóstico del valor CIF: lo empeora. Su valor es descriptivo y explicativo, y el modelo predictivo principal es el aduanero.</w:t>
      </w:r>
    </w:p>
    <w:p>
      <w:pPr>
        <w:pStyle w:val="ListBullet"/>
      </w:pPr>
      <w:r>
        <w:t>El comercio de Buenaventura combina una canasta diversificada de productos y orígenes con una movilización concentrada en pocas sociedades portuarias altamente especializadas.</w:t>
      </w:r>
    </w:p>
    <w:p>
      <w:pPr>
        <w:pStyle w:val="ListBullet"/>
      </w:pPr>
      <w:r>
        <w:t>El dominio marítimo y el operativo no son viables con fuentes públicas. Ocho preguntas se cierran con la búsqueda documentada.</w:t>
      </w:r>
    </w:p>
    <w:p>
      <w:pPr>
        <w:pStyle w:val="ListBullet"/>
      </w:pPr>
      <w:r>
        <w:t>Las 52 preguntas tienen respuesta: ninguna quedó sin evidencia ni sin justificación.</w:t>
      </w:r>
    </w:p>
    <w:p>
      <w:r>
        <w:rPr>
          <w:b/>
          <w:sz w:val="28"/>
        </w:rPr>
        <w:t>12. RECOMENDACIONES</w:t>
      </w:r>
    </w:p>
    <w:p>
      <w:pPr>
        <w:pStyle w:val="ListBullet"/>
      </w:pPr>
      <w:r>
        <w:t>Conservar el modelo aduanero como componente predictivo y el portuario como componente descriptivo, tal como indica el análisis de ablación.</w:t>
      </w:r>
    </w:p>
    <w:p>
      <w:pPr>
        <w:pStyle w:val="ListBullet"/>
      </w:pPr>
      <w:r>
        <w:t>No pronosticar la carga contenerizada con modelo: usar la referencia naive.</w:t>
      </w:r>
    </w:p>
    <w:p>
      <w:pPr>
        <w:pStyle w:val="ListBullet"/>
      </w:pPr>
      <w:r>
        <w:t>Repetir la descarga del DANE en la próxima publicación para medir el efecto de las revisiones sobre la serie, hoy no evaluable.</w:t>
      </w:r>
    </w:p>
    <w:p>
      <w:pPr>
        <w:pStyle w:val="ListBullet"/>
      </w:pPr>
      <w:r>
        <w:t>Traducir los códigos de país y capítulo arancelario a sus nombres oficiales.</w:t>
      </w:r>
    </w:p>
    <w:p>
      <w:pPr>
        <w:pStyle w:val="ListBullet"/>
      </w:pPr>
      <w:r>
        <w:t>Decidir si el total portuario se modela sobre la zona completa o solo sobre las sociedades que siguen reportando.</w:t>
      </w:r>
    </w:p>
    <w:p>
      <w:pPr>
        <w:pStyle w:val="ListBullet"/>
      </w:pPr>
      <w:r>
        <w:t>Validar las reglas de alerta con un usuario real antes de considerarlas operativas.</w:t>
      </w:r>
    </w:p>
    <w:p>
      <w:pPr>
        <w:pStyle w:val="ListBullet"/>
      </w:pPr>
      <w:r>
        <w:t>Gestionar acceso institucional a fuentes de evento si se desea abrir el bloque marítimo en una fase futura.</w:t>
      </w:r>
    </w:p>
    <w:p>
      <w:r>
        <w:rPr>
          <w:b/>
          <w:sz w:val="28"/>
        </w:rPr>
        <w:t>13. REFERENCIAS</w:t>
      </w:r>
    </w:p>
    <w:p>
      <w:pPr>
        <w:spacing w:after="120" w:line="360" w:lineRule="auto"/>
        <w:jc w:val="both"/>
      </w:pPr>
      <w:r>
        <w:t>Conforme a APA 7.ª edición, la fecha de consulta se incluye únicamente en las fuentes diseñadas para cambiar con el tiempo y sin versión archivada. Las obras estables —leyes, normas técnicas y manuales impresos— no la llevan.</w:t>
      </w:r>
    </w:p>
    <w:p>
      <w:pPr>
        <w:spacing w:after="120"/>
        <w:ind w:hanging="709" w:left="709"/>
      </w:pPr>
      <w:r>
        <w:t>American Psychological Association. (2020). Publication Manual of the American Psychological Association (7.ª ed.). APA.</w:t>
      </w:r>
    </w:p>
    <w:p>
      <w:pPr>
        <w:spacing w:after="120"/>
        <w:ind w:hanging="709" w:left="709"/>
      </w:pPr>
      <w:r>
        <w:t>Congreso de la República de Colombia. (2012). Ley 1581 de 2012, por la cual se dictan disposiciones generales para la protección de datos personales. Diario Oficial No. 48.587.</w:t>
      </w:r>
    </w:p>
    <w:p>
      <w:pPr>
        <w:spacing w:after="120"/>
        <w:ind w:hanging="709" w:left="709"/>
      </w:pPr>
      <w:r>
        <w:t>Congreso de la República de Colombia. (2014). Ley 1712 de 2014, por medio de la cual se crea la Ley de Transparencia y del Derecho de Acceso a la Información Pública Nacional. Diario Oficial No. 49.084.</w:t>
      </w:r>
    </w:p>
    <w:p>
      <w:pPr>
        <w:spacing w:after="120"/>
        <w:ind w:hanging="709" w:left="709"/>
      </w:pPr>
      <w:r>
        <w:t>Departamento Administrativo Nacional de Estadística. (2018). Estadísticas de importaciones (IMPO) 1970–2024 [conjunto de datos]. Archivo Nacional de Datos. Recuperado el 6 de agosto de 2026, de https://microdatos.dane.gov.co/index.php/catalog/473</w:t>
      </w:r>
    </w:p>
    <w:p>
      <w:pPr>
        <w:spacing w:after="120"/>
        <w:ind w:hanging="709" w:left="709"/>
      </w:pPr>
      <w:r>
        <w:t>Departamento Administrativo Nacional de Estadística. (2026). Estadísticas de importaciones (IMPO) 2025–2026 [conjunto de datos]. Archivo Nacional de Datos. Recuperado el 6 de agosto de 2026, de https://microdatos.dane.gov.co/index.php/catalog/856</w:t>
      </w:r>
    </w:p>
    <w:p>
      <w:pPr>
        <w:spacing w:after="120"/>
        <w:ind w:hanging="709" w:left="709"/>
      </w:pPr>
      <w:r>
        <w:t>Hyndman, R. J., y Athanasopoulos, G. (2021). Forecasting: Principles and practice (3.ª ed.). OTexts. Recuperado el 6 de agosto de 2026, de https://otexts.com/fpp3/</w:t>
      </w:r>
    </w:p>
    <w:p>
      <w:pPr>
        <w:spacing w:after="120"/>
        <w:ind w:hanging="709" w:left="709"/>
      </w:pPr>
      <w:r>
        <w:t>Instituto Colombiano de Normas Técnicas y Certificación. (2008). NTC 1486: Documentación. Presentación de tesis, trabajos de grado y otros trabajos de investigación. ICONTEC.</w:t>
      </w:r>
    </w:p>
    <w:p>
      <w:pPr>
        <w:spacing w:after="120"/>
        <w:ind w:hanging="709" w:left="709"/>
      </w:pPr>
      <w:r>
        <w:t>Superintendencia de Transporte. (2026). Tráfico portuario marítimo en Colombia [conjunto de datos]. Datos Abiertos Colombia. Recuperado el 6 de agosto de 2026, de https://www.datos.gov.co/Transporte/Trafico-Portuario-Mar-timo-En-Colombia/5r3g-zv5z</w:t>
      </w:r>
    </w:p>
    <w:p>
      <w:r>
        <w:rPr>
          <w:b/>
          <w:sz w:val="24"/>
        </w:rPr>
        <w:t>13.1 Condiciones de uso exigidas por las fuentes</w:t>
      </w:r>
    </w:p>
    <w:p>
      <w:pPr>
        <w:spacing w:after="120" w:line="360" w:lineRule="auto"/>
        <w:jc w:val="both"/>
      </w:pPr>
      <w:r>
        <w:t>El DANE exige una cita textual: «Fuente: Departamento Administrativo Nacional de Estadística: www.dane.gov.co», y prohíbe la reproducción de los datos en medios que los pongan a disposición de múltiples usuarios sin su visto bueno escrito. Este trabajo reproduce agregados mensuales, no los microdatos originales.</w:t>
      </w:r>
    </w:p>
    <w:p>
      <w:pPr>
        <w:spacing w:after="120" w:line="360" w:lineRule="auto"/>
        <w:jc w:val="both"/>
      </w:pPr>
      <w:r>
        <w:t>El conjunto de datos de la Superintendencia de Transporte se publica bajo licencia Creative Commons Atribución-CompartirIgual 4.0 Internacional, que obliga a citar la fuente y a compartir los derivados bajo la misma licencia. La entidad advierte además que sus cifras son referenciales y que solo ella puede certificarlas.</w:t>
      </w:r>
    </w:p>
    <w:p>
      <w:r>
        <w:rPr>
          <w:b/>
          <w:sz w:val="22"/>
        </w:rPr>
        <w:t>Tabla 13. Verificación de las fuentes en línea citadas</w:t>
      </w:r>
    </w:p>
    <w:tbl>
      <w:tblPr>
        <w:tblStyle w:val="TableGrid"/>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fuente</w:t>
            </w:r>
          </w:p>
        </w:tc>
        <w:tc>
          <w:tcPr>
            <w:tcW w:type="dxa" w:w="2211"/>
          </w:tcPr>
          <w:p>
            <w:pPr>
              <w:jc w:val="center"/>
            </w:pPr>
            <w:r>
              <w:rPr>
                <w:b/>
                <w:sz w:val="18"/>
              </w:rPr>
              <w:t>verificada</w:t>
            </w:r>
          </w:p>
        </w:tc>
        <w:tc>
          <w:tcPr>
            <w:tcW w:type="dxa" w:w="2211"/>
          </w:tcPr>
          <w:p>
            <w:pPr>
              <w:jc w:val="center"/>
            </w:pPr>
            <w:r>
              <w:rPr>
                <w:b/>
                <w:sz w:val="18"/>
              </w:rPr>
              <w:t>ultima_actualizacion</w:t>
            </w:r>
          </w:p>
        </w:tc>
        <w:tc>
          <w:tcPr>
            <w:tcW w:type="dxa" w:w="2211"/>
          </w:tcPr>
          <w:p>
            <w:pPr>
              <w:jc w:val="center"/>
            </w:pPr>
            <w:r>
              <w:rPr>
                <w:b/>
                <w:sz w:val="18"/>
              </w:rPr>
              <w:t>cambia</w:t>
            </w:r>
          </w:p>
        </w:tc>
      </w:tr>
      <w:tr>
        <w:tc>
          <w:tcPr>
            <w:tcW w:type="dxa" w:w="2211"/>
          </w:tcPr>
          <w:p>
            <w:pPr>
              <w:jc w:val="center"/>
            </w:pPr>
            <w:r>
              <w:rPr>
                <w:sz w:val="18"/>
              </w:rPr>
              <w:t>DANE IMPO catálogo 473</w:t>
            </w:r>
          </w:p>
        </w:tc>
        <w:tc>
          <w:tcPr>
            <w:tcW w:type="dxa" w:w="2211"/>
          </w:tcPr>
          <w:p>
            <w:pPr>
              <w:jc w:val="center"/>
            </w:pPr>
            <w:r>
              <w:rPr>
                <w:sz w:val="18"/>
              </w:rPr>
              <w:t>2026-08-06</w:t>
            </w:r>
          </w:p>
        </w:tc>
        <w:tc>
          <w:tcPr>
            <w:tcW w:type="dxa" w:w="2211"/>
          </w:tcPr>
          <w:p>
            <w:pPr>
              <w:jc w:val="center"/>
            </w:pPr>
            <w:r>
              <w:rPr>
                <w:sz w:val="18"/>
              </w:rPr>
              <w:t>2018-03-28</w:t>
            </w:r>
          </w:p>
        </w:tc>
        <w:tc>
          <w:tcPr>
            <w:tcW w:type="dxa" w:w="2211"/>
          </w:tcPr>
          <w:p>
            <w:pPr>
              <w:jc w:val="center"/>
            </w:pPr>
            <w:r>
              <w:rPr>
                <w:sz w:val="18"/>
              </w:rPr>
              <w:t>no (histórico cerrado)</w:t>
            </w:r>
          </w:p>
        </w:tc>
      </w:tr>
      <w:tr>
        <w:tc>
          <w:tcPr>
            <w:tcW w:type="dxa" w:w="2211"/>
          </w:tcPr>
          <w:p>
            <w:pPr>
              <w:jc w:val="center"/>
            </w:pPr>
            <w:r>
              <w:rPr>
                <w:sz w:val="18"/>
              </w:rPr>
              <w:t>DANE IMPO catálogo 856</w:t>
            </w:r>
          </w:p>
        </w:tc>
        <w:tc>
          <w:tcPr>
            <w:tcW w:type="dxa" w:w="2211"/>
          </w:tcPr>
          <w:p>
            <w:pPr>
              <w:jc w:val="center"/>
            </w:pPr>
            <w:r>
              <w:rPr>
                <w:sz w:val="18"/>
              </w:rPr>
              <w:t>2026-08-06</w:t>
            </w:r>
          </w:p>
        </w:tc>
        <w:tc>
          <w:tcPr>
            <w:tcW w:type="dxa" w:w="2211"/>
          </w:tcPr>
          <w:p>
            <w:pPr>
              <w:jc w:val="center"/>
            </w:pPr>
            <w:r>
              <w:rPr>
                <w:sz w:val="18"/>
              </w:rPr>
              <w:t>2026-07-22</w:t>
            </w:r>
          </w:p>
        </w:tc>
        <w:tc>
          <w:tcPr>
            <w:tcW w:type="dxa" w:w="2211"/>
          </w:tcPr>
          <w:p>
            <w:pPr>
              <w:jc w:val="center"/>
            </w:pPr>
            <w:r>
              <w:rPr>
                <w:sz w:val="18"/>
              </w:rPr>
              <w:t>sí (mensual)</w:t>
            </w:r>
          </w:p>
        </w:tc>
      </w:tr>
      <w:tr>
        <w:tc>
          <w:tcPr>
            <w:tcW w:type="dxa" w:w="2211"/>
          </w:tcPr>
          <w:p>
            <w:pPr>
              <w:jc w:val="center"/>
            </w:pPr>
            <w:r>
              <w:rPr>
                <w:sz w:val="18"/>
              </w:rPr>
              <w:t>Supertransporte 5r3g-zv5z</w:t>
            </w:r>
          </w:p>
        </w:tc>
        <w:tc>
          <w:tcPr>
            <w:tcW w:type="dxa" w:w="2211"/>
          </w:tcPr>
          <w:p>
            <w:pPr>
              <w:jc w:val="center"/>
            </w:pPr>
            <w:r>
              <w:rPr>
                <w:sz w:val="18"/>
              </w:rPr>
              <w:t>2026-08-06</w:t>
            </w:r>
          </w:p>
        </w:tc>
        <w:tc>
          <w:tcPr>
            <w:tcW w:type="dxa" w:w="2211"/>
          </w:tcPr>
          <w:p>
            <w:pPr>
              <w:jc w:val="center"/>
            </w:pPr>
            <w:r>
              <w:rPr>
                <w:sz w:val="18"/>
              </w:rPr>
              <w:t>2026-08-01</w:t>
            </w:r>
          </w:p>
        </w:tc>
        <w:tc>
          <w:tcPr>
            <w:tcW w:type="dxa" w:w="2211"/>
          </w:tcPr>
          <w:p>
            <w:pPr>
              <w:jc w:val="center"/>
            </w:pPr>
            <w:r>
              <w:rPr>
                <w:sz w:val="18"/>
              </w:rPr>
              <w:t>sí (trimestral)</w:t>
            </w:r>
          </w:p>
        </w:tc>
      </w:tr>
      <w:tr>
        <w:tc>
          <w:tcPr>
            <w:tcW w:type="dxa" w:w="2211"/>
          </w:tcPr>
          <w:p>
            <w:pPr>
              <w:jc w:val="center"/>
            </w:pPr>
            <w:r>
              <w:rPr>
                <w:sz w:val="18"/>
              </w:rPr>
              <w:t>Hyndman y Athanasopoulos, fpp3</w:t>
            </w:r>
          </w:p>
        </w:tc>
        <w:tc>
          <w:tcPr>
            <w:tcW w:type="dxa" w:w="2211"/>
          </w:tcPr>
          <w:p>
            <w:pPr>
              <w:jc w:val="center"/>
            </w:pPr>
            <w:r>
              <w:rPr>
                <w:sz w:val="18"/>
              </w:rPr>
              <w:t>2026-08-06</w:t>
            </w:r>
          </w:p>
        </w:tc>
        <w:tc>
          <w:tcPr>
            <w:tcW w:type="dxa" w:w="2211"/>
          </w:tcPr>
          <w:p>
            <w:pPr>
              <w:jc w:val="center"/>
            </w:pPr>
            <w:r>
              <w:rPr>
                <w:sz w:val="18"/>
              </w:rPr>
              <w:t>2026-07-23</w:t>
            </w:r>
          </w:p>
        </w:tc>
        <w:tc>
          <w:tcPr>
            <w:tcW w:type="dxa" w:w="2211"/>
          </w:tcPr>
          <w:p>
            <w:pPr>
              <w:jc w:val="center"/>
            </w:pPr>
            <w:r>
              <w:rPr>
                <w:sz w:val="18"/>
              </w:rPr>
              <w:t>sí (edición en línea)</w:t>
            </w:r>
          </w:p>
        </w:tc>
      </w:tr>
    </w:tbl>
    <w:p>
      <w:pPr>
        <w:spacing w:after="240"/>
      </w:pPr>
      <w:r>
        <w:rPr>
          <w:i/>
          <w:color w:val="787878"/>
          <w:sz w:val="18"/>
        </w:rPr>
        <w:t>Fuente: Elaboración propia. Cada URL fue consultada el 6 de agosto de 2026 y la fecha de actualización proviene de los metadatos publicados por la propia fuente.</w:t>
      </w:r>
    </w:p>
    <w:p>
      <w:r>
        <w:br w:type="page"/>
      </w:r>
    </w:p>
    <w:p>
      <w:r>
        <w:rPr>
          <w:b/>
          <w:sz w:val="28"/>
        </w:rPr>
        <w:t>ANEXO A. MATRIZ DE TRAZABILIDAD P01–P52</w:t>
      </w:r>
    </w:p>
    <w:p>
      <w:r>
        <w:rPr>
          <w:b/>
          <w:sz w:val="22"/>
        </w:rPr>
        <w:t>Tabla 11. Estado y bloque de cada pregunta del análisis exploratorio</w:t>
      </w:r>
    </w:p>
    <w:tbl>
      <w:tblPr>
        <w:tblStyle w:val="TableGrid"/>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bloque</w:t>
            </w:r>
          </w:p>
        </w:tc>
        <w:tc>
          <w:tcPr>
            <w:tcW w:type="dxa" w:w="2948"/>
          </w:tcPr>
          <w:p>
            <w:pPr>
              <w:jc w:val="center"/>
            </w:pPr>
            <w:r>
              <w:rPr>
                <w:b/>
                <w:sz w:val="18"/>
              </w:rPr>
              <w:t>estado</w:t>
            </w:r>
          </w:p>
        </w:tc>
      </w:tr>
      <w:tr>
        <w:tc>
          <w:tcPr>
            <w:tcW w:type="dxa" w:w="2948"/>
          </w:tcPr>
          <w:p>
            <w:pPr>
              <w:jc w:val="center"/>
            </w:pPr>
            <w:r>
              <w:rPr>
                <w:sz w:val="18"/>
              </w:rPr>
              <w:t>P01</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P02</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P03</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P04</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P05</w:t>
            </w:r>
          </w:p>
        </w:tc>
        <w:tc>
          <w:tcPr>
            <w:tcW w:type="dxa" w:w="2948"/>
          </w:tcPr>
          <w:p>
            <w:pPr>
              <w:jc w:val="center"/>
            </w:pPr>
            <w:r>
              <w:rPr>
                <w:sz w:val="18"/>
              </w:rPr>
              <w:t>Fuentes y viabilidad</w:t>
            </w:r>
          </w:p>
        </w:tc>
        <w:tc>
          <w:tcPr>
            <w:tcW w:type="dxa" w:w="2948"/>
          </w:tcPr>
          <w:p>
            <w:pPr>
              <w:jc w:val="center"/>
            </w:pPr>
            <w:r>
              <w:rPr>
                <w:sz w:val="18"/>
              </w:rPr>
              <w:t>no viable</w:t>
            </w:r>
          </w:p>
        </w:tc>
      </w:tr>
      <w:tr>
        <w:tc>
          <w:tcPr>
            <w:tcW w:type="dxa" w:w="2948"/>
          </w:tcPr>
          <w:p>
            <w:pPr>
              <w:jc w:val="center"/>
            </w:pPr>
            <w:r>
              <w:rPr>
                <w:sz w:val="18"/>
              </w:rPr>
              <w:t>P06</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P07</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P08</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P09</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P10</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P11</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P12</w:t>
            </w:r>
          </w:p>
        </w:tc>
        <w:tc>
          <w:tcPr>
            <w:tcW w:type="dxa" w:w="2948"/>
          </w:tcPr>
          <w:p>
            <w:pPr>
              <w:jc w:val="center"/>
            </w:pPr>
            <w:r>
              <w:rPr>
                <w:sz w:val="18"/>
              </w:rPr>
              <w:t>Calidad y estructura</w:t>
            </w:r>
          </w:p>
        </w:tc>
        <w:tc>
          <w:tcPr>
            <w:tcW w:type="dxa" w:w="2948"/>
          </w:tcPr>
          <w:p>
            <w:pPr>
              <w:jc w:val="center"/>
            </w:pPr>
            <w:r>
              <w:rPr>
                <w:sz w:val="18"/>
              </w:rPr>
              <w:t>parcial</w:t>
            </w:r>
          </w:p>
        </w:tc>
      </w:tr>
      <w:tr>
        <w:tc>
          <w:tcPr>
            <w:tcW w:type="dxa" w:w="2948"/>
          </w:tcPr>
          <w:p>
            <w:pPr>
              <w:jc w:val="center"/>
            </w:pPr>
            <w:r>
              <w:rPr>
                <w:sz w:val="18"/>
              </w:rPr>
              <w:t>P13</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P14</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P15</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P16</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P17</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P18</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P19</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P20</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P21</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P22</w:t>
            </w:r>
          </w:p>
        </w:tc>
        <w:tc>
          <w:tcPr>
            <w:tcW w:type="dxa" w:w="2948"/>
          </w:tcPr>
          <w:p>
            <w:pPr>
              <w:jc w:val="center"/>
            </w:pPr>
            <w:r>
              <w:rPr>
                <w:sz w:val="18"/>
              </w:rPr>
              <w:t>Aduanas y mercancías</w:t>
            </w:r>
          </w:p>
        </w:tc>
        <w:tc>
          <w:tcPr>
            <w:tcW w:type="dxa" w:w="2948"/>
          </w:tcPr>
          <w:p>
            <w:pPr>
              <w:jc w:val="center"/>
            </w:pPr>
            <w:r>
              <w:rPr>
                <w:sz w:val="18"/>
              </w:rPr>
              <w:t>parcial</w:t>
            </w:r>
          </w:p>
        </w:tc>
      </w:tr>
      <w:tr>
        <w:tc>
          <w:tcPr>
            <w:tcW w:type="dxa" w:w="2948"/>
          </w:tcPr>
          <w:p>
            <w:pPr>
              <w:jc w:val="center"/>
            </w:pPr>
            <w:r>
              <w:rPr>
                <w:sz w:val="18"/>
              </w:rPr>
              <w:t>P23</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P24</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P25</w:t>
            </w:r>
          </w:p>
        </w:tc>
        <w:tc>
          <w:tcPr>
            <w:tcW w:type="dxa" w:w="2948"/>
          </w:tcPr>
          <w:p>
            <w:pPr>
              <w:jc w:val="center"/>
            </w:pPr>
            <w:r>
              <w:rPr>
                <w:sz w:val="18"/>
              </w:rPr>
              <w:t>Carga portuaria</w:t>
            </w:r>
          </w:p>
        </w:tc>
        <w:tc>
          <w:tcPr>
            <w:tcW w:type="dxa" w:w="2948"/>
          </w:tcPr>
          <w:p>
            <w:pPr>
              <w:jc w:val="center"/>
            </w:pPr>
            <w:r>
              <w:rPr>
                <w:sz w:val="18"/>
              </w:rPr>
              <w:t>parcial</w:t>
            </w:r>
          </w:p>
        </w:tc>
      </w:tr>
      <w:tr>
        <w:tc>
          <w:tcPr>
            <w:tcW w:type="dxa" w:w="2948"/>
          </w:tcPr>
          <w:p>
            <w:pPr>
              <w:jc w:val="center"/>
            </w:pPr>
            <w:r>
              <w:rPr>
                <w:sz w:val="18"/>
              </w:rPr>
              <w:t>P26</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P27</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P28</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P29</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P30</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P31</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P39</w:t>
            </w:r>
          </w:p>
        </w:tc>
        <w:tc>
          <w:tcPr>
            <w:tcW w:type="dxa" w:w="2948"/>
          </w:tcPr>
          <w:p>
            <w:pPr>
              <w:jc w:val="center"/>
            </w:pPr>
            <w:r>
              <w:rPr>
                <w:sz w:val="18"/>
              </w:rPr>
              <w:t>Contexto e integración</w:t>
            </w:r>
          </w:p>
        </w:tc>
        <w:tc>
          <w:tcPr>
            <w:tcW w:type="dxa" w:w="2948"/>
          </w:tcPr>
          <w:p>
            <w:pPr>
              <w:jc w:val="center"/>
            </w:pPr>
            <w:r>
              <w:rPr>
                <w:sz w:val="18"/>
              </w:rPr>
              <w:t>parcial</w:t>
            </w:r>
          </w:p>
        </w:tc>
      </w:tr>
      <w:tr>
        <w:tc>
          <w:tcPr>
            <w:tcW w:type="dxa" w:w="2948"/>
          </w:tcPr>
          <w:p>
            <w:pPr>
              <w:jc w:val="center"/>
            </w:pPr>
            <w:r>
              <w:rPr>
                <w:sz w:val="18"/>
              </w:rPr>
              <w:t>P40</w:t>
            </w:r>
          </w:p>
        </w:tc>
        <w:tc>
          <w:tcPr>
            <w:tcW w:type="dxa" w:w="2948"/>
          </w:tcPr>
          <w:p>
            <w:pPr>
              <w:jc w:val="center"/>
            </w:pPr>
            <w:r>
              <w:rPr>
                <w:sz w:val="18"/>
              </w:rPr>
              <w:t>Contexto e integración</w:t>
            </w:r>
          </w:p>
        </w:tc>
        <w:tc>
          <w:tcPr>
            <w:tcW w:type="dxa" w:w="2948"/>
          </w:tcPr>
          <w:p>
            <w:pPr>
              <w:jc w:val="center"/>
            </w:pPr>
            <w:r>
              <w:rPr>
                <w:sz w:val="18"/>
              </w:rPr>
              <w:t>no viable</w:t>
            </w:r>
          </w:p>
        </w:tc>
      </w:tr>
      <w:tr>
        <w:tc>
          <w:tcPr>
            <w:tcW w:type="dxa" w:w="2948"/>
          </w:tcPr>
          <w:p>
            <w:pPr>
              <w:jc w:val="center"/>
            </w:pPr>
            <w:r>
              <w:rPr>
                <w:sz w:val="18"/>
              </w:rPr>
              <w:t>P41</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P42</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P43</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P44</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P45</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P46</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P47</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P48</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P49</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P50</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P51</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P52</w:t>
            </w:r>
          </w:p>
        </w:tc>
        <w:tc>
          <w:tcPr>
            <w:tcW w:type="dxa" w:w="2948"/>
          </w:tcPr>
          <w:p>
            <w:pPr>
              <w:jc w:val="center"/>
            </w:pPr>
            <w:r>
              <w:rPr>
                <w:sz w:val="18"/>
              </w:rPr>
              <w:t>Pronóstico y producto</w:t>
            </w:r>
          </w:p>
        </w:tc>
        <w:tc>
          <w:tcPr>
            <w:tcW w:type="dxa" w:w="2948"/>
          </w:tcPr>
          <w:p>
            <w:pPr>
              <w:jc w:val="center"/>
            </w:pPr>
            <w:r>
              <w:rPr>
                <w:sz w:val="18"/>
              </w:rPr>
              <w:t>ejecutada</w:t>
            </w:r>
          </w:p>
        </w:tc>
      </w:tr>
    </w:tbl>
    <w:p>
      <w:pPr>
        <w:spacing w:after="240"/>
      </w:pPr>
      <w:r>
        <w:rPr>
          <w:i/>
          <w:color w:val="787878"/>
          <w:sz w:val="18"/>
        </w:rPr>
        <w:t>Fuente: Elaboración propia. Salida del pipeline: matriz_trazabilidad_eda.csv.</w:t>
      </w:r>
    </w:p>
    <w:p>
      <w:r>
        <w:br w:type="page"/>
      </w:r>
    </w:p>
    <w:p>
      <w:r>
        <w:rPr>
          <w:b/>
          <w:sz w:val="28"/>
        </w:rPr>
        <w:t>ANEXO B. REPORTE DE NO VIABILIDAD</w:t>
      </w:r>
    </w:p>
    <w:p>
      <w:r>
        <w:rPr>
          <w:b/>
          <w:sz w:val="22"/>
        </w:rPr>
        <w:t>Tabla 12. Preguntas cerradas por ausencia de fuente</w:t>
      </w:r>
    </w:p>
    <w:tbl>
      <w:tblPr>
        <w:tblStyle w:val="TableGrid"/>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tema</w:t>
            </w:r>
          </w:p>
        </w:tc>
        <w:tc>
          <w:tcPr>
            <w:tcW w:type="dxa" w:w="2948"/>
          </w:tcPr>
          <w:p>
            <w:pPr>
              <w:jc w:val="center"/>
            </w:pPr>
            <w:r>
              <w:rPr>
                <w:b/>
                <w:sz w:val="18"/>
              </w:rPr>
              <w:t>estado</w:t>
            </w:r>
          </w:p>
        </w:tc>
      </w:tr>
      <w:tr>
        <w:tc>
          <w:tcPr>
            <w:tcW w:type="dxa" w:w="2948"/>
          </w:tcPr>
          <w:p>
            <w:pPr>
              <w:jc w:val="center"/>
            </w:pPr>
            <w:r>
              <w:rPr>
                <w:sz w:val="18"/>
              </w:rPr>
              <w:t>P31</w:t>
            </w:r>
          </w:p>
        </w:tc>
        <w:tc>
          <w:tcPr>
            <w:tcW w:type="dxa" w:w="2948"/>
          </w:tcPr>
          <w:p>
            <w:pPr>
              <w:jc w:val="center"/>
            </w:pPr>
            <w:r>
              <w:rPr>
                <w:sz w:val="18"/>
              </w:rPr>
              <w:t>arribos y zarpes por periodo</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tipos de buque y su composición</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banderas, procedencias, destinos y rutas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horarios y días de arribo, atraque y zarpe</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diferencia entre tiempos estimados y reales (ETA/ATA, ETD/ATD)</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permanencia en fondeo, terminal o puerto</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frecuencias y permanencias por buque, ruta o terminal</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calidad de identificadores, fechas e itinerarios</w:t>
            </w:r>
          </w:p>
        </w:tc>
        <w:tc>
          <w:tcPr>
            <w:tcW w:type="dxa" w:w="2948"/>
          </w:tcPr>
          <w:p>
            <w:pPr>
              <w:jc w:val="center"/>
            </w:pPr>
            <w:r>
              <w:rPr>
                <w:sz w:val="18"/>
              </w:rPr>
              <w:t>NO VIABLE</w:t>
            </w:r>
          </w:p>
        </w:tc>
      </w:tr>
    </w:tbl>
    <w:p>
      <w:pPr>
        <w:spacing w:after="240"/>
      </w:pPr>
      <w:r>
        <w:rPr>
          <w:i/>
          <w:color w:val="787878"/>
          <w:sz w:val="18"/>
        </w:rPr>
        <w:t>Fuente: Elaboración propia. Salida del pipeline: reporte_no_viabilidad.csv.</w:t>
      </w:r>
    </w:p>
    <w:p>
      <w:pPr>
        <w:spacing w:after="120" w:line="360" w:lineRule="auto"/>
        <w:jc w:val="both"/>
      </w:pPr>
      <w:r>
        <w:t>No existe fuente pública con serie histórica tabular. DIMAR publica únicamente boletines trimestrales en PDF, sin desagregación por evento. Los datos de evento (ETA, ATA, ETD, ATD, fondeo, permanencia) provienen de sistemas de terminal o de AIS comercial, sin acceso ni presupuesto.</w:t>
      </w:r>
    </w:p>
    <w:sectPr w:rsidR="00FC693F" w:rsidRPr="0006063C" w:rsidSect="00034616">
      <w:footerReference w:type="default" r:id="rId9"/>
      <w:pgSz w:w="12240" w:h="15840"/>
      <w:pgMar w:top="1701" w:right="1134"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