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LIBRE — SECCIONAL CALI</w:t>
      </w:r>
    </w:p>
    <w:p>
      <w:pPr>
        <w:jc w:val="center"/>
      </w:pPr>
      <w:r>
        <w:rPr>
          <w:b w:val="0"/>
          <w:sz w:val="24"/>
        </w:rPr>
        <w:t>FACULTAD DE INGENIERÍA</w:t>
      </w:r>
    </w:p>
    <w:p>
      <w:pPr>
        <w:jc w:val="center"/>
      </w:pPr>
      <w:r>
        <w:rPr>
          <w:b w:val="0"/>
          <w:sz w:val="24"/>
        </w:rPr>
        <w:t>PROGRAMA DE CIENCIA DE DATOS</w:t>
      </w:r>
    </w:p>
    <w:p/>
    <w:p/>
    <w:p/>
    <w:p>
      <w:pPr>
        <w:jc w:val="center"/>
      </w:pPr>
      <w:r>
        <w:rPr>
          <w:b/>
          <w:sz w:val="28"/>
        </w:rPr>
        <w:t>PRODUCTO DE DATOS PARA EL MONITOREO, LA EXPLICACIÓN Y EL PRONÓSTICO DE INDICADORES AGREGADOS DE LAS IMPORTACIONES Y LA CARGA PORTUARIA DE BUENAVENTURA</w:t>
      </w:r>
    </w:p>
    <w:p/>
    <w:p/>
    <w:p/>
    <w:p/>
    <w:p>
      <w:pPr>
        <w:jc w:val="center"/>
      </w:pPr>
      <w:r>
        <w:rPr>
          <w:sz w:val="24"/>
        </w:rPr>
        <w:t>JUAN MANUEL TEJADA FAJARDO</w:t>
      </w:r>
    </w:p>
    <w:p>
      <w:pPr>
        <w:jc w:val="center"/>
      </w:pPr>
      <w:r>
        <w:rPr>
          <w:sz w:val="24"/>
        </w:rPr>
        <w:t>JESÚS ALEJANDRO GUERRERO</w:t>
      </w:r>
    </w:p>
    <w:p/>
    <w:p>
      <w:pPr>
        <w:jc w:val="center"/>
      </w:pPr>
      <w:r>
        <w:rPr>
          <w:sz w:val="24"/>
        </w:rPr>
        <w:t>Director del trabajo: Ing. Fabián Castillo</w:t>
      </w:r>
    </w:p>
    <w:p>
      <w:pPr>
        <w:jc w:val="center"/>
      </w:pPr>
      <w:r>
        <w:rPr>
          <w:sz w:val="24"/>
        </w:rPr>
        <w:t>Ingeniería del Producto de Ciencia de Datos</w:t>
      </w:r>
    </w:p>
    <w:p/>
    <w:p/>
    <w:p/>
    <w:p/>
    <w:p>
      <w:pPr>
        <w:jc w:val="center"/>
      </w:pPr>
      <w:r>
        <w:rPr>
          <w:sz w:val="24"/>
        </w:rPr>
        <w:t>SANTIAGO DE CALI</w:t>
      </w:r>
    </w:p>
    <w:p>
      <w:pPr>
        <w:jc w:val="center"/>
      </w:pPr>
      <w:r>
        <w:rPr>
          <w:sz w:val="24"/>
        </w:rPr>
        <w:t>2026</w:t>
      </w:r>
    </w:p>
    <w:p>
      <w:r>
        <w:br w:type="page"/>
      </w:r>
    </w:p>
    <w:p>
      <w:pPr>
        <w:pStyle w:val="Heading1"/>
        <w:spacing w:before="400" w:after="160"/>
      </w:pPr>
      <w:r>
        <w:t>Contenido</w:t>
      </w:r>
    </w:p>
    <w:p>
      <w:pPr>
        <w:spacing w:after="40"/>
      </w:pPr>
      <w:r>
        <w:t>1. Introducción</w:t>
      </w:r>
    </w:p>
    <w:p>
      <w:pPr>
        <w:spacing w:after="40"/>
      </w:pPr>
      <w:r>
        <w:t>2. Descripción de los procesos generales</w:t>
      </w:r>
    </w:p>
    <w:p>
      <w:pPr>
        <w:spacing w:after="40"/>
      </w:pPr>
      <w:r>
        <w:t>3. Planteamiento y formulación del problema</w:t>
      </w:r>
    </w:p>
    <w:p>
      <w:pPr>
        <w:spacing w:after="40"/>
      </w:pPr>
      <w:r>
        <w:t>4. Objetivos</w:t>
      </w:r>
    </w:p>
    <w:p>
      <w:pPr>
        <w:spacing w:after="40"/>
      </w:pPr>
      <w:r>
        <w:t>5. Justificación</w:t>
      </w:r>
    </w:p>
    <w:p>
      <w:pPr>
        <w:spacing w:after="40"/>
      </w:pPr>
      <w:r>
        <w:t>6. Alcance del trabajo</w:t>
      </w:r>
    </w:p>
    <w:p>
      <w:pPr>
        <w:spacing w:after="40"/>
      </w:pPr>
      <w:r>
        <w:t>7. Delimitación</w:t>
      </w:r>
    </w:p>
    <w:p>
      <w:pPr>
        <w:spacing w:after="40"/>
      </w:pPr>
      <w:r>
        <w:t>8. Marco de referencia</w:t>
      </w:r>
    </w:p>
    <w:p>
      <w:pPr>
        <w:spacing w:after="40"/>
      </w:pPr>
      <w:r>
        <w:t>9. Metodología</w:t>
      </w:r>
    </w:p>
    <w:p>
      <w:pPr>
        <w:spacing w:after="40"/>
      </w:pPr>
      <w:r>
        <w:t>10. Ingeniería del producto de datos</w:t>
      </w:r>
    </w:p>
    <w:p>
      <w:pPr>
        <w:spacing w:after="40"/>
      </w:pPr>
      <w:r>
        <w:t>11. Resultados del análisis exploratorio</w:t>
      </w:r>
    </w:p>
    <w:p>
      <w:pPr>
        <w:spacing w:after="40"/>
      </w:pPr>
      <w:r>
        <w:t>12. Resultados del modelado</w:t>
      </w:r>
    </w:p>
    <w:p>
      <w:pPr>
        <w:spacing w:after="40"/>
      </w:pPr>
      <w:r>
        <w:t>13. Modelo de negocios</w:t>
      </w:r>
    </w:p>
    <w:p>
      <w:pPr>
        <w:spacing w:after="40"/>
      </w:pPr>
      <w:r>
        <w:t>14. Estrategias de comunicación</w:t>
      </w:r>
    </w:p>
    <w:p>
      <w:pPr>
        <w:spacing w:after="40"/>
      </w:pPr>
      <w:r>
        <w:t>15. Conclusiones</w:t>
      </w:r>
    </w:p>
    <w:p>
      <w:pPr>
        <w:spacing w:after="40"/>
      </w:pPr>
      <w:r>
        <w:t>16. Recomendaciones</w:t>
      </w:r>
    </w:p>
    <w:p>
      <w:pPr>
        <w:spacing w:after="40"/>
      </w:pPr>
      <w:r>
        <w:t>17. Fuentes de información</w:t>
      </w:r>
    </w:p>
    <w:p>
      <w:pPr>
        <w:spacing w:after="40"/>
      </w:pPr>
      <w:r>
        <w:t>Anexo A. Matriz de trazabilidad P01–P52</w:t>
      </w:r>
    </w:p>
    <w:p>
      <w:pPr>
        <w:spacing w:after="40"/>
      </w:pPr>
      <w:r>
        <w:t>Anexo B. Reporte de no viabilidad</w:t>
      </w:r>
    </w:p>
    <w:p>
      <w:pPr>
        <w:spacing w:after="40"/>
      </w:pPr>
      <w:r>
        <w:t>Anexo C. Preparación para la sustentación</w:t>
      </w:r>
    </w:p>
    <w:p>
      <w:r>
        <w:br w:type="page"/>
      </w:r>
    </w:p>
    <w:p>
      <w:pPr>
        <w:pStyle w:val="Heading1"/>
        <w:spacing w:before="400" w:after="160"/>
      </w:pPr>
      <w:r>
        <w:t>1. Introducción</w:t>
      </w:r>
    </w:p>
    <w:p>
      <w:pPr>
        <w:spacing w:after="160" w:line="360" w:lineRule="auto"/>
        <w:jc w:val="both"/>
      </w:pPr>
      <w:r>
        <w:t>Buenaventura concentra una parte central del comercio exterior colombiano por el Pacífico. La información que lo describe existe y es pública, pero vive en fuentes separadas que miden cosas distintas. El Departamento Administrativo Nacional de Estadística publica las declaraciones de importación, donde el dato central es el valor CIF y el peso neto de la mercancía. La Superintendencia de Transporte publica las toneladas movilizadas por las sociedades portuarias, que incluyen el embalaje y cubren además exportación y transbordo.</w:t>
      </w:r>
    </w:p>
    <w:p>
      <w:pPr>
        <w:spacing w:after="160" w:line="360" w:lineRule="auto"/>
        <w:jc w:val="both"/>
      </w:pPr>
      <w:r>
        <w:t>Que ambas existan no significa que puedan compararse sin cuidado. Una registra operaciones aduaneras bajo el código 35; la otra registra movimientos de carga en la zona portuaria. No comparten unidad, ni cobertura, ni identificador. Tampoco existe una llave pública que permita saber en qué buque llegó una importación concreta.</w:t>
      </w:r>
    </w:p>
    <w:p>
      <w:pPr>
        <w:spacing w:after="160" w:line="360" w:lineRule="auto"/>
        <w:jc w:val="both"/>
      </w:pPr>
      <w:r>
        <w:t>Este trabajo las integra por mes calendario. El dominio aduanero aporta 173 meses (2012-01 a 2026-05), construidos a partir de 6.703.351 registros. El portuario aporta 102 meses (2018-01 a 2026-06). El periodo en que ambos coexisten es de 101 meses (2018-01 a 2026-05).</w:t>
      </w:r>
    </w:p>
    <w:p>
      <w:pPr>
        <w:spacing w:after="160" w:line="360" w:lineRule="auto"/>
        <w:jc w:val="both"/>
      </w:pPr>
      <w:r>
        <w:t>La integración permite algo que ninguna fuente logra por separado: distinguir si un cambio en el comercio se debe a que entró más mercancía o a que la mercancía vale más por kilogramo. El producto incluye además un componente predictivo acotado, con intervalos cuya cobertura se mide en lugar de declararse.</w:t>
      </w:r>
    </w:p>
    <w:p>
      <w:pPr>
        <w:spacing w:before="120" w:after="200"/>
        <w:ind w:left="340"/>
        <w:pBdr>
          <w:left w:val="single" w:sz="18" w:space="8" w:color="1F4E79"/>
        </w:pBdr>
      </w:pPr>
      <w:r>
        <w:rPr>
          <w:b/>
          <w:color w:val="1F4E79"/>
        </w:rPr>
        <w:t>Un resultado del trabajo contradice la hipótesis con la que se inició: sumar variables portuarias no mejora el pronóstico del valor CIF, lo empeora. El aporte de la integración es descriptivo y explicativo, no predictivo.</w:t>
      </w:r>
    </w:p>
    <w:p>
      <w:pPr>
        <w:pStyle w:val="Heading1"/>
        <w:spacing w:before="400" w:after="160"/>
      </w:pPr>
      <w:r>
        <w:t>2. Descripción de los procesos generales</w:t>
      </w:r>
    </w:p>
    <w:p>
      <w:pPr>
        <w:spacing w:after="160" w:line="360" w:lineRule="auto"/>
        <w:jc w:val="both"/>
      </w:pPr>
      <w:r>
        <w:t>El producto se construye mediante un flujo de catorce pasos encadenados. Cada paso deja un archivo verificable, de modo que cualquier cifra del documento puede rastrearse hasta su origen.</w:t>
      </w:r>
    </w:p>
    <w:p>
      <w:pPr>
        <w:spacing w:before="200"/>
      </w:pPr>
      <w:r>
        <w:rPr>
          <w:b/>
          <w:sz w:val="22"/>
        </w:rPr>
        <w:t>Tabla 1. Procesos generales del producto de datos</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Paso</w:t>
            </w:r>
          </w:p>
        </w:tc>
        <w:tc>
          <w:tcPr>
            <w:tcW w:type="dxa" w:w="2948"/>
          </w:tcPr>
          <w:p>
            <w:pPr>
              <w:jc w:val="center"/>
            </w:pPr>
            <w:r>
              <w:rPr>
                <w:b/>
                <w:sz w:val="18"/>
              </w:rPr>
              <w:t>Proceso</w:t>
            </w:r>
          </w:p>
        </w:tc>
        <w:tc>
          <w:tcPr>
            <w:tcW w:type="dxa" w:w="2948"/>
          </w:tcPr>
          <w:p>
            <w:pPr>
              <w:jc w:val="center"/>
            </w:pPr>
            <w:r>
              <w:rPr>
                <w:b/>
                <w:sz w:val="18"/>
              </w:rPr>
              <w:t>Salida</w:t>
            </w:r>
          </w:p>
        </w:tc>
      </w:tr>
      <w:tr>
        <w:tc>
          <w:tcPr>
            <w:tcW w:type="dxa" w:w="2948"/>
          </w:tcPr>
          <w:p>
            <w:pPr>
              <w:jc w:val="center"/>
            </w:pPr>
            <w:r>
              <w:rPr>
                <w:sz w:val="18"/>
              </w:rPr>
              <w:t>1</w:t>
            </w:r>
          </w:p>
        </w:tc>
        <w:tc>
          <w:tcPr>
            <w:tcW w:type="dxa" w:w="2948"/>
          </w:tcPr>
          <w:p>
            <w:pPr>
              <w:jc w:val="center"/>
            </w:pPr>
            <w:r>
              <w:rPr>
                <w:sz w:val="18"/>
              </w:rPr>
              <w:t>Identificación y evaluación de fuentes</w:t>
            </w:r>
          </w:p>
        </w:tc>
        <w:tc>
          <w:tcPr>
            <w:tcW w:type="dxa" w:w="2948"/>
          </w:tcPr>
          <w:p>
            <w:pPr>
              <w:jc w:val="center"/>
            </w:pPr>
            <w:r>
              <w:rPr>
                <w:sz w:val="18"/>
              </w:rPr>
              <w:t>catalogo_fuentes.csv</w:t>
            </w:r>
          </w:p>
        </w:tc>
      </w:tr>
      <w:tr>
        <w:tc>
          <w:tcPr>
            <w:tcW w:type="dxa" w:w="2948"/>
          </w:tcPr>
          <w:p>
            <w:pPr>
              <w:jc w:val="center"/>
            </w:pPr>
            <w:r>
              <w:rPr>
                <w:sz w:val="18"/>
              </w:rPr>
              <w:t>2</w:t>
            </w:r>
          </w:p>
        </w:tc>
        <w:tc>
          <w:tcPr>
            <w:tcW w:type="dxa" w:w="2948"/>
          </w:tcPr>
          <w:p>
            <w:pPr>
              <w:jc w:val="center"/>
            </w:pPr>
            <w:r>
              <w:rPr>
                <w:sz w:val="18"/>
              </w:rPr>
              <w:t>Descarga y conservación de datos originales</w:t>
            </w:r>
          </w:p>
        </w:tc>
        <w:tc>
          <w:tcPr>
            <w:tcW w:type="dxa" w:w="2948"/>
          </w:tcPr>
          <w:p>
            <w:pPr>
              <w:jc w:val="center"/>
            </w:pPr>
            <w:r>
              <w:rPr>
                <w:sz w:val="18"/>
              </w:rPr>
              <w:t>capa raw inmutable</w:t>
            </w:r>
          </w:p>
        </w:tc>
      </w:tr>
      <w:tr>
        <w:tc>
          <w:tcPr>
            <w:tcW w:type="dxa" w:w="2948"/>
          </w:tcPr>
          <w:p>
            <w:pPr>
              <w:jc w:val="center"/>
            </w:pPr>
            <w:r>
              <w:rPr>
                <w:sz w:val="18"/>
              </w:rPr>
              <w:t>3</w:t>
            </w:r>
          </w:p>
        </w:tc>
        <w:tc>
          <w:tcPr>
            <w:tcW w:type="dxa" w:w="2948"/>
          </w:tcPr>
          <w:p>
            <w:pPr>
              <w:jc w:val="center"/>
            </w:pPr>
            <w:r>
              <w:rPr>
                <w:sz w:val="18"/>
              </w:rPr>
              <w:t>Control de integridad con hashes</w:t>
            </w:r>
          </w:p>
        </w:tc>
        <w:tc>
          <w:tcPr>
            <w:tcW w:type="dxa" w:w="2948"/>
          </w:tcPr>
          <w:p>
            <w:pPr>
              <w:jc w:val="center"/>
            </w:pPr>
            <w:r>
              <w:rPr>
                <w:sz w:val="18"/>
              </w:rPr>
              <w:t>manifest_fuentes.csv</w:t>
            </w:r>
          </w:p>
        </w:tc>
      </w:tr>
      <w:tr>
        <w:tc>
          <w:tcPr>
            <w:tcW w:type="dxa" w:w="2948"/>
          </w:tcPr>
          <w:p>
            <w:pPr>
              <w:jc w:val="center"/>
            </w:pPr>
            <w:r>
              <w:rPr>
                <w:sz w:val="18"/>
              </w:rPr>
              <w:t>4</w:t>
            </w:r>
          </w:p>
        </w:tc>
        <w:tc>
          <w:tcPr>
            <w:tcW w:type="dxa" w:w="2948"/>
          </w:tcPr>
          <w:p>
            <w:pPr>
              <w:jc w:val="center"/>
            </w:pPr>
            <w:r>
              <w:rPr>
                <w:sz w:val="18"/>
              </w:rPr>
              <w:t>Homologación de formatos entre vigencias</w:t>
            </w:r>
          </w:p>
        </w:tc>
        <w:tc>
          <w:tcPr>
            <w:tcW w:type="dxa" w:w="2948"/>
          </w:tcPr>
          <w:p>
            <w:pPr>
              <w:jc w:val="center"/>
            </w:pPr>
            <w:r>
              <w:rPr>
                <w:sz w:val="18"/>
              </w:rPr>
              <w:t>cambios_esquema.csv</w:t>
            </w:r>
          </w:p>
        </w:tc>
      </w:tr>
      <w:tr>
        <w:tc>
          <w:tcPr>
            <w:tcW w:type="dxa" w:w="2948"/>
          </w:tcPr>
          <w:p>
            <w:pPr>
              <w:jc w:val="center"/>
            </w:pPr>
            <w:r>
              <w:rPr>
                <w:sz w:val="18"/>
              </w:rPr>
              <w:t>5</w:t>
            </w:r>
          </w:p>
        </w:tc>
        <w:tc>
          <w:tcPr>
            <w:tcW w:type="dxa" w:w="2948"/>
          </w:tcPr>
          <w:p>
            <w:pPr>
              <w:jc w:val="center"/>
            </w:pPr>
            <w:r>
              <w:rPr>
                <w:sz w:val="18"/>
              </w:rPr>
              <w:t>Validación de estructura, unidades y continuidad</w:t>
            </w:r>
          </w:p>
        </w:tc>
        <w:tc>
          <w:tcPr>
            <w:tcW w:type="dxa" w:w="2948"/>
          </w:tcPr>
          <w:p>
            <w:pPr>
              <w:jc w:val="center"/>
            </w:pPr>
            <w:r>
              <w:rPr>
                <w:sz w:val="18"/>
              </w:rPr>
              <w:t>calidad_portuaria.csv</w:t>
            </w:r>
          </w:p>
        </w:tc>
      </w:tr>
      <w:tr>
        <w:tc>
          <w:tcPr>
            <w:tcW w:type="dxa" w:w="2948"/>
          </w:tcPr>
          <w:p>
            <w:pPr>
              <w:jc w:val="center"/>
            </w:pPr>
            <w:r>
              <w:rPr>
                <w:sz w:val="18"/>
              </w:rPr>
              <w:t>6</w:t>
            </w:r>
          </w:p>
        </w:tc>
        <w:tc>
          <w:tcPr>
            <w:tcW w:type="dxa" w:w="2948"/>
          </w:tcPr>
          <w:p>
            <w:pPr>
              <w:jc w:val="center"/>
            </w:pPr>
            <w:r>
              <w:rPr>
                <w:sz w:val="18"/>
              </w:rPr>
              <w:t>Agregación mensual por dominio</w:t>
            </w:r>
          </w:p>
        </w:tc>
        <w:tc>
          <w:tcPr>
            <w:tcW w:type="dxa" w:w="2948"/>
          </w:tcPr>
          <w:p>
            <w:pPr>
              <w:jc w:val="center"/>
            </w:pPr>
            <w:r>
              <w:rPr>
                <w:sz w:val="18"/>
              </w:rPr>
              <w:t>capa trusted</w:t>
            </w:r>
          </w:p>
        </w:tc>
      </w:tr>
      <w:tr>
        <w:tc>
          <w:tcPr>
            <w:tcW w:type="dxa" w:w="2948"/>
          </w:tcPr>
          <w:p>
            <w:pPr>
              <w:jc w:val="center"/>
            </w:pPr>
            <w:r>
              <w:rPr>
                <w:sz w:val="18"/>
              </w:rPr>
              <w:t>7</w:t>
            </w:r>
          </w:p>
        </w:tc>
        <w:tc>
          <w:tcPr>
            <w:tcW w:type="dxa" w:w="2948"/>
          </w:tcPr>
          <w:p>
            <w:pPr>
              <w:jc w:val="center"/>
            </w:pPr>
            <w:r>
              <w:rPr>
                <w:sz w:val="18"/>
              </w:rPr>
              <w:t>Integración por mes calendario</w:t>
            </w:r>
          </w:p>
        </w:tc>
        <w:tc>
          <w:tcPr>
            <w:tcW w:type="dxa" w:w="2948"/>
          </w:tcPr>
          <w:p>
            <w:pPr>
              <w:jc w:val="center"/>
            </w:pPr>
            <w:r>
              <w:rPr>
                <w:sz w:val="18"/>
              </w:rPr>
              <w:t>vista_integrada_mensual.parquet (capa trusted)</w:t>
            </w:r>
          </w:p>
        </w:tc>
      </w:tr>
      <w:tr>
        <w:tc>
          <w:tcPr>
            <w:tcW w:type="dxa" w:w="2948"/>
          </w:tcPr>
          <w:p>
            <w:pPr>
              <w:jc w:val="center"/>
            </w:pPr>
            <w:r>
              <w:rPr>
                <w:sz w:val="18"/>
              </w:rPr>
              <w:t>8</w:t>
            </w:r>
          </w:p>
        </w:tc>
        <w:tc>
          <w:tcPr>
            <w:tcW w:type="dxa" w:w="2948"/>
          </w:tcPr>
          <w:p>
            <w:pPr>
              <w:jc w:val="center"/>
            </w:pPr>
            <w:r>
              <w:rPr>
                <w:sz w:val="18"/>
              </w:rPr>
              <w:t>Respuesta o cierre documentado de las 52 preguntas</w:t>
            </w:r>
          </w:p>
        </w:tc>
        <w:tc>
          <w:tcPr>
            <w:tcW w:type="dxa" w:w="2948"/>
          </w:tcPr>
          <w:p>
            <w:pPr>
              <w:jc w:val="center"/>
            </w:pPr>
            <w:r>
              <w:rPr>
                <w:sz w:val="18"/>
              </w:rPr>
              <w:t>matriz_trazabilidad_eda.csv</w:t>
            </w:r>
          </w:p>
        </w:tc>
      </w:tr>
      <w:tr>
        <w:tc>
          <w:tcPr>
            <w:tcW w:type="dxa" w:w="2948"/>
          </w:tcPr>
          <w:p>
            <w:pPr>
              <w:jc w:val="center"/>
            </w:pPr>
            <w:r>
              <w:rPr>
                <w:sz w:val="18"/>
              </w:rPr>
              <w:t>9</w:t>
            </w:r>
          </w:p>
        </w:tc>
        <w:tc>
          <w:tcPr>
            <w:tcW w:type="dxa" w:w="2948"/>
          </w:tcPr>
          <w:p>
            <w:pPr>
              <w:jc w:val="center"/>
            </w:pPr>
            <w:r>
              <w:rPr>
                <w:sz w:val="18"/>
              </w:rPr>
              <w:t>Selección de indicadores pronosticables</w:t>
            </w:r>
          </w:p>
        </w:tc>
        <w:tc>
          <w:tcPr>
            <w:tcW w:type="dxa" w:w="2948"/>
          </w:tcPr>
          <w:p>
            <w:pPr>
              <w:jc w:val="center"/>
            </w:pPr>
            <w:r>
              <w:rPr>
                <w:sz w:val="18"/>
              </w:rPr>
              <w:t>elegibilidad_indicadores.csv</w:t>
            </w:r>
          </w:p>
        </w:tc>
      </w:tr>
      <w:tr>
        <w:tc>
          <w:tcPr>
            <w:tcW w:type="dxa" w:w="2948"/>
          </w:tcPr>
          <w:p>
            <w:pPr>
              <w:jc w:val="center"/>
            </w:pPr>
            <w:r>
              <w:rPr>
                <w:sz w:val="18"/>
              </w:rPr>
              <w:t>10</w:t>
            </w:r>
          </w:p>
        </w:tc>
        <w:tc>
          <w:tcPr>
            <w:tcW w:type="dxa" w:w="2948"/>
          </w:tcPr>
          <w:p>
            <w:pPr>
              <w:jc w:val="center"/>
            </w:pPr>
            <w:r>
              <w:rPr>
                <w:sz w:val="18"/>
              </w:rPr>
              <w:t>Validación temporal walk-forward</w:t>
            </w:r>
          </w:p>
        </w:tc>
        <w:tc>
          <w:tcPr>
            <w:tcW w:type="dxa" w:w="2948"/>
          </w:tcPr>
          <w:p>
            <w:pPr>
              <w:jc w:val="center"/>
            </w:pPr>
            <w:r>
              <w:rPr>
                <w:sz w:val="18"/>
              </w:rPr>
              <w:t>metricas_modelos_portuarios.csv</w:t>
            </w:r>
          </w:p>
        </w:tc>
      </w:tr>
      <w:tr>
        <w:tc>
          <w:tcPr>
            <w:tcW w:type="dxa" w:w="2948"/>
          </w:tcPr>
          <w:p>
            <w:pPr>
              <w:jc w:val="center"/>
            </w:pPr>
            <w:r>
              <w:rPr>
                <w:sz w:val="18"/>
              </w:rPr>
              <w:t>11</w:t>
            </w:r>
          </w:p>
        </w:tc>
        <w:tc>
          <w:tcPr>
            <w:tcW w:type="dxa" w:w="2948"/>
          </w:tcPr>
          <w:p>
            <w:pPr>
              <w:jc w:val="center"/>
            </w:pPr>
            <w:r>
              <w:rPr>
                <w:sz w:val="18"/>
              </w:rPr>
              <w:t>Construcción y medición de intervalos</w:t>
            </w:r>
          </w:p>
        </w:tc>
        <w:tc>
          <w:tcPr>
            <w:tcW w:type="dxa" w:w="2948"/>
          </w:tcPr>
          <w:p>
            <w:pPr>
              <w:jc w:val="center"/>
            </w:pPr>
            <w:r>
              <w:rPr>
                <w:sz w:val="18"/>
              </w:rPr>
              <w:t>cobertura_intervalos_portuarios.csv</w:t>
            </w:r>
          </w:p>
        </w:tc>
      </w:tr>
      <w:tr>
        <w:tc>
          <w:tcPr>
            <w:tcW w:type="dxa" w:w="2948"/>
          </w:tcPr>
          <w:p>
            <w:pPr>
              <w:jc w:val="center"/>
            </w:pPr>
            <w:r>
              <w:rPr>
                <w:sz w:val="18"/>
              </w:rPr>
              <w:t>12</w:t>
            </w:r>
          </w:p>
        </w:tc>
        <w:tc>
          <w:tcPr>
            <w:tcW w:type="dxa" w:w="2948"/>
          </w:tcPr>
          <w:p>
            <w:pPr>
              <w:jc w:val="center"/>
            </w:pPr>
            <w:r>
              <w:rPr>
                <w:sz w:val="18"/>
              </w:rPr>
              <w:t>Generación de archivos de consumo</w:t>
            </w:r>
          </w:p>
        </w:tc>
        <w:tc>
          <w:tcPr>
            <w:tcW w:type="dxa" w:w="2948"/>
          </w:tcPr>
          <w:p>
            <w:pPr>
              <w:jc w:val="center"/>
            </w:pPr>
            <w:r>
              <w:rPr>
                <w:sz w:val="18"/>
              </w:rPr>
              <w:t>capa surface</w:t>
            </w:r>
          </w:p>
        </w:tc>
      </w:tr>
      <w:tr>
        <w:tc>
          <w:tcPr>
            <w:tcW w:type="dxa" w:w="2948"/>
          </w:tcPr>
          <w:p>
            <w:pPr>
              <w:jc w:val="center"/>
            </w:pPr>
            <w:r>
              <w:rPr>
                <w:sz w:val="18"/>
              </w:rPr>
              <w:t>13</w:t>
            </w:r>
          </w:p>
        </w:tc>
        <w:tc>
          <w:tcPr>
            <w:tcW w:type="dxa" w:w="2948"/>
          </w:tcPr>
          <w:p>
            <w:pPr>
              <w:jc w:val="center"/>
            </w:pPr>
            <w:r>
              <w:rPr>
                <w:sz w:val="18"/>
              </w:rPr>
              <w:t>Visualización en tablero</w:t>
            </w:r>
          </w:p>
        </w:tc>
        <w:tc>
          <w:tcPr>
            <w:tcW w:type="dxa" w:w="2948"/>
          </w:tcPr>
          <w:p>
            <w:pPr>
              <w:jc w:val="center"/>
            </w:pPr>
            <w:r>
              <w:rPr>
                <w:sz w:val="18"/>
              </w:rPr>
              <w:t>dashboard de seis vistas</w:t>
            </w:r>
          </w:p>
        </w:tc>
      </w:tr>
      <w:tr>
        <w:tc>
          <w:tcPr>
            <w:tcW w:type="dxa" w:w="2948"/>
          </w:tcPr>
          <w:p>
            <w:pPr>
              <w:jc w:val="center"/>
            </w:pPr>
            <w:r>
              <w:rPr>
                <w:sz w:val="18"/>
              </w:rPr>
              <w:t>14</w:t>
            </w:r>
          </w:p>
        </w:tc>
        <w:tc>
          <w:tcPr>
            <w:tcW w:type="dxa" w:w="2948"/>
          </w:tcPr>
          <w:p>
            <w:pPr>
              <w:jc w:val="center"/>
            </w:pPr>
            <w:r>
              <w:rPr>
                <w:sz w:val="18"/>
              </w:rPr>
              <w:t>Documentación y trazabilidad</w:t>
            </w:r>
          </w:p>
        </w:tc>
        <w:tc>
          <w:tcPr>
            <w:tcW w:type="dxa" w:w="2948"/>
          </w:tcPr>
          <w:p>
            <w:pPr>
              <w:jc w:val="center"/>
            </w:pPr>
            <w:r>
              <w:rPr>
                <w:sz w:val="18"/>
              </w:rPr>
              <w:t>lista_cifras.csv y este documento</w:t>
            </w:r>
          </w:p>
        </w:tc>
      </w:tr>
    </w:tbl>
    <w:p>
      <w:pPr>
        <w:spacing w:after="240"/>
      </w:pPr>
      <w:r>
        <w:rPr>
          <w:i/>
          <w:color w:val="595959"/>
          <w:sz w:val="18"/>
        </w:rPr>
        <w:t>Fuente: Elaboración propia a partir del flujo implementado en el repositorio del proyecto.</w:t>
      </w:r>
    </w:p>
    <w:p>
      <w:pPr>
        <w:spacing w:after="160" w:line="360" w:lineRule="auto"/>
        <w:jc w:val="both"/>
      </w:pPr>
      <w:r>
        <w:t>El flujo se organiza en cuatro capas sucesivas. La capa raw guarda los archivos originales sin modificar, con su hash. La capa landing unifica formatos. La capa trusted contiene las series validadas. La capa surface reúne las salidas que consume el tablero. Los cuadernos orquestan el flujo y la lógica reutilizable vive en módulos cubiertos por pruebas automatizadas.</w:t>
      </w:r>
    </w:p>
    <w:p>
      <w:pPr>
        <w:pStyle w:val="Heading1"/>
        <w:spacing w:before="400" w:after="160"/>
      </w:pPr>
      <w:r>
        <w:t>3. Planteamiento y formulación del problema</w:t>
      </w:r>
    </w:p>
    <w:p>
      <w:pPr>
        <w:pStyle w:val="Heading2"/>
        <w:spacing w:before="280" w:after="120"/>
      </w:pPr>
      <w:r>
        <w:t>3.1 Planteamiento del problema</w:t>
      </w:r>
    </w:p>
    <w:p>
      <w:pPr>
        <w:spacing w:after="160" w:line="360" w:lineRule="auto"/>
        <w:jc w:val="both"/>
      </w:pPr>
      <w:r>
        <w:t>Un analista que quiera entender el comercio de Buenaventura se encuentra con tres dificultades encadenadas. La primera es de acceso: los microdatos aduaneros se publican en paquetes comprimidos anuales que hay que descargar y descomprimir uno por uno, y las estadísticas portuarias viven en otro portal, con otra estructura.</w:t>
      </w:r>
    </w:p>
    <w:p>
      <w:pPr>
        <w:spacing w:after="160" w:line="360" w:lineRule="auto"/>
        <w:jc w:val="both"/>
      </w:pPr>
      <w:r>
        <w:t>La segunda es de formato. Los microdatos aduaneros cambian de estructura cinco veces entre 2012 y 2026: varía el separador, la convención decimal, la codificación del archivo y el número de columnas. Un cambio de convención decimal no genera un error visible, genera números mal leídos que se suman igual.</w:t>
      </w:r>
    </w:p>
    <w:p>
      <w:pPr>
        <w:spacing w:after="160" w:line="360" w:lineRule="auto"/>
        <w:jc w:val="both"/>
      </w:pPr>
      <w:r>
        <w:t>La tercera es conceptual y es la más costosa. El valor CIF y el peso neto miden cosas distintas, y su cociente es un valor unitario que no debe confundirse con un precio. Sin contrastar las tres magnitudes, una variación monetaria puede leerse como si fuera un cambio en la cantidad de mercancía. Del lado portuario ocurre algo equivalente: el total incluye transbordo, que es carga que cambia de buque sin entrar al país.</w:t>
      </w:r>
    </w:p>
    <w:p>
      <w:pPr>
        <w:pStyle w:val="Heading2"/>
        <w:spacing w:before="280" w:after="120"/>
      </w:pPr>
      <w:r>
        <w:t>3.2 Formulación del problema</w:t>
      </w:r>
    </w:p>
    <w:p>
      <w:pPr>
        <w:spacing w:after="160" w:line="360" w:lineRule="auto"/>
        <w:jc w:val="both"/>
      </w:pPr>
      <w:r>
        <w:t>¿Cómo desarrollar un producto de datos reproducible que integre información aduanera y portuaria de Buenaventura, permita monitorear y explicar indicadores agregados, pronostique únicamente aquellos con historia y calidad suficientes, comunique la incertidumbre de forma calibrada y no afirme relaciones que las fuentes no permiten sostener?</w:t>
      </w:r>
    </w:p>
    <w:p>
      <w:pPr>
        <w:pStyle w:val="Heading1"/>
        <w:spacing w:before="400" w:after="160"/>
      </w:pPr>
      <w:r>
        <w:t>4. Objetivos</w:t>
      </w:r>
    </w:p>
    <w:p>
      <w:pPr>
        <w:pStyle w:val="Heading2"/>
        <w:spacing w:before="280" w:after="120"/>
      </w:pPr>
      <w:r>
        <w:t>4.1 Objetivo general</w:t>
      </w:r>
    </w:p>
    <w:p>
      <w:pPr>
        <w:spacing w:after="160" w:line="360" w:lineRule="auto"/>
        <w:jc w:val="both"/>
      </w:pPr>
      <w:r>
        <w:t>Desarrollar y validar un producto de datos reproducible que integre información aduanera y portuaria de Buenaventura para monitorear, explicar y pronosticar indicadores agregados, conservando la trazabilidad desde la fuente oficial hasta la salida de consumo.</w:t>
      </w:r>
    </w:p>
    <w:p>
      <w:pPr>
        <w:pStyle w:val="Heading2"/>
        <w:spacing w:before="280" w:after="120"/>
      </w:pPr>
      <w:r>
        <w:t>4.2 Objetivos específicos y evidencia de cumplimiento</w:t>
      </w:r>
    </w:p>
    <w:p>
      <w:pPr>
        <w:spacing w:before="200"/>
      </w:pPr>
      <w:r>
        <w:rPr>
          <w:b/>
          <w:sz w:val="22"/>
        </w:rPr>
        <w:t>Tabla 2. Objetivos específicos y su evidencia de cumplimiento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Objetivo</w:t>
            </w:r>
          </w:p>
        </w:tc>
        <w:tc>
          <w:tcPr>
            <w:tcW w:type="dxa" w:w="2948"/>
          </w:tcPr>
          <w:p>
            <w:pPr>
              <w:jc w:val="center"/>
            </w:pPr>
            <w:r>
              <w:rPr>
                <w:b/>
                <w:sz w:val="18"/>
              </w:rPr>
              <w:t>Evidencia</w:t>
            </w:r>
          </w:p>
        </w:tc>
        <w:tc>
          <w:tcPr>
            <w:tcW w:type="dxa" w:w="2948"/>
          </w:tcPr>
          <w:p>
            <w:pPr>
              <w:jc w:val="center"/>
            </w:pPr>
            <w:r>
              <w:rPr>
                <w:b/>
                <w:sz w:val="18"/>
              </w:rPr>
              <w:t>Resultado</w:t>
            </w:r>
          </w:p>
        </w:tc>
      </w:tr>
      <w:tr>
        <w:tc>
          <w:tcPr>
            <w:tcW w:type="dxa" w:w="2948"/>
          </w:tcPr>
          <w:p>
            <w:pPr>
              <w:jc w:val="center"/>
            </w:pPr>
            <w:r>
              <w:rPr>
                <w:sz w:val="18"/>
              </w:rPr>
              <w:t>Evaluar la viabilidad de fuentes en cuatro dominios</w:t>
            </w:r>
          </w:p>
        </w:tc>
        <w:tc>
          <w:tcPr>
            <w:tcW w:type="dxa" w:w="2948"/>
          </w:tcPr>
          <w:p>
            <w:pPr>
              <w:jc w:val="center"/>
            </w:pPr>
            <w:r>
              <w:rPr>
                <w:sz w:val="18"/>
              </w:rPr>
              <w:t>catalogo_fuentes.csv, reporte_no_viabilidad.csv</w:t>
            </w:r>
          </w:p>
        </w:tc>
        <w:tc>
          <w:tcPr>
            <w:tcW w:type="dxa" w:w="2948"/>
          </w:tcPr>
          <w:p>
            <w:pPr>
              <w:jc w:val="center"/>
            </w:pPr>
            <w:r>
              <w:rPr>
                <w:sz w:val="18"/>
              </w:rPr>
              <w:t>6 fuentes evaluadas, 2 integradas, 2 de contexto, 2 descartadas</w:t>
            </w:r>
          </w:p>
        </w:tc>
      </w:tr>
      <w:tr>
        <w:tc>
          <w:tcPr>
            <w:tcW w:type="dxa" w:w="2948"/>
          </w:tcPr>
          <w:p>
            <w:pPr>
              <w:jc w:val="center"/>
            </w:pPr>
            <w:r>
              <w:rPr>
                <w:sz w:val="18"/>
              </w:rPr>
              <w:t>Construir series mensuales reconciliadas por dominio</w:t>
            </w:r>
          </w:p>
        </w:tc>
        <w:tc>
          <w:tcPr>
            <w:tcW w:type="dxa" w:w="2948"/>
          </w:tcPr>
          <w:p>
            <w:pPr>
              <w:jc w:val="center"/>
            </w:pPr>
            <w:r>
              <w:rPr>
                <w:sz w:val="18"/>
              </w:rPr>
              <w:t>serie_aduanera_mensual.parquet, serie_portuaria_mensual.parquet</w:t>
            </w:r>
          </w:p>
        </w:tc>
        <w:tc>
          <w:tcPr>
            <w:tcW w:type="dxa" w:w="2948"/>
          </w:tcPr>
          <w:p>
            <w:pPr>
              <w:jc w:val="center"/>
            </w:pPr>
            <w:r>
              <w:rPr>
                <w:sz w:val="18"/>
              </w:rPr>
              <w:t>173 y 102 meses continuos</w:t>
            </w:r>
          </w:p>
        </w:tc>
      </w:tr>
      <w:tr>
        <w:tc>
          <w:tcPr>
            <w:tcW w:type="dxa" w:w="2948"/>
          </w:tcPr>
          <w:p>
            <w:pPr>
              <w:jc w:val="center"/>
            </w:pPr>
            <w:r>
              <w:rPr>
                <w:sz w:val="18"/>
              </w:rPr>
              <w:t>Responder o cerrar con evidencia documentada las 52 preguntas del análisis exploratorio</w:t>
            </w:r>
          </w:p>
        </w:tc>
        <w:tc>
          <w:tcPr>
            <w:tcW w:type="dxa" w:w="2948"/>
          </w:tcPr>
          <w:p>
            <w:pPr>
              <w:jc w:val="center"/>
            </w:pPr>
            <w:r>
              <w:rPr>
                <w:sz w:val="18"/>
              </w:rPr>
              <w:t>matriz_trazabilidad_eda.csv</w:t>
            </w:r>
          </w:p>
        </w:tc>
        <w:tc>
          <w:tcPr>
            <w:tcW w:type="dxa" w:w="2948"/>
          </w:tcPr>
          <w:p>
            <w:pPr>
              <w:jc w:val="center"/>
            </w:pPr>
            <w:r>
              <w:rPr>
                <w:sz w:val="18"/>
              </w:rPr>
              <w:t>38 ejecutadas, 4 parciales, 10 no viables</w:t>
            </w:r>
          </w:p>
        </w:tc>
      </w:tr>
      <w:tr>
        <w:tc>
          <w:tcPr>
            <w:tcW w:type="dxa" w:w="2948"/>
          </w:tcPr>
          <w:p>
            <w:pPr>
              <w:jc w:val="center"/>
            </w:pPr>
            <w:r>
              <w:rPr>
                <w:sz w:val="18"/>
              </w:rPr>
              <w:t>Declarar el tipo de integración posible y sus límites</w:t>
            </w:r>
          </w:p>
        </w:tc>
        <w:tc>
          <w:tcPr>
            <w:tcW w:type="dxa" w:w="2948"/>
          </w:tcPr>
          <w:p>
            <w:pPr>
              <w:jc w:val="center"/>
            </w:pPr>
            <w:r>
              <w:rPr>
                <w:sz w:val="18"/>
              </w:rPr>
              <w:t>matriz_integracion.csv</w:t>
            </w:r>
          </w:p>
        </w:tc>
        <w:tc>
          <w:tcPr>
            <w:tcW w:type="dxa" w:w="2948"/>
          </w:tcPr>
          <w:p>
            <w:pPr>
              <w:jc w:val="center"/>
            </w:pPr>
            <w:r>
              <w:rPr>
                <w:sz w:val="18"/>
              </w:rPr>
              <w:t>integración agregada por mes; ninguna directa</w:t>
            </w:r>
          </w:p>
        </w:tc>
      </w:tr>
      <w:tr>
        <w:tc>
          <w:tcPr>
            <w:tcW w:type="dxa" w:w="2948"/>
          </w:tcPr>
          <w:p>
            <w:pPr>
              <w:jc w:val="center"/>
            </w:pPr>
            <w:r>
              <w:rPr>
                <w:sz w:val="18"/>
              </w:rPr>
              <w:t>Determinar qué indicadores pueden pronosticarse</w:t>
            </w:r>
          </w:p>
        </w:tc>
        <w:tc>
          <w:tcPr>
            <w:tcW w:type="dxa" w:w="2948"/>
          </w:tcPr>
          <w:p>
            <w:pPr>
              <w:jc w:val="center"/>
            </w:pPr>
            <w:r>
              <w:rPr>
                <w:sz w:val="18"/>
              </w:rPr>
              <w:t>elegibilidad_indicadores.csv</w:t>
            </w:r>
          </w:p>
        </w:tc>
        <w:tc>
          <w:tcPr>
            <w:tcW w:type="dxa" w:w="2948"/>
          </w:tcPr>
          <w:p>
            <w:pPr>
              <w:jc w:val="center"/>
            </w:pPr>
            <w:r>
              <w:rPr>
                <w:sz w:val="18"/>
              </w:rPr>
              <w:t>4 elegibles de 7 evaluados</w:t>
            </w:r>
          </w:p>
        </w:tc>
      </w:tr>
      <w:tr>
        <w:tc>
          <w:tcPr>
            <w:tcW w:type="dxa" w:w="2948"/>
          </w:tcPr>
          <w:p>
            <w:pPr>
              <w:jc w:val="center"/>
            </w:pPr>
            <w:r>
              <w:rPr>
                <w:sz w:val="18"/>
              </w:rPr>
              <w:t>Medir si la integración mejora el pronóstico</w:t>
            </w:r>
          </w:p>
        </w:tc>
        <w:tc>
          <w:tcPr>
            <w:tcW w:type="dxa" w:w="2948"/>
          </w:tcPr>
          <w:p>
            <w:pPr>
              <w:jc w:val="center"/>
            </w:pPr>
            <w:r>
              <w:rPr>
                <w:sz w:val="18"/>
              </w:rPr>
              <w:t>ablacion_multidominio.csv</w:t>
            </w:r>
          </w:p>
        </w:tc>
        <w:tc>
          <w:tcPr>
            <w:tcW w:type="dxa" w:w="2948"/>
          </w:tcPr>
          <w:p>
            <w:pPr>
              <w:jc w:val="center"/>
            </w:pPr>
            <w:r>
              <w:rPr>
                <w:sz w:val="18"/>
              </w:rPr>
              <w:t>no lo mejora: pasa de 6,082 % a 6,575 %</w:t>
            </w:r>
          </w:p>
        </w:tc>
      </w:tr>
      <w:tr>
        <w:tc>
          <w:tcPr>
            <w:tcW w:type="dxa" w:w="2948"/>
          </w:tcPr>
          <w:p>
            <w:pPr>
              <w:jc w:val="center"/>
            </w:pPr>
            <w:r>
              <w:rPr>
                <w:sz w:val="18"/>
              </w:rPr>
              <w:t>Comunicar la incertidumbre con cobertura medida</w:t>
            </w:r>
          </w:p>
        </w:tc>
        <w:tc>
          <w:tcPr>
            <w:tcW w:type="dxa" w:w="2948"/>
          </w:tcPr>
          <w:p>
            <w:pPr>
              <w:jc w:val="center"/>
            </w:pPr>
            <w:r>
              <w:rPr>
                <w:sz w:val="18"/>
              </w:rPr>
              <w:t>cobertura_intervalos_portuarios.csv</w:t>
            </w:r>
          </w:p>
        </w:tc>
        <w:tc>
          <w:tcPr>
            <w:tcW w:type="dxa" w:w="2948"/>
          </w:tcPr>
          <w:p>
            <w:pPr>
              <w:jc w:val="center"/>
            </w:pPr>
            <w:r>
              <w:rPr>
                <w:sz w:val="18"/>
              </w:rPr>
              <w:t>cobertura empírica entre 75,0 % y 91,7 %</w:t>
            </w:r>
          </w:p>
        </w:tc>
      </w:tr>
      <w:tr>
        <w:tc>
          <w:tcPr>
            <w:tcW w:type="dxa" w:w="2948"/>
          </w:tcPr>
          <w:p>
            <w:pPr>
              <w:jc w:val="center"/>
            </w:pPr>
            <w:r>
              <w:rPr>
                <w:sz w:val="18"/>
              </w:rPr>
              <w:t>Documentar con evidencia lo no viable</w:t>
            </w:r>
          </w:p>
        </w:tc>
        <w:tc>
          <w:tcPr>
            <w:tcW w:type="dxa" w:w="2948"/>
          </w:tcPr>
          <w:p>
            <w:pPr>
              <w:jc w:val="center"/>
            </w:pPr>
            <w:r>
              <w:rPr>
                <w:sz w:val="18"/>
              </w:rPr>
              <w:t>reporte_no_viabilidad.csv</w:t>
            </w:r>
          </w:p>
        </w:tc>
        <w:tc>
          <w:tcPr>
            <w:tcW w:type="dxa" w:w="2948"/>
          </w:tcPr>
          <w:p>
            <w:pPr>
              <w:jc w:val="center"/>
            </w:pPr>
            <w:r>
              <w:rPr>
                <w:sz w:val="18"/>
              </w:rPr>
              <w:t>10 preguntas cerradas con búsqueda documentada</w:t>
            </w:r>
          </w:p>
        </w:tc>
      </w:tr>
    </w:tbl>
    <w:p>
      <w:pPr>
        <w:spacing w:after="240"/>
      </w:pPr>
      <w:r>
        <w:rPr>
          <w:i/>
          <w:color w:val="595959"/>
          <w:sz w:val="18"/>
        </w:rPr>
        <w:t>Fuente: Elaboración propia. Cada evidencia es un archivo generado por el pipeline.</w:t>
      </w:r>
    </w:p>
    <w:p>
      <w:pPr>
        <w:pStyle w:val="Heading1"/>
        <w:spacing w:before="400" w:after="160"/>
      </w:pPr>
      <w:r>
        <w:t>5. Justificación</w:t>
      </w:r>
    </w:p>
    <w:p>
      <w:pPr>
        <w:spacing w:after="160" w:line="360" w:lineRule="auto"/>
        <w:jc w:val="both"/>
      </w:pPr>
      <w:r>
        <w:rPr/>
        <w:t>Buenaventura constituye un nodo relevante del comercio exterior colombiano sobre el Pacífico. Los datos que lo describen son públicos, pero llegar a una lectura útil de ellos exige un trabajo técnico que hoy debe rehacerse cada vez: descargar paquetes anuales, homologar formatos que cambian, validar unidades y agregar series.</w:t>
      </w:r>
    </w:p>
    <w:p>
      <w:pPr>
        <w:spacing w:after="160" w:line="360" w:lineRule="auto"/>
        <w:jc w:val="both"/>
      </w:pPr>
      <w:r>
        <w:t>Ese trabajo repetido es lo que el producto automatiza. Una vez construido el flujo, actualizar el análisis con un mes nuevo deja de ser un proyecto y pasa a ser una ejecución. Ese cambio es lo que separa un análisis puntual de un producto de datos.</w:t>
      </w:r>
    </w:p>
    <w:p>
      <w:pPr>
        <w:spacing w:after="160" w:line="360" w:lineRule="auto"/>
        <w:jc w:val="both"/>
      </w:pPr>
      <w:r>
        <w:rPr/>
        <w:t>El proyecto tiene además valor analítico propio. Distinguir valor, peso y valor unitario implícito permite evaluar si un mes cambió principalmente por una mayor cantidad importada o por un mayor valor agregado por kilogramo, una pregunta que un total agregado no responde. Separar el transbordo del comercio exterior evita leer como caída del comercio lo que es un cambio en el uso del puerto como punto de conexión entre buques.</w:t>
      </w:r>
    </w:p>
    <w:p>
      <w:pPr>
        <w:spacing w:after="160" w:line="360" w:lineRule="auto"/>
        <w:jc w:val="both"/>
      </w:pPr>
      <w:r>
        <w:t>Desde la ciencia de datos, el trabajo aporta un ejercicio poco frecuente en proyectos de este nivel: comparar el modelo contra tres líneas base y no contra una sola. Reportar únicamente la referencia estacional hacía parecer que el modelo mejoraba un 64,4 %, cuando frente a la referencia exigente la mejora real es del 15,5 %.</w:t>
      </w:r>
    </w:p>
    <w:p>
      <w:pPr>
        <w:pStyle w:val="Heading2"/>
        <w:spacing w:before="280" w:after="120"/>
      </w:pPr>
      <w:r>
        <w:t>5.1 Usuarios potenciales</w:t>
      </w:r>
    </w:p>
    <w:p>
      <w:pPr>
        <w:pStyle w:val="ListBullet"/>
        <w:spacing w:after="60"/>
      </w:pPr>
      <w:r>
        <w:t>Analistas de comercio exterior que preparan informes mensuales.</w:t>
      </w:r>
    </w:p>
    <w:p>
      <w:pPr>
        <w:pStyle w:val="ListBullet"/>
        <w:spacing w:after="60"/>
      </w:pPr>
      <w:r>
        <w:t>Observatorios económicos regionales y centros de estudios.</w:t>
      </w:r>
    </w:p>
    <w:p>
      <w:pPr>
        <w:pStyle w:val="ListBullet"/>
        <w:spacing w:after="60"/>
      </w:pPr>
      <w:r>
        <w:t>Gremios de comercio exterior y agencias de aduanas.</w:t>
      </w:r>
    </w:p>
    <w:p>
      <w:pPr>
        <w:pStyle w:val="ListBullet"/>
        <w:spacing w:after="60"/>
      </w:pPr>
      <w:r>
        <w:t>Investigadores y estudiantes que necesiten una serie ya reconciliada.</w:t>
      </w:r>
    </w:p>
    <w:p>
      <w:pPr>
        <w:pStyle w:val="ListBullet"/>
        <w:spacing w:after="60"/>
      </w:pPr>
      <w:r>
        <w:t>Entidades públicas que requieran una lectura conjunta de ambos dominios.</w:t>
      </w:r>
    </w:p>
    <w:p>
      <w:pPr>
        <w:pStyle w:val="Heading1"/>
        <w:spacing w:before="400" w:after="160"/>
      </w:pPr>
      <w:r>
        <w:t>6. Alcance del trabajo</w:t>
      </w:r>
    </w:p>
    <w:p>
      <w:pPr>
        <w:spacing w:after="160" w:line="360" w:lineRule="auto"/>
        <w:jc w:val="both"/>
      </w:pPr>
      <w:r>
        <w:t>El trabajo comprende de forma explícita:</w:t>
      </w:r>
    </w:p>
    <w:p>
      <w:pPr>
        <w:pStyle w:val="ListBullet"/>
        <w:spacing w:after="60"/>
      </w:pPr>
      <w:r>
        <w:t>Integración de los microdatos aduaneros del DANE para la aduana 35.</w:t>
      </w:r>
    </w:p>
    <w:p>
      <w:pPr>
        <w:pStyle w:val="ListBullet"/>
        <w:spacing w:after="60"/>
      </w:pPr>
      <w:r>
        <w:t>Integración del tráfico portuario de la zona de Buenaventura.</w:t>
      </w:r>
    </w:p>
    <w:p>
      <w:pPr>
        <w:pStyle w:val="ListBullet"/>
        <w:spacing w:after="60"/>
      </w:pPr>
      <w:r>
        <w:t>Unión agregada de ambos dominios por mes calendario.</w:t>
      </w:r>
    </w:p>
    <w:p>
      <w:pPr>
        <w:pStyle w:val="ListBullet"/>
        <w:spacing w:after="60"/>
      </w:pPr>
      <w:r>
        <w:t>Análisis exploratorio de las 52 preguntas del catálogo, respondidas o cerradas con evidencia documentada por pregunta.</w:t>
      </w:r>
    </w:p>
    <w:p>
      <w:pPr>
        <w:pStyle w:val="ListBullet"/>
        <w:spacing w:after="60"/>
      </w:pPr>
      <w:r>
        <w:t>Pronóstico de los indicadores que cumplen los criterios de elegibilidad.</w:t>
      </w:r>
    </w:p>
    <w:p>
      <w:pPr>
        <w:pStyle w:val="ListBullet"/>
        <w:spacing w:after="60"/>
      </w:pPr>
      <w:r>
        <w:t>Intervalos de predicción con cobertura empírica medida.</w:t>
      </w:r>
    </w:p>
    <w:p>
      <w:pPr>
        <w:pStyle w:val="ListBullet"/>
        <w:spacing w:after="60"/>
      </w:pPr>
      <w:r>
        <w:t>Reglas de alerta de tres niveles calibradas con la ventana de entrenamiento.</w:t>
      </w:r>
    </w:p>
    <w:p>
      <w:pPr>
        <w:pStyle w:val="ListBullet"/>
        <w:spacing w:after="60"/>
      </w:pPr>
      <w:r>
        <w:t>Tablero de consulta de seis vistas que lee de la capa de salidas.</w:t>
      </w:r>
    </w:p>
    <w:p>
      <w:pPr>
        <w:pStyle w:val="ListBullet"/>
        <w:spacing w:after="60"/>
      </w:pPr>
      <w:r>
        <w:t>Trazabilidad de cada cifra hasta un archivo del pipeline.</w:t>
      </w:r>
    </w:p>
    <w:p>
      <w:pPr>
        <w:pStyle w:val="Heading1"/>
        <w:spacing w:before="400" w:after="160"/>
      </w:pPr>
      <w:r>
        <w:t>7. Delimitación</w:t>
      </w:r>
    </w:p>
    <w:p>
      <w:pPr>
        <w:spacing w:after="160" w:line="360" w:lineRule="auto"/>
        <w:jc w:val="both"/>
      </w:pPr>
      <w:r>
        <w:t>Las siguientes delimitaciones no son advertencias formales: cada una responde a una característica concreta de las fuentes y define el borde de lo que el producto puede afirmar.</w:t>
      </w:r>
    </w:p>
    <w:p>
      <w:pPr>
        <w:spacing w:before="200"/>
      </w:pPr>
      <w:r>
        <w:rPr>
          <w:b/>
          <w:sz w:val="22"/>
        </w:rPr>
        <w:t>Tabla 3. Delimitaciones del producto y su origen en las fuentes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Delimitación</w:t>
            </w:r>
          </w:p>
        </w:tc>
        <w:tc>
          <w:tcPr>
            <w:tcW w:type="dxa" w:w="4422"/>
          </w:tcPr>
          <w:p>
            <w:pPr>
              <w:jc w:val="center"/>
            </w:pPr>
            <w:r>
              <w:rPr>
                <w:b/>
                <w:sz w:val="18"/>
              </w:rPr>
              <w:t>Qué significa</w:t>
            </w:r>
          </w:p>
        </w:tc>
      </w:tr>
      <w:tr>
        <w:tc>
          <w:tcPr>
            <w:tcW w:type="dxa" w:w="4422"/>
          </w:tcPr>
          <w:p>
            <w:pPr>
              <w:jc w:val="center"/>
            </w:pPr>
            <w:r>
              <w:rPr>
                <w:sz w:val="18"/>
              </w:rPr>
              <w:t>Aduana 35</w:t>
            </w:r>
          </w:p>
        </w:tc>
        <w:tc>
          <w:tcPr>
            <w:tcW w:type="dxa" w:w="4422"/>
          </w:tcPr>
          <w:p>
            <w:pPr>
              <w:jc w:val="center"/>
            </w:pPr>
            <w:r>
              <w:rPr>
                <w:sz w:val="18"/>
              </w:rPr>
              <w:t>Es una unidad de registro administrativo, no una instalación física</w:t>
            </w:r>
          </w:p>
        </w:tc>
      </w:tr>
      <w:tr>
        <w:tc>
          <w:tcPr>
            <w:tcW w:type="dxa" w:w="4422"/>
          </w:tcPr>
          <w:p>
            <w:pPr>
              <w:jc w:val="center"/>
            </w:pPr>
            <w:r>
              <w:rPr>
                <w:sz w:val="18"/>
              </w:rPr>
              <w:t>Sociedad portuaria</w:t>
            </w:r>
          </w:p>
        </w:tc>
        <w:tc>
          <w:tcPr>
            <w:tcW w:type="dxa" w:w="4422"/>
          </w:tcPr>
          <w:p>
            <w:pPr>
              <w:jc w:val="center"/>
            </w:pPr>
            <w:r>
              <w:rPr>
                <w:sz w:val="18"/>
              </w:rPr>
              <w:t>La fuente identifica la razón social que reporta, que puede administrar una o varias instalaciones</w:t>
            </w:r>
          </w:p>
        </w:tc>
      </w:tr>
      <w:tr>
        <w:tc>
          <w:tcPr>
            <w:tcW w:type="dxa" w:w="4422"/>
          </w:tcPr>
          <w:p>
            <w:pPr>
              <w:jc w:val="center"/>
            </w:pPr>
            <w:r>
              <w:rPr>
                <w:sz w:val="18"/>
              </w:rPr>
              <w:t>CIF por kilogramo</w:t>
            </w:r>
          </w:p>
        </w:tc>
        <w:tc>
          <w:tcPr>
            <w:tcW w:type="dxa" w:w="4422"/>
          </w:tcPr>
          <w:p>
            <w:pPr>
              <w:jc w:val="center"/>
            </w:pPr>
            <w:r>
              <w:rPr>
                <w:sz w:val="18"/>
              </w:rPr>
              <w:t>Valor unitario implícito afectado por mezcla, seguro y flete. No es un precio</w:t>
            </w:r>
          </w:p>
        </w:tc>
      </w:tr>
      <w:tr>
        <w:tc>
          <w:tcPr>
            <w:tcW w:type="dxa" w:w="4422"/>
          </w:tcPr>
          <w:p>
            <w:pPr>
              <w:jc w:val="center"/>
            </w:pPr>
            <w:r>
              <w:rPr>
                <w:sz w:val="18"/>
              </w:rPr>
              <w:t>Transbordo</w:t>
            </w:r>
          </w:p>
        </w:tc>
        <w:tc>
          <w:tcPr>
            <w:tcW w:type="dxa" w:w="4422"/>
          </w:tcPr>
          <w:p>
            <w:pPr>
              <w:jc w:val="center"/>
            </w:pPr>
            <w:r>
              <w:rPr>
                <w:sz w:val="18"/>
              </w:rPr>
              <w:t>Carga que cambia de buque sin entrar al país. No es comercio exterior</w:t>
            </w:r>
          </w:p>
        </w:tc>
      </w:tr>
      <w:tr>
        <w:tc>
          <w:tcPr>
            <w:tcW w:type="dxa" w:w="4422"/>
          </w:tcPr>
          <w:p>
            <w:pPr>
              <w:jc w:val="center"/>
            </w:pPr>
            <w:r>
              <w:rPr>
                <w:sz w:val="18"/>
              </w:rPr>
              <w:t>Llave declaración-buque</w:t>
            </w:r>
          </w:p>
        </w:tc>
        <w:tc>
          <w:tcPr>
            <w:tcW w:type="dxa" w:w="4422"/>
          </w:tcPr>
          <w:p>
            <w:pPr>
              <w:jc w:val="center"/>
            </w:pPr>
            <w:r>
              <w:rPr>
                <w:sz w:val="18"/>
              </w:rPr>
              <w:t>No existe llave pública. La integración es agregada por mes, nunca directa</w:t>
            </w:r>
          </w:p>
        </w:tc>
      </w:tr>
      <w:tr>
        <w:tc>
          <w:tcPr>
            <w:tcW w:type="dxa" w:w="4422"/>
          </w:tcPr>
          <w:p>
            <w:pPr>
              <w:jc w:val="center"/>
            </w:pPr>
            <w:r>
              <w:rPr>
                <w:sz w:val="18"/>
              </w:rPr>
              <w:t>Tiempos operativos</w:t>
            </w:r>
          </w:p>
        </w:tc>
        <w:tc>
          <w:tcPr>
            <w:tcW w:type="dxa" w:w="4422"/>
          </w:tcPr>
          <w:p>
            <w:pPr>
              <w:jc w:val="center"/>
            </w:pPr>
            <w:r>
              <w:rPr>
                <w:sz w:val="18"/>
              </w:rPr>
              <w:t>ETA, ATA, permanencias y congestión no tienen fuente pública histórica</w:t>
            </w:r>
          </w:p>
        </w:tc>
      </w:tr>
      <w:tr>
        <w:tc>
          <w:tcPr>
            <w:tcW w:type="dxa" w:w="4422"/>
          </w:tcPr>
          <w:p>
            <w:pPr>
              <w:jc w:val="center"/>
            </w:pPr>
            <w:r>
              <w:rPr>
                <w:sz w:val="18"/>
              </w:rPr>
              <w:t>TEU</w:t>
            </w:r>
          </w:p>
        </w:tc>
        <w:tc>
          <w:tcPr>
            <w:tcW w:type="dxa" w:w="4422"/>
          </w:tcPr>
          <w:p>
            <w:pPr>
              <w:jc w:val="center"/>
            </w:pPr>
            <w:r>
              <w:rPr>
                <w:sz w:val="18"/>
              </w:rPr>
              <w:t>La fuente publica toneladas por tipo de carga, no unidades de contenedor</w:t>
            </w:r>
          </w:p>
        </w:tc>
      </w:tr>
      <w:tr>
        <w:tc>
          <w:tcPr>
            <w:tcW w:type="dxa" w:w="4422"/>
          </w:tcPr>
          <w:p>
            <w:pPr>
              <w:jc w:val="center"/>
            </w:pPr>
            <w:r>
              <w:rPr>
                <w:sz w:val="18"/>
              </w:rPr>
              <w:t>Unidad monetaria</w:t>
            </w:r>
          </w:p>
        </w:tc>
        <w:tc>
          <w:tcPr>
            <w:tcW w:type="dxa" w:w="4422"/>
          </w:tcPr>
          <w:p>
            <w:r>
              <w:t>El valor CIF está en dólares corrientes: su variación puede reflejar cambios en precios, flete, seguro y mezcla de mercancías.</w:t>
            </w:r>
          </w:p>
        </w:tc>
      </w:tr>
      <w:tr>
        <w:tc>
          <w:tcPr>
            <w:tcW w:type="dxa" w:w="4422"/>
          </w:tcPr>
          <w:p>
            <w:pPr>
              <w:jc w:val="center"/>
            </w:pPr>
            <w:r>
              <w:rPr>
                <w:sz w:val="18"/>
              </w:rPr>
              <w:t>Alertas</w:t>
            </w:r>
          </w:p>
        </w:tc>
        <w:tc>
          <w:tcPr>
            <w:tcW w:type="dxa" w:w="4422"/>
          </w:tcPr>
          <w:p>
            <w:pPr>
              <w:jc w:val="center"/>
            </w:pPr>
            <w:r>
              <w:rPr>
                <w:sz w:val="18"/>
              </w:rPr>
              <w:t>Son señales de revisión analítica, no órdenes operativas</w:t>
            </w:r>
          </w:p>
        </w:tc>
      </w:tr>
    </w:tbl>
    <w:p>
      <w:pPr>
        <w:spacing w:after="240"/>
      </w:pPr>
      <w:r>
        <w:rPr>
          <w:i/>
          <w:color w:val="595959"/>
          <w:sz w:val="18"/>
        </w:rPr>
        <w:t>Fuente: Elaboración propia a partir de la documentación oficial de cada fuente.</w:t>
      </w:r>
    </w:p>
    <w:p>
      <w:pPr>
        <w:pStyle w:val="Heading1"/>
        <w:spacing w:before="400" w:after="160"/>
      </w:pPr>
      <w:r>
        <w:t>8. Marco de referencia</w:t>
      </w:r>
    </w:p>
    <w:p>
      <w:pPr>
        <w:pStyle w:val="Heading2"/>
        <w:spacing w:before="280" w:after="120"/>
      </w:pPr>
      <w:r>
        <w:t>8.1 Marco conceptual</w:t>
      </w:r>
    </w:p>
    <w:p>
      <w:pPr>
        <w:spacing w:after="160" w:line="360" w:lineRule="auto"/>
        <w:jc w:val="both"/>
      </w:pPr>
      <w:r>
        <w:t>Los términos que el documento usa con un sentido preciso son los siguientes.</w:t>
      </w:r>
    </w:p>
    <w:p>
      <w:pPr>
        <w:spacing w:before="200"/>
      </w:pPr>
      <w:r>
        <w:rPr>
          <w:b/>
          <w:sz w:val="22"/>
        </w:rPr>
        <w:t>Tabla 4. Conceptos del dominio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Valor CIF</w:t>
            </w:r>
          </w:p>
        </w:tc>
        <w:tc>
          <w:tcPr>
            <w:tcW w:type="dxa" w:w="4422"/>
          </w:tcPr>
          <w:p>
            <w:pPr>
              <w:jc w:val="center"/>
            </w:pPr>
            <w:r>
              <w:rPr>
                <w:sz w:val="18"/>
              </w:rPr>
              <w:t>Valor de la mercancía más seguro y flete hasta el punto de entrada, en dólares corrientes</w:t>
            </w:r>
          </w:p>
        </w:tc>
      </w:tr>
      <w:tr>
        <w:tc>
          <w:tcPr>
            <w:tcW w:type="dxa" w:w="4422"/>
          </w:tcPr>
          <w:p>
            <w:pPr>
              <w:jc w:val="center"/>
            </w:pPr>
            <w:r>
              <w:rPr>
                <w:sz w:val="18"/>
              </w:rPr>
              <w:t>Peso neto</w:t>
            </w:r>
          </w:p>
        </w:tc>
        <w:tc>
          <w:tcPr>
            <w:tcW w:type="dxa" w:w="4422"/>
          </w:tcPr>
          <w:p>
            <w:pPr>
              <w:jc w:val="center"/>
            </w:pPr>
            <w:r>
              <w:rPr>
                <w:sz w:val="18"/>
              </w:rPr>
              <w:t>Peso de la mercancía sin embalaje, en kilogramos</w:t>
            </w:r>
          </w:p>
        </w:tc>
      </w:tr>
      <w:tr>
        <w:tc>
          <w:tcPr>
            <w:tcW w:type="dxa" w:w="4422"/>
          </w:tcPr>
          <w:p>
            <w:pPr>
              <w:jc w:val="center"/>
            </w:pPr>
            <w:r>
              <w:rPr>
                <w:sz w:val="18"/>
              </w:rPr>
              <w:t>Valor unitario implícito</w:t>
            </w:r>
          </w:p>
        </w:tc>
        <w:tc>
          <w:tcPr>
            <w:tcW w:type="dxa" w:w="4422"/>
          </w:tcPr>
          <w:p>
            <w:pPr>
              <w:jc w:val="center"/>
            </w:pPr>
            <w:r>
              <w:rPr>
                <w:sz w:val="18"/>
              </w:rPr>
              <w:t>Cociente entre valor CIF y peso neto de los agregados mensuales. No es un precio</w:t>
            </w:r>
          </w:p>
        </w:tc>
      </w:tr>
      <w:tr>
        <w:tc>
          <w:tcPr>
            <w:tcW w:type="dxa" w:w="4422"/>
          </w:tcPr>
          <w:p>
            <w:pPr>
              <w:jc w:val="center"/>
            </w:pPr>
            <w:r>
              <w:rPr>
                <w:sz w:val="18"/>
              </w:rPr>
              <w:t>Toneladas movilizadas</w:t>
            </w:r>
          </w:p>
        </w:tc>
        <w:tc>
          <w:tcPr>
            <w:tcW w:type="dxa" w:w="4422"/>
          </w:tcPr>
          <w:p>
            <w:pPr>
              <w:jc w:val="center"/>
            </w:pPr>
            <w:r>
              <w:rPr>
                <w:sz w:val="18"/>
              </w:rPr>
              <w:t>Carga registrada por las sociedades portuarias, con embalaje incluido</w:t>
            </w:r>
          </w:p>
        </w:tc>
      </w:tr>
      <w:tr>
        <w:tc>
          <w:tcPr>
            <w:tcW w:type="dxa" w:w="4422"/>
          </w:tcPr>
          <w:p>
            <w:pPr>
              <w:jc w:val="center"/>
            </w:pPr>
            <w:r>
              <w:rPr>
                <w:sz w:val="18"/>
              </w:rPr>
              <w:t>Importación</w:t>
            </w:r>
          </w:p>
        </w:tc>
        <w:tc>
          <w:tcPr>
            <w:tcW w:type="dxa" w:w="4422"/>
          </w:tcPr>
          <w:p>
            <w:pPr>
              <w:jc w:val="center"/>
            </w:pPr>
            <w:r>
              <w:rPr>
                <w:sz w:val="18"/>
              </w:rPr>
              <w:t>Carga que ingresa al territorio aduanero</w:t>
            </w:r>
          </w:p>
        </w:tc>
      </w:tr>
      <w:tr>
        <w:tc>
          <w:tcPr>
            <w:tcW w:type="dxa" w:w="4422"/>
          </w:tcPr>
          <w:p>
            <w:pPr>
              <w:jc w:val="center"/>
            </w:pPr>
            <w:r>
              <w:rPr>
                <w:sz w:val="18"/>
              </w:rPr>
              <w:t>Exportación</w:t>
            </w:r>
          </w:p>
        </w:tc>
        <w:tc>
          <w:tcPr>
            <w:tcW w:type="dxa" w:w="4422"/>
          </w:tcPr>
          <w:p>
            <w:pPr>
              <w:jc w:val="center"/>
            </w:pPr>
            <w:r>
              <w:rPr>
                <w:sz w:val="18"/>
              </w:rPr>
              <w:t>Carga que sale del territorio aduanero</w:t>
            </w:r>
          </w:p>
        </w:tc>
      </w:tr>
      <w:tr>
        <w:tc>
          <w:tcPr>
            <w:tcW w:type="dxa" w:w="4422"/>
          </w:tcPr>
          <w:p>
            <w:pPr>
              <w:jc w:val="center"/>
            </w:pPr>
            <w:r>
              <w:rPr>
                <w:sz w:val="18"/>
              </w:rPr>
              <w:t>Transbordo</w:t>
            </w:r>
          </w:p>
        </w:tc>
        <w:tc>
          <w:tcPr>
            <w:tcW w:type="dxa" w:w="4422"/>
          </w:tcPr>
          <w:p>
            <w:pPr>
              <w:jc w:val="center"/>
            </w:pPr>
            <w:r>
              <w:rPr>
                <w:sz w:val="18"/>
              </w:rPr>
              <w:t>Carga que cambia de buque sin entrar ni salir del país</w:t>
            </w:r>
          </w:p>
        </w:tc>
      </w:tr>
      <w:tr>
        <w:tc>
          <w:tcPr>
            <w:tcW w:type="dxa" w:w="4422"/>
          </w:tcPr>
          <w:p>
            <w:pPr>
              <w:jc w:val="center"/>
            </w:pPr>
            <w:r>
              <w:rPr>
                <w:sz w:val="18"/>
              </w:rPr>
              <w:t>Sociedad portuaria</w:t>
            </w:r>
          </w:p>
        </w:tc>
        <w:tc>
          <w:tcPr>
            <w:tcW w:type="dxa" w:w="4422"/>
          </w:tcPr>
          <w:p>
            <w:pPr>
              <w:jc w:val="center"/>
            </w:pPr>
            <w:r>
              <w:rPr>
                <w:sz w:val="18"/>
              </w:rPr>
              <w:t>Razón social que reporta movimientos de carga a la Superintendencia de Transporte</w:t>
            </w:r>
          </w:p>
        </w:tc>
      </w:tr>
    </w:tbl>
    <w:p>
      <w:pPr>
        <w:spacing w:after="240"/>
      </w:pPr>
      <w:r>
        <w:rPr>
          <w:i/>
          <w:color w:val="595959"/>
          <w:sz w:val="18"/>
        </w:rPr>
        <w:t>Fuente: Elaboración propia a partir de DANE (2026) y Superintendencia de Transporte (2026).</w:t>
      </w:r>
    </w:p>
    <w:p>
      <w:pPr>
        <w:spacing w:before="200"/>
      </w:pPr>
      <w:r>
        <w:rPr>
          <w:b/>
          <w:sz w:val="22"/>
        </w:rPr>
        <w:t>Tabla 5. Conceptos metodológicos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HHI</w:t>
            </w:r>
          </w:p>
        </w:tc>
        <w:tc>
          <w:tcPr>
            <w:tcW w:type="dxa" w:w="4422"/>
          </w:tcPr>
          <w:p>
            <w:pPr>
              <w:jc w:val="center"/>
            </w:pPr>
            <w:r>
              <w:rPr>
                <w:sz w:val="18"/>
              </w:rPr>
              <w:t>Suma de los cuadrados de las participaciones porcentuales. Por encima de 2.500 se considera concentrado</w:t>
            </w:r>
          </w:p>
        </w:tc>
      </w:tr>
      <w:tr>
        <w:tc>
          <w:tcPr>
            <w:tcW w:type="dxa" w:w="4422"/>
          </w:tcPr>
          <w:p>
            <w:pPr>
              <w:jc w:val="center"/>
            </w:pPr>
            <w:r>
              <w:rPr>
                <w:sz w:val="18"/>
              </w:rPr>
              <w:t>WAPE</w:t>
            </w:r>
          </w:p>
        </w:tc>
        <w:tc>
          <w:tcPr>
            <w:tcW w:type="dxa" w:w="4422"/>
          </w:tcPr>
          <w:p>
            <w:pPr>
              <w:jc w:val="center"/>
            </w:pPr>
            <w:r>
              <w:rPr>
                <w:sz w:val="18"/>
              </w:rPr>
              <w:t>Suma de errores absolutos dividida por la suma de valores observados, en porcentaje</w:t>
            </w:r>
          </w:p>
        </w:tc>
      </w:tr>
      <w:tr>
        <w:tc>
          <w:tcPr>
            <w:tcW w:type="dxa" w:w="4422"/>
          </w:tcPr>
          <w:p>
            <w:pPr>
              <w:jc w:val="center"/>
            </w:pPr>
            <w:r>
              <w:rPr>
                <w:sz w:val="18"/>
              </w:rPr>
              <w:t>MASE</w:t>
            </w:r>
          </w:p>
        </w:tc>
        <w:tc>
          <w:tcPr>
            <w:tcW w:type="dxa" w:w="4422"/>
          </w:tcPr>
          <w:p>
            <w:pPr>
              <w:jc w:val="center"/>
            </w:pPr>
            <w:r>
              <w:rPr>
                <w:sz w:val="18"/>
              </w:rPr>
              <w:t>Error absoluto medio escalado por el error de una referencia ingenua. Menor que 1 significa que supera esa referencia</w:t>
            </w:r>
          </w:p>
        </w:tc>
      </w:tr>
      <w:tr>
        <w:tc>
          <w:tcPr>
            <w:tcW w:type="dxa" w:w="4422"/>
          </w:tcPr>
          <w:p>
            <w:pPr>
              <w:jc w:val="center"/>
            </w:pPr>
            <w:r>
              <w:rPr>
                <w:sz w:val="18"/>
              </w:rPr>
              <w:t>Naive 1</w:t>
            </w:r>
          </w:p>
        </w:tc>
        <w:tc>
          <w:tcPr>
            <w:tcW w:type="dxa" w:w="4422"/>
          </w:tcPr>
          <w:p>
            <w:pPr>
              <w:jc w:val="center"/>
            </w:pPr>
            <w:r>
              <w:rPr>
                <w:sz w:val="18"/>
              </w:rPr>
              <w:t>Predecir que el mes siguiente será igual al último observado</w:t>
            </w:r>
          </w:p>
        </w:tc>
      </w:tr>
      <w:tr>
        <w:tc>
          <w:tcPr>
            <w:tcW w:type="dxa" w:w="4422"/>
          </w:tcPr>
          <w:p>
            <w:pPr>
              <w:jc w:val="center"/>
            </w:pPr>
            <w:r>
              <w:rPr>
                <w:sz w:val="18"/>
              </w:rPr>
              <w:t>Naive 12</w:t>
            </w:r>
          </w:p>
        </w:tc>
        <w:tc>
          <w:tcPr>
            <w:tcW w:type="dxa" w:w="4422"/>
          </w:tcPr>
          <w:p>
            <w:pPr>
              <w:jc w:val="center"/>
            </w:pPr>
            <w:r>
              <w:rPr>
                <w:sz w:val="18"/>
              </w:rPr>
              <w:t>Predecir el valor del mismo mes del año anterior</w:t>
            </w:r>
          </w:p>
        </w:tc>
      </w:tr>
      <w:tr>
        <w:tc>
          <w:tcPr>
            <w:tcW w:type="dxa" w:w="4422"/>
          </w:tcPr>
          <w:p>
            <w:pPr>
              <w:jc w:val="center"/>
            </w:pPr>
            <w:r>
              <w:rPr>
                <w:sz w:val="18"/>
              </w:rPr>
              <w:t>Drift</w:t>
            </w:r>
          </w:p>
        </w:tc>
        <w:tc>
          <w:tcPr>
            <w:tcW w:type="dxa" w:w="4422"/>
          </w:tcPr>
          <w:p>
            <w:pPr>
              <w:jc w:val="center"/>
            </w:pPr>
            <w:r>
              <w:rPr>
                <w:sz w:val="18"/>
              </w:rPr>
              <w:t>Extrapolar la pendiente media de toda la serie</w:t>
            </w:r>
          </w:p>
        </w:tc>
      </w:tr>
      <w:tr>
        <w:tc>
          <w:tcPr>
            <w:tcW w:type="dxa" w:w="4422"/>
          </w:tcPr>
          <w:p>
            <w:pPr>
              <w:jc w:val="center"/>
            </w:pPr>
            <w:r>
              <w:rPr>
                <w:sz w:val="18"/>
              </w:rPr>
              <w:t>Walk-forward</w:t>
            </w:r>
          </w:p>
        </w:tc>
        <w:tc>
          <w:tcPr>
            <w:tcW w:type="dxa" w:w="4422"/>
          </w:tcPr>
          <w:p>
            <w:pPr>
              <w:jc w:val="center"/>
            </w:pPr>
            <w:r>
              <w:rPr>
                <w:sz w:val="18"/>
              </w:rPr>
              <w:t>En cada corte se entrena con el pasado y se predice el mes siguiente, respetando el orden temporal</w:t>
            </w:r>
          </w:p>
        </w:tc>
      </w:tr>
      <w:tr>
        <w:tc>
          <w:tcPr>
            <w:tcW w:type="dxa" w:w="4422"/>
          </w:tcPr>
          <w:p>
            <w:pPr>
              <w:jc w:val="center"/>
            </w:pPr>
            <w:r>
              <w:rPr>
                <w:sz w:val="18"/>
              </w:rPr>
              <w:t>Intervalo de predicción</w:t>
            </w:r>
          </w:p>
        </w:tc>
        <w:tc>
          <w:tcPr>
            <w:tcW w:type="dxa" w:w="4422"/>
          </w:tcPr>
          <w:p>
            <w:pPr>
              <w:jc w:val="center"/>
            </w:pPr>
            <w:r>
              <w:rPr>
                <w:sz w:val="18"/>
              </w:rPr>
              <w:t>Rango construido con los cuantiles de los errores fuera de muestra, cuya cobertura se mide</w:t>
            </w:r>
          </w:p>
        </w:tc>
      </w:tr>
      <w:tr>
        <w:tc>
          <w:tcPr>
            <w:tcW w:type="dxa" w:w="4422"/>
          </w:tcPr>
          <w:p>
            <w:pPr>
              <w:jc w:val="center"/>
            </w:pPr>
            <w:r>
              <w:rPr>
                <w:sz w:val="18"/>
              </w:rPr>
              <w:t>Trazabilidad</w:t>
            </w:r>
          </w:p>
        </w:tc>
        <w:tc>
          <w:tcPr>
            <w:tcW w:type="dxa" w:w="4422"/>
          </w:tcPr>
          <w:p>
            <w:pPr>
              <w:jc w:val="center"/>
            </w:pPr>
            <w:r>
              <w:rPr>
                <w:sz w:val="18"/>
              </w:rPr>
              <w:t>Posibilidad de rastrear una cifra hasta el archivo y la línea de código que la produjo</w:t>
            </w:r>
          </w:p>
        </w:tc>
      </w:tr>
      <w:tr>
        <w:tc>
          <w:tcPr>
            <w:tcW w:type="dxa" w:w="4422"/>
          </w:tcPr>
          <w:p>
            <w:pPr>
              <w:jc w:val="center"/>
            </w:pPr>
            <w:r>
              <w:rPr>
                <w:sz w:val="18"/>
              </w:rPr>
              <w:t>Capas raw, landing, trusted, surface</w:t>
            </w:r>
          </w:p>
        </w:tc>
        <w:tc>
          <w:tcPr>
            <w:tcW w:type="dxa" w:w="4422"/>
          </w:tcPr>
          <w:p>
            <w:pPr>
              <w:jc w:val="center"/>
            </w:pPr>
            <w:r>
              <w:rPr>
                <w:sz w:val="18"/>
              </w:rPr>
              <w:t>Original inmutable, homologado, validado y listo para consumo</w:t>
            </w:r>
          </w:p>
        </w:tc>
      </w:tr>
    </w:tbl>
    <w:p>
      <w:pPr>
        <w:spacing w:after="240"/>
      </w:pPr>
      <w:r>
        <w:rPr>
          <w:i/>
          <w:color w:val="595959"/>
          <w:sz w:val="18"/>
        </w:rPr>
        <w:t>Fuente: Elaboración propia a partir de Hyndman y Athanasopoulos (2021).</w:t>
      </w:r>
    </w:p>
    <w:p>
      <w:pPr>
        <w:pStyle w:val="Heading2"/>
        <w:spacing w:before="280" w:after="120"/>
      </w:pPr>
      <w:r>
        <w:t>8.2 Marco normativo</w:t>
      </w:r>
    </w:p>
    <w:p>
      <w:pPr>
        <w:pStyle w:val="ListBullet"/>
        <w:spacing w:after="60"/>
      </w:pPr>
      <w:r>
        <w:t>Ley 1712 de 2014, de transparencia y acceso a la información pública, que sustenta el uso de datos abiertos con cita de la fuente.</w:t>
      </w:r>
    </w:p>
    <w:p>
      <w:pPr>
        <w:pStyle w:val="ListBullet"/>
        <w:spacing w:after="60"/>
      </w:pPr>
      <w:r>
        <w:rPr/>
        <w:t>Ley 1581 de 2012, de protección de datos personales. La capa analítica utilizada por el proyecto no incorpora identificadores personales ni empresariales del importador.</w:t>
      </w:r>
    </w:p>
    <w:p>
      <w:pPr>
        <w:pStyle w:val="ListBullet"/>
        <w:spacing w:after="60"/>
      </w:pPr>
      <w:r>
        <w:t>NTC 1486 del ICONTEC, aplicada a márgenes, numeración y presentación de este documento.</w:t>
      </w:r>
    </w:p>
    <w:p>
      <w:pPr>
        <w:pStyle w:val="ListBullet"/>
        <w:spacing w:after="60"/>
      </w:pPr>
      <w:r>
        <w:t>Normas APA en su séptima edición, aplicadas a citas y referencias.</w:t>
      </w:r>
    </w:p>
    <w:p>
      <w:pPr>
        <w:pStyle w:val="ListBullet"/>
        <w:spacing w:after="60"/>
      </w:pPr>
      <w:r>
        <w:t>Condiciones de uso del DANE, que exigen una cita textual de la fuente y restringen la reproducción de los microdatos originales.</w:t>
      </w:r>
    </w:p>
    <w:p>
      <w:pPr>
        <w:pStyle w:val="ListBullet"/>
        <w:spacing w:after="60"/>
      </w:pPr>
      <w:r>
        <w:t>Licencia Creative Commons Atribución-CompartirIgual 4.0 Internacional del conjunto de tráfico portuario, que obliga a citar y a compartir los derivados bajo la misma licencia.</w:t>
      </w:r>
    </w:p>
    <w:p>
      <w:pPr>
        <w:pStyle w:val="Heading2"/>
        <w:spacing w:before="280" w:after="120"/>
      </w:pPr>
      <w:r>
        <w:t>8.3 Antecedentes</w:t>
      </w:r>
    </w:p>
    <w:p>
      <w:pPr>
        <w:spacing w:after="160" w:line="360" w:lineRule="auto"/>
        <w:jc w:val="both"/>
      </w:pPr>
      <w:r>
        <w:t>Las estadísticas de comercio exterior colombiano se publican de forma periódica desde 1916. Desde 1993 la Dirección de Impuestos y Aduanas Nacionales produce la información y el DANE la valida y difunde, con un plazo máximo de cuarenta y cinco días posteriores al mes de referencia. Esa división institucional explica parte del rezago de publicación con el que trabaja el producto.</w:t>
      </w:r>
    </w:p>
    <w:p>
      <w:pPr>
        <w:spacing w:after="160" w:line="360" w:lineRule="auto"/>
        <w:jc w:val="both"/>
      </w:pPr>
      <w:r>
        <w:t>Los microdatos aduaneros se distribuyen en dos catálogos distintos según el periodo, con formatos que cambiaron cinco veces en el intervalo analizado. Las estadísticas portuarias, en cambio, mantienen un esquema estable desde 2018, aunque su publicación es trimestral pese a que el dato es mensual.</w:t>
      </w:r>
    </w:p>
    <w:p>
      <w:pPr>
        <w:spacing w:after="160" w:line="360" w:lineRule="auto"/>
        <w:jc w:val="both"/>
      </w:pPr>
      <w:r>
        <w:t>Para el dominio marítimo, la Dirección General Marítima publica boletines trimestrales agregados en formato PDF. No se localizó una serie histórica tabular con desagregación por evento, lo que impide construir indicadores de arribos, tipos de buque o tiempos operativos con fuentes públicas. Esa ausencia es la que define el alcance real del proyecto.</w:t>
      </w:r>
    </w:p>
    <w:p>
      <w:pPr>
        <w:pStyle w:val="Heading1"/>
        <w:spacing w:before="400" w:after="160"/>
      </w:pPr>
      <w:r>
        <w:t>9. Metodología</w:t>
      </w:r>
    </w:p>
    <w:p>
      <w:pPr>
        <w:spacing w:after="160" w:line="360" w:lineRule="auto"/>
        <w:jc w:val="both"/>
      </w:pPr>
      <w:r>
        <w:t>El trabajo es una investigación aplicada, cuantitativa y longitudinal. Cada fase produce una evidencia verificable, y ninguna cifra llega a este documento sin pasar antes por un archivo generado por el pipeline.</w:t>
      </w:r>
    </w:p>
    <w:p>
      <w:pPr>
        <w:pStyle w:val="Heading2"/>
        <w:spacing w:before="280" w:after="120"/>
      </w:pPr>
      <w:r>
        <w:t>9.1 Preparación de los datos</w:t>
      </w:r>
    </w:p>
    <w:p>
      <w:pPr>
        <w:spacing w:after="160" w:line="360" w:lineRule="auto"/>
        <w:jc w:val="both"/>
      </w:pPr>
      <w:r>
        <w:t>Los archivos originales se conservan sin modificar y se registran con su hash, de modo que puede demostrarse meses después que no cambiaron. La homologación detecta automáticamente el separador y la convención decimal de cada vigencia, y lee los códigos como texto para no perder los ceros iniciales. Ninguna corrección ocurre en silencio: cada exclusión queda registrada con su regla.</w:t>
      </w:r>
    </w:p>
    <w:p>
      <w:pPr>
        <w:pStyle w:val="Heading2"/>
        <w:spacing w:before="280" w:after="120"/>
      </w:pPr>
      <w:r>
        <w:t>9.2 Validación temporal</w:t>
      </w:r>
    </w:p>
    <w:p>
      <w:pPr>
        <w:spacing w:after="160" w:line="360" w:lineRule="auto"/>
        <w:jc w:val="both"/>
      </w:pPr>
      <w:r>
        <w:t>La evaluación usa validación walk-forward de un paso. En términos sencillos: el modelo se sitúa en cada mes del pasado, se entrena únicamente con lo anterior y predice el mes siguiente; después se compara con lo que realmente ocurrió. Se repite ese ejercicio veinticuatro veces.</w:t>
      </w:r>
    </w:p>
    <w:p>
      <w:pPr>
        <w:spacing w:after="160" w:line="360" w:lineRule="auto"/>
        <w:jc w:val="both"/>
      </w:pPr>
      <w:r>
        <w:t>Toda transformación que dependa de los datos, incluidos los escaladores, se ajusta dentro del conjunto de entrenamiento de cada corte. Si se ajustara sobre la serie completa, el modelo estaría usando información del futuro para preparar el pasado, y su desempeño aparente sería mejor que el real.</w:t>
      </w:r>
    </w:p>
    <w:p>
      <w:pPr>
        <w:pStyle w:val="Heading2"/>
        <w:spacing w:before="280" w:after="120"/>
      </w:pPr>
      <w:r>
        <w:t>9.3 Prevención de fuga de información</w:t>
      </w:r>
    </w:p>
    <w:p>
      <w:pPr>
        <w:spacing w:after="160" w:line="360" w:lineRule="auto"/>
        <w:jc w:val="both"/>
      </w:pPr>
      <w:r>
        <w:t>Todas las variables predictoras se construyen con datos anteriores al mes que se predice. Las medias móviles se calculan sobre la serie ya desplazada. Las únicas variables sin rezago son las de calendario, que se conocen de antemano. Existe una prueba automatizada que detiene el proceso si alguna variable presenta correlación casi perfecta con el objetivo del mismo mes.</w:t>
      </w:r>
    </w:p>
    <w:p>
      <w:pPr>
        <w:pStyle w:val="Heading2"/>
        <w:spacing w:before="280" w:after="120"/>
      </w:pPr>
      <w:r>
        <w:t>9.4 Líneas base y métricas</w:t>
      </w:r>
    </w:p>
    <w:p>
      <w:pPr>
        <w:spacing w:after="160" w:line="360" w:lineRule="auto"/>
        <w:jc w:val="both"/>
      </w:pPr>
      <w:r>
        <w:t>Se reportan siempre tres referencias: repetir el último valor, repetir el mismo mes del año anterior y extrapolar la pendiente. Reportar solo una puede exagerar la mejora atribuible al modelo. Las métricas incluyen WAPE, MASE, sesgo y error máximo, porque un promedio bajo puede ocultar un mes con un error grave o un sesgo sistemático hacia un lado.</w:t>
      </w:r>
    </w:p>
    <w:p>
      <w:pPr>
        <w:pStyle w:val="Heading2"/>
        <w:spacing w:before="280" w:after="120"/>
      </w:pPr>
      <w:r>
        <w:t>9.5 Intervalos de predicción</w:t>
      </w:r>
    </w:p>
    <w:p>
      <w:pPr>
        <w:spacing w:after="160" w:line="360" w:lineRule="auto"/>
        <w:jc w:val="both"/>
      </w:pPr>
      <w:r>
        <w:t>Los intervalos se construyen con los cuantiles de los errores fuera de muestra del propio backtest, con calibración expansiva: para cada corte se usan únicamente los errores anteriores. No se derivan de ninguna métrica de error puntual. Si la cobertura medida no alcanza el nivel declarado, el intervalo se recalibra o se renombra según lo que realmente cubre.</w:t>
      </w:r>
    </w:p>
    <w:p>
      <w:pPr>
        <w:pStyle w:val="Heading2"/>
        <w:spacing w:before="280" w:after="120"/>
      </w:pPr>
      <w:r>
        <w:t>9.6 Criterios de elegibilidad y de no viabilidad</w:t>
      </w:r>
    </w:p>
    <w:p>
      <w:pPr>
        <w:spacing w:after="160" w:line="360" w:lineRule="auto"/>
        <w:jc w:val="both"/>
      </w:pPr>
      <w:r>
        <w:t>Un indicador entra al componente predictivo si tiene al menos treinta y seis observaciones mensuales, continuidad completa y un rezago de publicación conocido. El criterio se fijó antes de mirar los resultados. Una pregunta se cierra como no viable cuando se documenta dónde se buscó la fuente, qué se encontró y qué haría falta para responderla en una fase posterior.</w:t>
      </w:r>
    </w:p>
    <w:p>
      <w:pPr>
        <w:pStyle w:val="Heading2"/>
        <w:spacing w:before="280" w:after="120"/>
      </w:pPr>
      <w:r>
        <w:t>9.7 Análisis de ablación</w:t>
      </w:r>
    </w:p>
    <w:p>
      <w:pPr>
        <w:spacing w:after="160" w:line="360" w:lineRule="auto"/>
        <w:jc w:val="both"/>
      </w:pPr>
      <w:r>
        <w:t>La ablación consiste en entrenar el mismo modelo con distintos grupos de variables y comparar su desempeño sobre los mismos cortes. Sirve para responder si una variable aporta, en lugar de suponerlo. Es el método con el que se evaluó si integrar el dominio portuario mejora el pronóstico aduanero.</w:t>
      </w:r>
    </w:p>
    <w:p>
      <w:pPr>
        <w:pStyle w:val="Heading1"/>
        <w:spacing w:before="400" w:after="160"/>
      </w:pPr>
      <w:r>
        <w:t>10. Ingeniería del producto de datos</w:t>
      </w:r>
    </w:p>
    <w:p>
      <w:pPr>
        <w:pStyle w:val="Heading2"/>
        <w:spacing w:before="280" w:after="120"/>
      </w:pPr>
      <w:r>
        <w:t>10.1 Arquitectura por capas</w:t>
      </w:r>
    </w:p>
    <w:p>
      <w:pPr>
        <w:spacing w:before="200"/>
      </w:pPr>
      <w:r>
        <w:rPr>
          <w:b/>
          <w:sz w:val="22"/>
        </w:rPr>
        <w:t>Tabla 6. Capas de datos y su garantía</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Capa</w:t>
            </w:r>
          </w:p>
        </w:tc>
        <w:tc>
          <w:tcPr>
            <w:tcW w:type="dxa" w:w="2948"/>
          </w:tcPr>
          <w:p>
            <w:pPr>
              <w:jc w:val="center"/>
            </w:pPr>
            <w:r>
              <w:rPr>
                <w:b/>
                <w:sz w:val="18"/>
              </w:rPr>
              <w:t>Contenido</w:t>
            </w:r>
          </w:p>
        </w:tc>
        <w:tc>
          <w:tcPr>
            <w:tcW w:type="dxa" w:w="2948"/>
          </w:tcPr>
          <w:p>
            <w:pPr>
              <w:jc w:val="center"/>
            </w:pPr>
            <w:r>
              <w:rPr>
                <w:b/>
                <w:sz w:val="18"/>
              </w:rPr>
              <w:t>Garantía</w:t>
            </w:r>
          </w:p>
        </w:tc>
      </w:tr>
      <w:tr>
        <w:tc>
          <w:tcPr>
            <w:tcW w:type="dxa" w:w="2948"/>
          </w:tcPr>
          <w:p>
            <w:pPr>
              <w:jc w:val="center"/>
            </w:pPr>
            <w:r>
              <w:rPr>
                <w:sz w:val="18"/>
              </w:rPr>
              <w:t>raw</w:t>
            </w:r>
          </w:p>
        </w:tc>
        <w:tc>
          <w:tcPr>
            <w:tcW w:type="dxa" w:w="2948"/>
          </w:tcPr>
          <w:p>
            <w:pPr>
              <w:jc w:val="center"/>
            </w:pPr>
            <w:r>
              <w:rPr>
                <w:sz w:val="18"/>
              </w:rPr>
              <w:t>Archivos originales sin modificar</w:t>
            </w:r>
          </w:p>
        </w:tc>
        <w:tc>
          <w:tcPr>
            <w:tcW w:type="dxa" w:w="2948"/>
          </w:tcPr>
          <w:p>
            <w:pPr>
              <w:jc w:val="center"/>
            </w:pPr>
            <w:r>
              <w:rPr>
                <w:sz w:val="18"/>
              </w:rPr>
              <w:t>Hash SHA-256 por archivo</w:t>
            </w:r>
          </w:p>
        </w:tc>
      </w:tr>
      <w:tr>
        <w:tc>
          <w:tcPr>
            <w:tcW w:type="dxa" w:w="2948"/>
          </w:tcPr>
          <w:p>
            <w:pPr>
              <w:jc w:val="center"/>
            </w:pPr>
            <w:r>
              <w:rPr>
                <w:sz w:val="18"/>
              </w:rPr>
              <w:t>landing</w:t>
            </w:r>
          </w:p>
        </w:tc>
        <w:tc>
          <w:tcPr>
            <w:tcW w:type="dxa" w:w="2948"/>
          </w:tcPr>
          <w:p>
            <w:pPr>
              <w:jc w:val="center"/>
            </w:pPr>
            <w:r>
              <w:rPr>
                <w:sz w:val="18"/>
              </w:rPr>
              <w:t>Datos homologados entre vigencias</w:t>
            </w:r>
          </w:p>
        </w:tc>
        <w:tc>
          <w:tcPr>
            <w:tcW w:type="dxa" w:w="2948"/>
          </w:tcPr>
          <w:p>
            <w:pPr>
              <w:jc w:val="center"/>
            </w:pPr>
            <w:r>
              <w:rPr>
                <w:sz w:val="18"/>
              </w:rPr>
              <w:t>Registro de formatos y exclusiones</w:t>
            </w:r>
          </w:p>
        </w:tc>
      </w:tr>
      <w:tr>
        <w:tc>
          <w:tcPr>
            <w:tcW w:type="dxa" w:w="2948"/>
          </w:tcPr>
          <w:p>
            <w:pPr>
              <w:jc w:val="center"/>
            </w:pPr>
            <w:r>
              <w:rPr>
                <w:sz w:val="18"/>
              </w:rPr>
              <w:t>trusted</w:t>
            </w:r>
          </w:p>
        </w:tc>
        <w:tc>
          <w:tcPr>
            <w:tcW w:type="dxa" w:w="2948"/>
          </w:tcPr>
          <w:p>
            <w:pPr>
              <w:jc w:val="center"/>
            </w:pPr>
            <w:r>
              <w:rPr>
                <w:sz w:val="18"/>
              </w:rPr>
              <w:t>Series mensuales validadas</w:t>
            </w:r>
          </w:p>
        </w:tc>
        <w:tc>
          <w:tcPr>
            <w:tcW w:type="dxa" w:w="2948"/>
          </w:tcPr>
          <w:p>
            <w:pPr>
              <w:jc w:val="center"/>
            </w:pPr>
            <w:r>
              <w:rPr>
                <w:sz w:val="18"/>
              </w:rPr>
              <w:t>Continuidad y reconciliación</w:t>
            </w:r>
          </w:p>
        </w:tc>
      </w:tr>
      <w:tr>
        <w:tc>
          <w:tcPr>
            <w:tcW w:type="dxa" w:w="2948"/>
          </w:tcPr>
          <w:p>
            <w:pPr>
              <w:jc w:val="center"/>
            </w:pPr>
            <w:r>
              <w:rPr>
                <w:sz w:val="18"/>
              </w:rPr>
              <w:t>surface</w:t>
            </w:r>
          </w:p>
        </w:tc>
        <w:tc>
          <w:tcPr>
            <w:tcW w:type="dxa" w:w="2948"/>
          </w:tcPr>
          <w:p>
            <w:pPr>
              <w:jc w:val="center"/>
            </w:pPr>
            <w:r>
              <w:rPr>
                <w:sz w:val="18"/>
              </w:rPr>
              <w:t>Métricas, pronósticos y evidencia</w:t>
            </w:r>
          </w:p>
        </w:tc>
        <w:tc>
          <w:tcPr>
            <w:tcW w:type="dxa" w:w="2948"/>
          </w:tcPr>
          <w:p>
            <w:pPr>
              <w:jc w:val="center"/>
            </w:pPr>
            <w:r>
              <w:rPr>
                <w:sz w:val="18"/>
              </w:rPr>
              <w:t>Cada archivo enlazado a una pregunta</w:t>
            </w:r>
          </w:p>
        </w:tc>
      </w:tr>
    </w:tbl>
    <w:p>
      <w:pPr>
        <w:spacing w:after="240"/>
      </w:pPr>
      <w:r>
        <w:rPr>
          <w:i/>
          <w:color w:val="595959"/>
          <w:sz w:val="18"/>
        </w:rPr>
        <w:t>Fuente: Elaboración propia.</w:t>
      </w:r>
    </w:p>
    <w:p>
      <w:pPr>
        <w:pStyle w:val="Heading2"/>
        <w:spacing w:before="280" w:after="120"/>
      </w:pPr>
      <w:r>
        <w:t>10.2 Pipeline</w:t>
      </w:r>
    </w:p>
    <w:p>
      <w:pPr>
        <w:spacing w:after="160" w:line="360" w:lineRule="auto"/>
        <w:jc w:val="both"/>
      </w:pPr>
      <w:r>
        <w:t>Las entradas son los paquetes anuales del DANE y la consulta a la interfaz de datos abiertos de la Superintendencia. Las transformaciones incluyen detección de formato, filtro por aduana, conversión de tipos, agregación mensual y cálculo del valor unitario implícito. Las validaciones cubren esquema, duplicados, continuidad, dominios y reconciliación. Las salidas son los archivos de la capa de consumo, las figuras y la matriz de trazabilidad.</w:t>
      </w:r>
    </w:p>
    <w:p>
      <w:pPr>
        <w:pStyle w:val="Heading2"/>
        <w:spacing w:before="280" w:after="120"/>
      </w:pPr>
      <w:r>
        <w:t>10.3 Integración de dominios</w:t>
      </w:r>
    </w:p>
    <w:p>
      <w:pPr>
        <w:spacing w:after="160" w:line="360" w:lineRule="auto"/>
        <w:jc w:val="both"/>
      </w:pPr>
      <w:r>
        <w:t>La integración es agregada por mes calendario. No existe llave pública que relacione una declaración de importación con un movimiento de carga portuaria, y no se construyó ninguna por inferencia. Cada relación entre fuentes está declarada como directa, agregada, contextual o no viable.</w:t>
      </w:r>
    </w:p>
    <w:p>
      <w:pPr>
        <w:spacing w:before="200"/>
      </w:pPr>
      <w:r>
        <w:rPr>
          <w:b/>
          <w:sz w:val="22"/>
        </w:rPr>
        <w:t>Tabla 7. Relaciones entre fuentes y tipo de integración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Origen</w:t>
            </w:r>
          </w:p>
        </w:tc>
        <w:tc>
          <w:tcPr>
            <w:tcW w:type="dxa" w:w="2211"/>
          </w:tcPr>
          <w:p>
            <w:pPr>
              <w:jc w:val="center"/>
            </w:pPr>
            <w:r>
              <w:rPr>
                <w:b/>
                <w:sz w:val="18"/>
              </w:rPr>
              <w:t>Destino</w:t>
            </w:r>
          </w:p>
        </w:tc>
        <w:tc>
          <w:tcPr>
            <w:tcW w:type="dxa" w:w="2211"/>
          </w:tcPr>
          <w:p>
            <w:pPr>
              <w:jc w:val="center"/>
            </w:pPr>
            <w:r>
              <w:rPr>
                <w:b/>
                <w:sz w:val="18"/>
              </w:rPr>
              <w:t>Llave</w:t>
            </w:r>
          </w:p>
        </w:tc>
        <w:tc>
          <w:tcPr>
            <w:tcW w:type="dxa" w:w="2211"/>
          </w:tcPr>
          <w:p>
            <w:pPr>
              <w:jc w:val="center"/>
            </w:pPr>
            <w:r>
              <w:rPr>
                <w:b/>
                <w:sz w:val="18"/>
              </w:rPr>
              <w:t>Tipo</w:t>
            </w:r>
          </w:p>
        </w:tc>
      </w:tr>
      <w:tr>
        <w:tc>
          <w:tcPr>
            <w:tcW w:type="dxa" w:w="2211"/>
          </w:tcPr>
          <w:p>
            <w:pPr>
              <w:jc w:val="center"/>
            </w:pPr>
            <w:r>
              <w:rPr>
                <w:sz w:val="18"/>
              </w:rPr>
              <w:t>DANE IMPO (declaraciones)</w:t>
            </w:r>
          </w:p>
        </w:tc>
        <w:tc>
          <w:tcPr>
            <w:tcW w:type="dxa" w:w="2211"/>
          </w:tcPr>
          <w:p>
            <w:pPr>
              <w:jc w:val="center"/>
            </w:pPr>
            <w:r>
              <w:rPr>
                <w:sz w:val="18"/>
              </w:rPr>
              <w:t>Supertransporte (tráfico)</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TRM</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ONI</w:t>
            </w:r>
          </w:p>
        </w:tc>
        <w:tc>
          <w:tcPr>
            <w:tcW w:type="dxa" w:w="2211"/>
          </w:tcPr>
          <w:p>
            <w:pPr>
              <w:jc w:val="center"/>
            </w:pPr>
            <w:r>
              <w:rPr>
                <w:sz w:val="18"/>
              </w:rPr>
              <w:t>mes calendario</w:t>
            </w:r>
          </w:p>
        </w:tc>
        <w:tc>
          <w:tcPr>
            <w:tcW w:type="dxa" w:w="2211"/>
          </w:tcPr>
          <w:p>
            <w:pPr>
              <w:jc w:val="center"/>
            </w:pPr>
            <w:r>
              <w:rPr>
                <w:sz w:val="18"/>
              </w:rPr>
              <w:t>contextual</w:t>
            </w:r>
          </w:p>
        </w:tc>
      </w:tr>
      <w:tr>
        <w:tc>
          <w:tcPr>
            <w:tcW w:type="dxa" w:w="2211"/>
          </w:tcPr>
          <w:p>
            <w:pPr>
              <w:jc w:val="center"/>
            </w:pPr>
            <w:r>
              <w:rPr>
                <w:sz w:val="18"/>
              </w:rPr>
              <w:t>DANE IMPO</w:t>
            </w:r>
          </w:p>
        </w:tc>
        <w:tc>
          <w:tcPr>
            <w:tcW w:type="dxa" w:w="2211"/>
          </w:tcPr>
          <w:p>
            <w:pPr>
              <w:jc w:val="center"/>
            </w:pPr>
            <w:r>
              <w:rPr>
                <w:sz w:val="18"/>
              </w:rPr>
              <w:t>Catálogo de eventos</w:t>
            </w:r>
          </w:p>
        </w:tc>
        <w:tc>
          <w:tcPr>
            <w:tcW w:type="dxa" w:w="2211"/>
          </w:tcPr>
          <w:p>
            <w:pPr>
              <w:jc w:val="center"/>
            </w:pPr>
            <w:r>
              <w:rPr>
                <w:sz w:val="18"/>
              </w:rPr>
              <w:t>rango de fechas</w:t>
            </w:r>
          </w:p>
        </w:tc>
        <w:tc>
          <w:tcPr>
            <w:tcW w:type="dxa" w:w="2211"/>
          </w:tcPr>
          <w:p>
            <w:pPr>
              <w:jc w:val="center"/>
            </w:pPr>
            <w:r>
              <w:rPr>
                <w:sz w:val="18"/>
              </w:rPr>
              <w:t>contextual</w:t>
            </w:r>
          </w:p>
        </w:tc>
      </w:tr>
      <w:tr>
        <w:tc>
          <w:tcPr>
            <w:tcW w:type="dxa" w:w="2211"/>
          </w:tcPr>
          <w:p>
            <w:pPr>
              <w:jc w:val="center"/>
            </w:pPr>
            <w:r>
              <w:rPr>
                <w:sz w:val="18"/>
              </w:rPr>
              <w:t>Supertransporte</w:t>
            </w:r>
          </w:p>
        </w:tc>
        <w:tc>
          <w:tcPr>
            <w:tcW w:type="dxa" w:w="2211"/>
          </w:tcPr>
          <w:p>
            <w:pPr>
              <w:jc w:val="center"/>
            </w:pPr>
            <w:r>
              <w:rPr>
                <w:sz w:val="18"/>
              </w:rPr>
              <w:t>DIMAR (arribos)</w:t>
            </w:r>
          </w:p>
        </w:tc>
        <w:tc>
          <w:tcPr>
            <w:tcW w:type="dxa" w:w="2211"/>
          </w:tcPr>
          <w:p>
            <w:pPr>
              <w:jc w:val="center"/>
            </w:pPr>
            <w:r>
              <w:rPr>
                <w:sz w:val="18"/>
              </w:rPr>
              <w:t>—</w:t>
            </w:r>
          </w:p>
        </w:tc>
        <w:tc>
          <w:tcPr>
            <w:tcW w:type="dxa" w:w="2211"/>
          </w:tcPr>
          <w:p>
            <w:pPr>
              <w:jc w:val="center"/>
            </w:pPr>
            <w:r>
              <w:rPr>
                <w:sz w:val="18"/>
              </w:rPr>
              <w:t>no viable</w:t>
            </w:r>
          </w:p>
        </w:tc>
      </w:tr>
      <w:tr>
        <w:tc>
          <w:tcPr>
            <w:tcW w:type="dxa" w:w="2211"/>
          </w:tcPr>
          <w:p>
            <w:pPr>
              <w:jc w:val="center"/>
            </w:pPr>
            <w:r>
              <w:rPr>
                <w:sz w:val="18"/>
              </w:rPr>
              <w:t>Cualquiera</w:t>
            </w:r>
          </w:p>
        </w:tc>
        <w:tc>
          <w:tcPr>
            <w:tcW w:type="dxa" w:w="2211"/>
          </w:tcPr>
          <w:p>
            <w:pPr>
              <w:jc w:val="center"/>
            </w:pPr>
            <w:r>
              <w:rPr>
                <w:sz w:val="18"/>
              </w:rPr>
              <w:t>ETA/ATA/permanencias</w:t>
            </w:r>
          </w:p>
        </w:tc>
        <w:tc>
          <w:tcPr>
            <w:tcW w:type="dxa" w:w="2211"/>
          </w:tcPr>
          <w:p>
            <w:pPr>
              <w:jc w:val="center"/>
            </w:pPr>
            <w:r>
              <w:rPr>
                <w:sz w:val="18"/>
              </w:rPr>
              <w:t>—</w:t>
            </w:r>
          </w:p>
        </w:tc>
        <w:tc>
          <w:tcPr>
            <w:tcW w:type="dxa" w:w="2211"/>
          </w:tcPr>
          <w:p>
            <w:pPr>
              <w:jc w:val="center"/>
            </w:pPr>
            <w:r>
              <w:rPr>
                <w:sz w:val="18"/>
              </w:rPr>
              <w:t>no viable</w:t>
            </w:r>
          </w:p>
        </w:tc>
      </w:tr>
    </w:tbl>
    <w:p>
      <w:pPr>
        <w:spacing w:after="240"/>
      </w:pPr>
      <w:r>
        <w:rPr>
          <w:i/>
          <w:color w:val="595959"/>
          <w:sz w:val="18"/>
        </w:rPr>
        <w:t>Fuente: Elaboración propia. Salida del pipeline: matriz_integracion.csv (P42).</w:t>
      </w:r>
    </w:p>
    <w:p>
      <w:pPr>
        <w:pStyle w:val="Heading2"/>
        <w:spacing w:before="280" w:after="120"/>
      </w:pPr>
      <w:r>
        <w:t>10.4 Calidad y trazabilidad</w:t>
      </w:r>
    </w:p>
    <w:p>
      <w:pPr>
        <w:spacing w:after="160" w:line="360" w:lineRule="auto"/>
        <w:jc w:val="both"/>
      </w:pPr>
      <w:r>
        <w:t>El proyecto cuenta con 80 pruebas automatizadas que verifican las reglas del propio producto: que las variables no miren al futuro, que los intervalos no se deriven de una métrica puntual, que la numeración de las preguntas no cambie y que una pregunta sin salida no se marque como ejecutada. El cuaderno del análisis exploratorio produce 55 figuras y 57 archivos de evidencia.</w:t>
      </w:r>
    </w:p>
    <w:p>
      <w:pPr>
        <w:spacing w:after="160" w:line="360" w:lineRule="auto"/>
        <w:jc w:val="both"/>
      </w:pPr>
      <w:r>
        <w:t>Existe además una lista de cifras que asocia cada valor citado con su archivo de origen y su pregunta. La construcción de este documento falla si se solicita una cifra que no esté en esa lista, lo que impide que un número escrito a mano llegue al texto.</w:t>
      </w:r>
    </w:p>
    <w:p>
      <w:pPr>
        <w:pStyle w:val="Heading2"/>
        <w:spacing w:before="280" w:after="120"/>
      </w:pPr>
      <w:r>
        <w:t>10.5 Modelado</w:t>
      </w:r>
    </w:p>
    <w:p>
      <w:pPr>
        <w:spacing w:after="160" w:line="360" w:lineRule="auto"/>
        <w:jc w:val="both"/>
      </w:pPr>
      <w:r>
        <w:t>Los objetivos evaluados fueron el valor CIF, el peso neto, las toneladas totales y la carga contenerizada. Las variables predictoras son rezagos del propio indicador, medias móviles desplazadas, variables de calendario y, en los conjuntos de prueba, la tasa representativa del mercado y el índice oceánico. Los resultados se detallan en el capítulo 12.</w:t>
      </w:r>
    </w:p>
    <w:p>
      <w:pPr>
        <w:pStyle w:val="Heading2"/>
        <w:spacing w:before="280" w:after="120"/>
      </w:pPr>
      <w:r>
        <w:t>10.6 Tablero de consulta</w:t>
      </w:r>
    </w:p>
    <w:p>
      <w:pPr>
        <w:spacing w:before="200"/>
      </w:pPr>
      <w:r>
        <w:rPr>
          <w:b/>
          <w:sz w:val="22"/>
        </w:rPr>
        <w:t>Tabla 8. Vistas del tablero de consulta</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Vista</w:t>
            </w:r>
          </w:p>
        </w:tc>
        <w:tc>
          <w:tcPr>
            <w:tcW w:type="dxa" w:w="4422"/>
          </w:tcPr>
          <w:p>
            <w:pPr>
              <w:jc w:val="center"/>
            </w:pPr>
            <w:r>
              <w:rPr>
                <w:b/>
                <w:sz w:val="18"/>
              </w:rPr>
              <w:t>Contenido</w:t>
            </w:r>
          </w:p>
        </w:tc>
      </w:tr>
      <w:tr>
        <w:tc>
          <w:tcPr>
            <w:tcW w:type="dxa" w:w="4422"/>
          </w:tcPr>
          <w:p>
            <w:pPr>
              <w:jc w:val="center"/>
            </w:pPr>
            <w:r>
              <w:rPr>
                <w:sz w:val="18"/>
              </w:rPr>
              <w:t>Ejecutiva</w:t>
            </w:r>
          </w:p>
        </w:tc>
        <w:tc>
          <w:tcPr>
            <w:tcW w:type="dxa" w:w="4422"/>
          </w:tcPr>
          <w:p>
            <w:pPr>
              <w:jc w:val="center"/>
            </w:pPr>
            <w:r>
              <w:rPr>
                <w:sz w:val="18"/>
              </w:rPr>
              <w:t>Valor económico y volumen físico lado a lado</w:t>
            </w:r>
          </w:p>
        </w:tc>
      </w:tr>
      <w:tr>
        <w:tc>
          <w:tcPr>
            <w:tcW w:type="dxa" w:w="4422"/>
          </w:tcPr>
          <w:p>
            <w:pPr>
              <w:jc w:val="center"/>
            </w:pPr>
            <w:r>
              <w:rPr>
                <w:sz w:val="18"/>
              </w:rPr>
              <w:t>Aduanera</w:t>
            </w:r>
          </w:p>
        </w:tc>
        <w:tc>
          <w:tcPr>
            <w:tcW w:type="dxa" w:w="4422"/>
          </w:tcPr>
          <w:p>
            <w:pPr>
              <w:jc w:val="center"/>
            </w:pPr>
            <w:r>
              <w:rPr>
                <w:sz w:val="18"/>
              </w:rPr>
              <w:t>CIF, peso neto, valor unitario y estacionalidad</w:t>
            </w:r>
          </w:p>
        </w:tc>
      </w:tr>
      <w:tr>
        <w:tc>
          <w:tcPr>
            <w:tcW w:type="dxa" w:w="4422"/>
          </w:tcPr>
          <w:p>
            <w:pPr>
              <w:jc w:val="center"/>
            </w:pPr>
            <w:r>
              <w:rPr>
                <w:sz w:val="18"/>
              </w:rPr>
              <w:t>Portuaria</w:t>
            </w:r>
          </w:p>
        </w:tc>
        <w:tc>
          <w:tcPr>
            <w:tcW w:type="dxa" w:w="4422"/>
          </w:tcPr>
          <w:p>
            <w:pPr>
              <w:jc w:val="center"/>
            </w:pPr>
            <w:r>
              <w:rPr>
                <w:sz w:val="18"/>
              </w:rPr>
              <w:t>Tipos de carga, sociedades, concentración y especialización</w:t>
            </w:r>
          </w:p>
        </w:tc>
      </w:tr>
      <w:tr>
        <w:tc>
          <w:tcPr>
            <w:tcW w:type="dxa" w:w="4422"/>
          </w:tcPr>
          <w:p>
            <w:pPr>
              <w:jc w:val="center"/>
            </w:pPr>
            <w:r>
              <w:rPr>
                <w:sz w:val="18"/>
              </w:rPr>
              <w:t>Marítima</w:t>
            </w:r>
          </w:p>
        </w:tc>
        <w:tc>
          <w:tcPr>
            <w:tcW w:type="dxa" w:w="4422"/>
          </w:tcPr>
          <w:p>
            <w:pPr>
              <w:jc w:val="center"/>
            </w:pPr>
            <w:r>
              <w:rPr>
                <w:sz w:val="18"/>
              </w:rPr>
              <w:t>Documentación de la no viabilidad del dominio</w:t>
            </w:r>
          </w:p>
        </w:tc>
      </w:tr>
      <w:tr>
        <w:tc>
          <w:tcPr>
            <w:tcW w:type="dxa" w:w="4422"/>
          </w:tcPr>
          <w:p>
            <w:pPr>
              <w:jc w:val="center"/>
            </w:pPr>
            <w:r>
              <w:rPr>
                <w:sz w:val="18"/>
              </w:rPr>
              <w:t>Predictiva</w:t>
            </w:r>
          </w:p>
        </w:tc>
        <w:tc>
          <w:tcPr>
            <w:tcW w:type="dxa" w:w="4422"/>
          </w:tcPr>
          <w:p>
            <w:pPr>
              <w:jc w:val="center"/>
            </w:pPr>
            <w:r>
              <w:rPr>
                <w:sz w:val="18"/>
              </w:rPr>
              <w:t>Modelos, líneas base, intervalos y ablación</w:t>
            </w:r>
          </w:p>
        </w:tc>
      </w:tr>
      <w:tr>
        <w:tc>
          <w:tcPr>
            <w:tcW w:type="dxa" w:w="4422"/>
          </w:tcPr>
          <w:p>
            <w:pPr>
              <w:jc w:val="center"/>
            </w:pPr>
            <w:r>
              <w:rPr>
                <w:sz w:val="18"/>
              </w:rPr>
              <w:t>Calidad</w:t>
            </w:r>
          </w:p>
        </w:tc>
        <w:tc>
          <w:tcPr>
            <w:tcW w:type="dxa" w:w="4422"/>
          </w:tcPr>
          <w:p>
            <w:pPr>
              <w:jc w:val="center"/>
            </w:pPr>
            <w:r>
              <w:rPr>
                <w:sz w:val="18"/>
              </w:rPr>
              <w:t>Trazabilidad de las 52 preguntas y fuentes</w:t>
            </w:r>
          </w:p>
        </w:tc>
      </w:tr>
    </w:tbl>
    <w:p>
      <w:pPr>
        <w:spacing w:after="240"/>
      </w:pPr>
      <w:r>
        <w:rPr>
          <w:i/>
          <w:color w:val="595959"/>
          <w:sz w:val="18"/>
        </w:rPr>
        <w:t>Fuente: Elaboración propia. El tablero lee de la capa de salidas y no calcula cifras propias.</w:t>
      </w:r>
    </w:p>
    <w:p>
      <w:pPr>
        <w:spacing w:after="160" w:line="360" w:lineRule="auto"/>
        <w:jc w:val="both"/>
      </w:pPr>
      <w:r>
        <w:t>El tablero no realiza ningún cálculo: lee exclusivamente los archivos que produce el pipeline. Si un archivo falta, la vista lo indica en lugar de mostrar un valor estimado. Esa decisión de diseño garantiza que lo que se ve en pantalla y lo que dice este documento provienen del mismo origen.</w:t>
      </w:r>
    </w:p>
    <w:p>
      <w:pPr>
        <w:pStyle w:val="Heading1"/>
        <w:spacing w:before="400" w:after="160"/>
      </w:pPr>
      <w:r>
        <w:t>11. Resultados del análisis exploratorio</w:t>
      </w:r>
    </w:p>
    <w:p>
      <w:pPr>
        <w:pStyle w:val="Heading2"/>
        <w:spacing w:before="280" w:after="120"/>
      </w:pPr>
      <w:r>
        <w:t>11.1 Estado de las 52 preguntas</w:t>
      </w:r>
    </w:p>
    <w:p>
      <w:pPr>
        <w:spacing w:before="200"/>
      </w:pPr>
      <w:r>
        <w:rPr>
          <w:b/>
          <w:sz w:val="22"/>
        </w:rPr>
        <w:t>Tabla 9. Estado de las 52 preguntas del análisis exploratorio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Estado</w:t>
            </w:r>
          </w:p>
        </w:tc>
        <w:tc>
          <w:tcPr>
            <w:tcW w:type="dxa" w:w="4422"/>
          </w:tcPr>
          <w:p>
            <w:pPr>
              <w:jc w:val="center"/>
            </w:pPr>
            <w:r>
              <w:rPr>
                <w:b/>
                <w:sz w:val="18"/>
              </w:rPr>
              <w:t>Preguntas</w:t>
            </w:r>
          </w:p>
        </w:tc>
      </w:tr>
      <w:tr>
        <w:tc>
          <w:tcPr>
            <w:tcW w:type="dxa" w:w="4422"/>
          </w:tcPr>
          <w:p>
            <w:pPr>
              <w:jc w:val="center"/>
            </w:pPr>
            <w:r>
              <w:rPr>
                <w:sz w:val="18"/>
              </w:rPr>
              <w:t>ejecutada</w:t>
            </w:r>
          </w:p>
        </w:tc>
        <w:tc>
          <w:tcPr>
            <w:tcW w:type="dxa" w:w="4422"/>
          </w:tcPr>
          <w:p>
            <w:pPr>
              <w:jc w:val="center"/>
            </w:pPr>
            <w:r>
              <w:rPr>
                <w:sz w:val="18"/>
              </w:rPr>
              <w:t>38</w:t>
            </w:r>
          </w:p>
        </w:tc>
      </w:tr>
      <w:tr>
        <w:tc>
          <w:tcPr>
            <w:tcW w:type="dxa" w:w="4422"/>
          </w:tcPr>
          <w:p>
            <w:pPr>
              <w:jc w:val="center"/>
            </w:pPr>
            <w:r>
              <w:rPr>
                <w:sz w:val="18"/>
              </w:rPr>
              <w:t>no viable</w:t>
            </w:r>
          </w:p>
        </w:tc>
        <w:tc>
          <w:tcPr>
            <w:tcW w:type="dxa" w:w="4422"/>
          </w:tcPr>
          <w:p>
            <w:pPr>
              <w:jc w:val="center"/>
            </w:pPr>
            <w:r>
              <w:rPr>
                <w:sz w:val="18"/>
              </w:rPr>
              <w:t>10</w:t>
            </w:r>
          </w:p>
        </w:tc>
      </w:tr>
      <w:tr>
        <w:tc>
          <w:tcPr>
            <w:tcW w:type="dxa" w:w="4422"/>
          </w:tcPr>
          <w:p>
            <w:pPr>
              <w:jc w:val="center"/>
            </w:pPr>
            <w:r>
              <w:rPr>
                <w:sz w:val="18"/>
              </w:rPr>
              <w:t>parcial</w:t>
            </w:r>
          </w:p>
        </w:tc>
        <w:tc>
          <w:tcPr>
            <w:tcW w:type="dxa" w:w="4422"/>
          </w:tcPr>
          <w:p>
            <w:pPr>
              <w:jc w:val="center"/>
            </w:pPr>
            <w:r>
              <w:rPr>
                <w:sz w:val="18"/>
              </w:rPr>
              <w:t>4</w:t>
            </w:r>
          </w:p>
        </w:tc>
      </w:tr>
    </w:tbl>
    <w:p>
      <w:pPr>
        <w:spacing w:after="240"/>
      </w:pPr>
      <w:r>
        <w:rPr>
          <w:i/>
          <w:color w:val="595959"/>
          <w:sz w:val="18"/>
        </w:rPr>
        <w:t>Fuente: Elaboración propia. Salida del pipeline: matriz_trazabilidad_eda.csv.</w:t>
      </w:r>
    </w:p>
    <w:p>
      <w:pPr>
        <w:spacing w:after="160" w:line="360" w:lineRule="auto"/>
        <w:jc w:val="both"/>
      </w:pPr>
      <w:r>
        <w:t>Ninguna pregunta quedó sin respuesta. Las cerradas como no viables documentan dónde se buscó, qué se encontró y qué fuente haría falta. La especificación del análisis admite esa respuesta siempre que esté demostrada.</w:t>
      </w:r>
    </w:p>
    <w:p>
      <w:pPr>
        <w:pStyle w:val="Heading2"/>
        <w:spacing w:before="280" w:after="120"/>
      </w:pPr>
      <w:r>
        <w:t>11.2 Valor económico frente a volumen físico</w:t>
      </w:r>
    </w:p>
    <w:p>
      <w:pPr>
        <w:spacing w:after="160" w:line="360" w:lineRule="auto"/>
        <w:jc w:val="both"/>
      </w:pPr>
      <w:r>
        <w:t>Sobre los 101 meses comunes, el valor CIF creció un 80,4 % entre los primeros y los últimos doce meses. Descomponiendo ese crecimiento en logaritmos, el volumen aporta el 52,2 % y el valor unitario el 47,0 %. La suma no alcanza exactamente el cien por ciento porque la media de un cociente no coincide con el cociente de las medias; ese residuo es de menos de un punto.</w:t>
      </w:r>
    </w:p>
    <w:p>
      <w:pPr>
        <w:spacing w:before="120" w:after="200"/>
        <w:ind w:left="340"/>
        <w:pBdr>
          <w:left w:val="single" w:sz="18" w:space="8" w:color="1F4E79"/>
        </w:pBdr>
      </w:pPr>
      <w:r>
        <w:rPr>
          <w:b/>
          <w:color w:val="1F4E79"/>
        </w:rPr>
        <w:t>Alrededor de la mitad del crecimiento del valor importado corresponde a más mercancía y la otra mitad a mercancía más cara por kilogramo. Un total agregado no permite distinguirlo.</w:t>
      </w:r>
    </w:p>
    <w:p>
      <w:pPr>
        <w:spacing w:after="160" w:line="360" w:lineRule="auto"/>
        <w:jc w:val="both"/>
      </w:pPr>
      <w:r>
        <w:t>El valor unitario implícito medio del periodo completo es de 1,2368 dólares por kilogramo. Conviene insistir en que no es un precio: lo afectan la mezcla de mercancías, el seguro y el flete.</w:t>
      </w:r>
    </w:p>
    <w:p>
      <w:pPr>
        <w:pStyle w:val="Heading2"/>
        <w:spacing w:before="280" w:after="120"/>
      </w:pPr>
      <w:r>
        <w:t>11.3 El total portuario y sus componentes</w:t>
      </w:r>
    </w:p>
    <w:p>
      <w:pPr>
        <w:spacing w:after="160" w:line="360" w:lineRule="auto"/>
        <w:jc w:val="both"/>
      </w:pPr>
      <w:r>
        <w:t>El tráfico portuario agregado combina importación, exportación y transbordo. El transbordo es carga que llega en un buque y sale en otro sin entrar al territorio aduanero, de modo que no forma parte del comercio exterior del país.</w:t>
      </w:r>
    </w:p>
    <w:p>
      <w:pPr>
        <w:spacing w:after="160" w:line="360" w:lineRule="auto"/>
        <w:jc w:val="both"/>
      </w:pPr>
      <w:r>
        <w:t>Comparando los primeros doce meses de la serie portuaria con los últimos doce, las toneladas de importación suben un 19,6 % y las de exportación un 1,3 %, mientras el transbordo cae un -85,2 %. El total resultante baja un -13,3 %.</w:t>
      </w:r>
    </w:p>
    <w:p>
      <w:pPr>
        <w:spacing w:before="120" w:after="200"/>
        <w:ind w:left="340"/>
        <w:pBdr>
          <w:left w:val="single" w:sz="18" w:space="8" w:color="1F4E79"/>
        </w:pBdr>
      </w:pPr>
      <w:r>
        <w:rPr>
          <w:b/>
          <w:color w:val="1F4E79"/>
        </w:rPr>
        <w:t>Quien observe únicamente el total concluiría que la zona portuaria movilizó menos carga. La descomposición muestra que lo que descendió fue el transbordo, mientras la carga de importación aumentaba.</w:t>
      </w:r>
    </w:p>
    <w:p>
      <w:pPr>
        <w:spacing w:after="160" w:line="360" w:lineRule="auto"/>
        <w:jc w:val="both"/>
      </w:pPr>
      <w:r>
        <w:t>La fuente no informa por qué cambió el transbordo. Decisiones de las navieras, reasignación de rutas o cambios en el reporte son explicaciones posibles que estos datos no permiten distinguir.</w:t>
      </w:r>
    </w:p>
    <w:p>
      <w:pPr>
        <w:pStyle w:val="Heading2"/>
        <w:spacing w:before="280" w:after="120"/>
      </w:pPr>
      <w:r>
        <w:t>11.4 Concentración por país, capítulo y sociedad portuaria</w:t>
      </w:r>
    </w:p>
    <w:p>
      <w:pPr>
        <w:spacing w:before="200"/>
      </w:pPr>
      <w:r>
        <w:rPr>
          <w:b/>
          <w:sz w:val="22"/>
        </w:rPr>
        <w:t>Tabla 10. Índice de concentración por dimensión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Dimensión</w:t>
            </w:r>
          </w:p>
        </w:tc>
        <w:tc>
          <w:tcPr>
            <w:tcW w:type="dxa" w:w="2211"/>
          </w:tcPr>
          <w:p>
            <w:pPr>
              <w:jc w:val="center"/>
            </w:pPr>
            <w:r>
              <w:rPr>
                <w:b/>
                <w:sz w:val="18"/>
              </w:rPr>
              <w:t>HHI</w:t>
            </w:r>
          </w:p>
        </w:tc>
        <w:tc>
          <w:tcPr>
            <w:tcW w:type="dxa" w:w="2211"/>
          </w:tcPr>
          <w:p>
            <w:pPr>
              <w:jc w:val="center"/>
            </w:pPr>
            <w:r>
              <w:rPr>
                <w:b/>
                <w:sz w:val="18"/>
              </w:rPr>
              <w:t>Lectura</w:t>
            </w:r>
          </w:p>
        </w:tc>
        <w:tc>
          <w:tcPr>
            <w:tcW w:type="dxa" w:w="2211"/>
          </w:tcPr>
          <w:p>
            <w:pPr>
              <w:jc w:val="center"/>
            </w:pPr>
            <w:r>
              <w:rPr>
                <w:b/>
                <w:sz w:val="18"/>
              </w:rPr>
              <w:t>Dominio</w:t>
            </w:r>
          </w:p>
        </w:tc>
      </w:tr>
      <w:tr>
        <w:tc>
          <w:tcPr>
            <w:tcW w:type="dxa" w:w="2211"/>
          </w:tcPr>
          <w:p>
            <w:pPr>
              <w:jc w:val="center"/>
            </w:pPr>
            <w:r>
              <w:rPr>
                <w:sz w:val="18"/>
              </w:rPr>
              <w:t>Capítulo arancelario</w:t>
            </w:r>
          </w:p>
        </w:tc>
        <w:tc>
          <w:tcPr>
            <w:tcW w:type="dxa" w:w="2211"/>
          </w:tcPr>
          <w:p>
            <w:pPr>
              <w:jc w:val="center"/>
            </w:pPr>
            <w:r>
              <w:rPr>
                <w:sz w:val="18"/>
              </w:rPr>
              <w:t>433.74</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País de origen</w:t>
            </w:r>
          </w:p>
        </w:tc>
        <w:tc>
          <w:tcPr>
            <w:tcW w:type="dxa" w:w="2211"/>
          </w:tcPr>
          <w:p>
            <w:pPr>
              <w:jc w:val="center"/>
            </w:pPr>
            <w:r>
              <w:rPr>
                <w:sz w:val="18"/>
              </w:rPr>
              <w:t>1351.38</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Sociedad portuaria</w:t>
            </w:r>
          </w:p>
        </w:tc>
        <w:tc>
          <w:tcPr>
            <w:tcW w:type="dxa" w:w="2211"/>
          </w:tcPr>
          <w:p>
            <w:pPr>
              <w:jc w:val="center"/>
            </w:pPr>
            <w:r>
              <w:rPr>
                <w:sz w:val="18"/>
              </w:rPr>
              <w:t>3514.24</w:t>
            </w:r>
          </w:p>
        </w:tc>
        <w:tc>
          <w:tcPr>
            <w:tcW w:type="dxa" w:w="2211"/>
          </w:tcPr>
          <w:p>
            <w:pPr>
              <w:jc w:val="center"/>
            </w:pPr>
            <w:r>
              <w:rPr>
                <w:sz w:val="18"/>
              </w:rPr>
              <w:t>concentrado</w:t>
            </w:r>
          </w:p>
        </w:tc>
        <w:tc>
          <w:tcPr>
            <w:tcW w:type="dxa" w:w="2211"/>
          </w:tcPr>
          <w:p>
            <w:pPr>
              <w:jc w:val="center"/>
            </w:pPr>
            <w:r>
              <w:rPr>
                <w:sz w:val="18"/>
              </w:rPr>
              <w:t>portuario</w:t>
            </w:r>
          </w:p>
        </w:tc>
      </w:tr>
    </w:tbl>
    <w:p>
      <w:pPr>
        <w:spacing w:after="240"/>
      </w:pPr>
      <w:r>
        <w:rPr>
          <w:i/>
          <w:color w:val="595959"/>
          <w:sz w:val="18"/>
        </w:rPr>
        <w:t>Fuente: Elaboración propia. Salida del pipeline: comparacion_concentracion.csv (P17, P18, P26).</w:t>
      </w:r>
    </w:p>
    <w:p>
      <w:pPr>
        <w:spacing w:after="160" w:line="360" w:lineRule="auto"/>
        <w:jc w:val="both"/>
      </w:pPr>
      <w:r>
        <w:t>La canasta de productos tiene un índice de 433,74 y la de orígenes 1.351,38: ambas desconcentradas. La movilización, con 3.514,24, está muy por encima del umbral de 2.500. Una sola sociedad portuaria moviliza el 51,36 % de las toneladas del periodo.</w:t>
      </w:r>
    </w:p>
    <w:p>
      <w:pPr>
        <w:spacing w:after="160" w:line="360" w:lineRule="auto"/>
        <w:jc w:val="both"/>
      </w:pPr>
      <w:r>
        <w:t>Entre los años completos, el índice bajó de 4.722 en 2018 a 2.988 en 2023 y subió a 3.740 en 2025. El valor de 2026, 4.217, no es comparable: cubre seis meses y solo tres sociedades reportan. Recalculando 2025 con esas mismas tres sociedades el índice sería 4.096, de modo que la mayor parte del salto se explica por el cambio de cobertura del reporte y no por una redistribución entre las que continúan.</w:t>
      </w:r>
    </w:p>
    <w:p>
      <w:pPr>
        <w:spacing w:after="160" w:line="360" w:lineRule="auto"/>
        <w:jc w:val="both"/>
      </w:pPr>
      <w:r>
        <w:t>El índice mide reparto de toneladas reportadas. No mide capacidad instalada, utilización ni posibilidad real de sustitución entre sociedades, de modo que un valor alto no permite concluir por sí solo que exista un riesgo operativo.</w:t>
      </w:r>
    </w:p>
    <w:p>
      <w:pPr>
        <w:pStyle w:val="Heading2"/>
        <w:spacing w:before="280" w:after="120"/>
      </w:pPr>
      <w:r>
        <w:t>11.5 Especialización por tipo de carga</w:t>
      </w:r>
    </w:p>
    <w:p>
      <w:pPr>
        <w:spacing w:after="160" w:line="360" w:lineRule="auto"/>
        <w:jc w:val="both"/>
      </w:pPr>
      <w:r>
        <w:t>El índice de concentración trata a las sociedades como si fueran intercambiables. El cruce entre sociedad y tipo de carga muestra que no movilizan lo mismo: una de ellas no registró toneladas de granel en todo el periodo y otra no registró contenedores. El reparto agregado describe cuánto movilizó cada una, no si podrían movilizar la carga de las demás.</w:t>
      </w:r>
    </w:p>
    <w:p>
      <w:pPr>
        <w:pStyle w:val="Heading2"/>
        <w:spacing w:before="280" w:after="120"/>
      </w:pPr>
      <w:r>
        <w:t>11.6 Sociedades sin reporte en 2026</w:t>
      </w:r>
    </w:p>
    <w:p>
      <w:pPr>
        <w:spacing w:after="160" w:line="360" w:lineRule="auto"/>
        <w:jc w:val="both"/>
      </w:pPr>
      <w:r>
        <w:t>2 sociedades portuarias no aparecen en los reportes de los seis meses observados de 2026. Se verificó mes a mes para descartar un rezago de publicación.</w:t>
      </w:r>
    </w:p>
    <w:p>
      <w:pPr>
        <w:spacing w:after="160" w:line="360" w:lineRule="auto"/>
        <w:jc w:val="both"/>
      </w:pPr>
      <w:r>
        <w:t>La fuente registra reporte, no operación. Con estos datos solo puede afirmarse que no figuran en los reportes del periodo observado; no puede afirmarse que hayan dejado de operar. La implicación metodológica es relevante: un modelo entrenado sobre el total de la zona interpretaría esa ausencia como una contracción real del comercio.</w:t>
      </w:r>
    </w:p>
    <w:p>
      <w:pPr>
        <w:pStyle w:val="Heading2"/>
        <w:spacing w:before="280" w:after="120"/>
      </w:pPr>
      <w:r>
        <w:t>11.7 Comportamiento temporal de la serie aduanera</w:t>
      </w:r>
    </w:p>
    <w:p>
      <w:pPr>
        <w:spacing w:after="160" w:line="360" w:lineRule="auto"/>
        <w:jc w:val="both"/>
      </w:pPr>
      <w:r>
        <w:t>La autocorrelación del valor CIF con su rezago de un mes es de 0,917, y con el rezago de doce meses de 0,590. La estacionalidad existe pero es moderada: el índice va de 92,8 en el mes 6 a 104,8 en el mes 8 sobre una base de cien.</w:t>
      </w:r>
    </w:p>
    <w:p>
      <w:pPr>
        <w:spacing w:before="120" w:after="200"/>
        <w:ind w:left="340"/>
        <w:pBdr>
          <w:left w:val="single" w:sz="18" w:space="8" w:color="1F4E79"/>
        </w:pBdr>
      </w:pPr>
      <w:r>
        <w:rPr>
          <w:b/>
          <w:color w:val="1F4E79"/>
        </w:rPr>
        <w:t>Que el mes anterior pese más que el mismo mes del año pasado tiene una consecuencia directa: la referencia exigente para el modelo no es la estacional sino la de repetir el último valor observado.</w:t>
      </w:r>
    </w:p>
    <w:p>
      <w:pPr>
        <w:pStyle w:val="Heading2"/>
        <w:spacing w:before="280" w:after="120"/>
      </w:pPr>
      <w:r>
        <w:t>11.8 Relación entre los dos dominios</w:t>
      </w:r>
    </w:p>
    <w:p>
      <w:pPr>
        <w:spacing w:after="160" w:line="360" w:lineRule="auto"/>
        <w:jc w:val="both"/>
      </w:pPr>
      <w:r>
        <w:t>La razón mediana entre toneladas portuarias de importación y peso neto aduanero es de 1,16, y la correlación en variaciones mensuales es de 0,115. Las series se mueven en el mismo sentido general pero no son proporcionales, lo cual es esperable: miden universos distintos.</w:t>
      </w:r>
    </w:p>
    <w:p>
      <w:pPr>
        <w:pStyle w:val="Heading1"/>
        <w:spacing w:before="400" w:after="160"/>
      </w:pPr>
      <w:r>
        <w:t>12. Resultados del modelado</w:t>
      </w:r>
    </w:p>
    <w:p>
      <w:pPr>
        <w:pStyle w:val="Heading2"/>
        <w:spacing w:before="280" w:after="120"/>
      </w:pPr>
      <w:r>
        <w:t>12.1 Indicadores elegibles</w:t>
      </w:r>
    </w:p>
    <w:p>
      <w:pPr>
        <w:spacing w:before="200"/>
      </w:pPr>
      <w:r>
        <w:rPr>
          <w:b/>
          <w:sz w:val="22"/>
        </w:rPr>
        <w:t>Tabla 11. Elegibilidad de los indicadores candidatos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Indicador</w:t>
            </w:r>
          </w:p>
        </w:tc>
        <w:tc>
          <w:tcPr>
            <w:tcW w:type="dxa" w:w="2211"/>
          </w:tcPr>
          <w:p>
            <w:pPr>
              <w:jc w:val="center"/>
            </w:pPr>
            <w:r>
              <w:rPr>
                <w:b/>
                <w:sz w:val="18"/>
              </w:rPr>
              <w:t>Dominio</w:t>
            </w:r>
          </w:p>
        </w:tc>
        <w:tc>
          <w:tcPr>
            <w:tcW w:type="dxa" w:w="2211"/>
          </w:tcPr>
          <w:p>
            <w:pPr>
              <w:jc w:val="center"/>
            </w:pPr>
            <w:r>
              <w:rPr>
                <w:b/>
                <w:sz w:val="18"/>
              </w:rPr>
              <w:t>Observaciones</w:t>
            </w:r>
          </w:p>
        </w:tc>
        <w:tc>
          <w:tcPr>
            <w:tcW w:type="dxa" w:w="2211"/>
          </w:tcPr>
          <w:p>
            <w:pPr>
              <w:jc w:val="center"/>
            </w:pPr>
            <w:r>
              <w:rPr>
                <w:b/>
                <w:sz w:val="18"/>
              </w:rPr>
              <w:t>Elegible</w:t>
            </w:r>
          </w:p>
        </w:tc>
      </w:tr>
      <w:tr>
        <w:tc>
          <w:tcPr>
            <w:tcW w:type="dxa" w:w="2211"/>
          </w:tcPr>
          <w:p>
            <w:pPr>
              <w:jc w:val="center"/>
            </w:pPr>
            <w:r>
              <w:rPr>
                <w:sz w:val="18"/>
              </w:rPr>
              <w:t>cif_usd</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peso_neto_kg</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toneladas_totales</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ton_contenerizada</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TEU</w:t>
            </w:r>
          </w:p>
        </w:tc>
        <w:tc>
          <w:tcPr>
            <w:tcW w:type="dxa" w:w="2211"/>
          </w:tcPr>
          <w:p>
            <w:pPr>
              <w:jc w:val="center"/>
            </w:pPr>
            <w:r>
              <w:rPr>
                <w:sz w:val="18"/>
              </w:rPr>
              <w:t>portuario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arribos</w:t>
            </w:r>
          </w:p>
        </w:tc>
        <w:tc>
          <w:tcPr>
            <w:tcW w:type="dxa" w:w="2211"/>
          </w:tcPr>
          <w:p>
            <w:pPr>
              <w:jc w:val="center"/>
            </w:pPr>
            <w:r>
              <w:rPr>
                <w:sz w:val="18"/>
              </w:rPr>
              <w:t>marítimo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permanencia_media</w:t>
            </w:r>
          </w:p>
        </w:tc>
        <w:tc>
          <w:tcPr>
            <w:tcW w:type="dxa" w:w="2211"/>
          </w:tcPr>
          <w:p>
            <w:pPr>
              <w:jc w:val="center"/>
            </w:pPr>
            <w:r>
              <w:rPr>
                <w:sz w:val="18"/>
              </w:rPr>
              <w:t>operacional</w:t>
            </w:r>
          </w:p>
        </w:tc>
        <w:tc>
          <w:tcPr>
            <w:tcW w:type="dxa" w:w="2211"/>
          </w:tcPr>
          <w:p>
            <w:pPr>
              <w:jc w:val="center"/>
            </w:pPr>
            <w:r>
              <w:rPr>
                <w:sz w:val="18"/>
              </w:rPr>
              <w:t>0</w:t>
            </w:r>
          </w:p>
        </w:tc>
        <w:tc>
          <w:tcPr>
            <w:tcW w:type="dxa" w:w="2211"/>
          </w:tcPr>
          <w:p>
            <w:pPr>
              <w:jc w:val="center"/>
            </w:pPr>
            <w:r>
              <w:rPr>
                <w:sz w:val="18"/>
              </w:rPr>
              <w:t>False</w:t>
            </w:r>
          </w:p>
        </w:tc>
      </w:tr>
    </w:tbl>
    <w:p>
      <w:pPr>
        <w:spacing w:after="240"/>
      </w:pPr>
      <w:r>
        <w:rPr>
          <w:i/>
          <w:color w:val="595959"/>
          <w:sz w:val="18"/>
        </w:rPr>
        <w:t>Fuente: Elaboración propia. Salida del pipeline: elegibilidad_indicadores.csv (P46).</w:t>
      </w:r>
    </w:p>
    <w:p>
      <w:pPr>
        <w:spacing w:after="160" w:line="360" w:lineRule="auto"/>
        <w:jc w:val="both"/>
      </w:pPr>
      <w:r>
        <w:t>Tres de los siete candidatos quedan excluidos porque su fuente no existe: TEU, arribos y permanencia media no tienen ni una sola observación.</w:t>
      </w:r>
    </w:p>
    <w:p>
      <w:pPr>
        <w:pStyle w:val="Heading2"/>
        <w:spacing w:before="280" w:after="120"/>
      </w:pPr>
      <w:r>
        <w:t>12.2 Pronóstico del valor CIF</w:t>
      </w:r>
    </w:p>
    <w:p>
      <w:pPr>
        <w:spacing w:after="160" w:line="360" w:lineRule="auto"/>
        <w:jc w:val="both"/>
      </w:pPr>
      <w:r>
        <w:t>El mejor conjunto de variables es el que usa la historia propia del indicador y variables de calendario, con un WAPE de 5,875 % sobre veinticuatro cortes. Las tres líneas base obtienen 6,956 % la de repetir el último valor, 6,905 % la de extrapolar la pendiente y 16,487 % la estacional.</w:t>
      </w:r>
    </w:p>
    <w:p>
      <w:pPr>
        <w:spacing w:before="120" w:after="200"/>
        <w:ind w:left="340"/>
        <w:pBdr>
          <w:left w:val="single" w:sz="18" w:space="8" w:color="1F4E79"/>
        </w:pBdr>
      </w:pPr>
      <w:r>
        <w:rPr>
          <w:b/>
          <w:color w:val="1F4E79"/>
        </w:rPr>
        <w:t>Frente a la referencia estacional la mejora es del 64,4 %. Frente a la referencia exigente, que es repetir el último valor observado, la mejora real es del 15,5 %.</w:t>
      </w:r>
    </w:p>
    <w:p>
      <w:pPr>
        <w:spacing w:after="160" w:line="360" w:lineRule="auto"/>
        <w:jc w:val="both"/>
      </w:pPr>
      <w:r>
        <w:t>La diferencia entre ambas cifras es la razón por la que el trabajo reporta siempre las tres líneas base. Informar únicamente la estacional describiría más la debilidad de esa referencia que la calidad del modelo.</w:t>
      </w:r>
    </w:p>
    <w:p>
      <w:pPr>
        <w:pStyle w:val="Heading2"/>
        <w:spacing w:before="280" w:after="120"/>
      </w:pPr>
      <w:r>
        <w:t>12.3 Análisis de ablación</w:t>
      </w:r>
    </w:p>
    <w:p>
      <w:pPr>
        <w:spacing w:before="200"/>
      </w:pPr>
      <w:r>
        <w:rPr>
          <w:b/>
          <w:sz w:val="22"/>
        </w:rPr>
        <w:t>Tabla 12. Ablación por grupos de variables sobre el pronóstico del valor CIF</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Conjunto de variables</w:t>
            </w:r>
          </w:p>
        </w:tc>
        <w:tc>
          <w:tcPr>
            <w:tcW w:type="dxa" w:w="2211"/>
          </w:tcPr>
          <w:p>
            <w:pPr>
              <w:jc w:val="center"/>
            </w:pPr>
            <w:r>
              <w:rPr>
                <w:b/>
                <w:sz w:val="18"/>
              </w:rPr>
              <w:t>Variables</w:t>
            </w:r>
          </w:p>
        </w:tc>
        <w:tc>
          <w:tcPr>
            <w:tcW w:type="dxa" w:w="2211"/>
          </w:tcPr>
          <w:p>
            <w:pPr>
              <w:jc w:val="center"/>
            </w:pPr>
            <w:r>
              <w:rPr>
                <w:b/>
                <w:sz w:val="18"/>
              </w:rPr>
              <w:t>WAPE (%)</w:t>
            </w:r>
          </w:p>
        </w:tc>
        <w:tc>
          <w:tcPr>
            <w:tcW w:type="dxa" w:w="2211"/>
          </w:tcPr>
          <w:p>
            <w:pPr>
              <w:jc w:val="center"/>
            </w:pPr>
            <w:r>
              <w:rPr>
                <w:b/>
                <w:sz w:val="18"/>
              </w:rPr>
              <w:t>Ganancia (pp)</w:t>
            </w:r>
          </w:p>
        </w:tc>
      </w:tr>
      <w:tr>
        <w:tc>
          <w:tcPr>
            <w:tcW w:type="dxa" w:w="2211"/>
          </w:tcPr>
          <w:p>
            <w:pPr>
              <w:jc w:val="center"/>
            </w:pPr>
            <w:r>
              <w:rPr>
                <w:sz w:val="18"/>
              </w:rPr>
              <w:t>B · A + calendario</w:t>
            </w:r>
          </w:p>
        </w:tc>
        <w:tc>
          <w:tcPr>
            <w:tcW w:type="dxa" w:w="2211"/>
          </w:tcPr>
          <w:p>
            <w:pPr>
              <w:jc w:val="center"/>
            </w:pPr>
            <w:r>
              <w:rPr>
                <w:sz w:val="18"/>
              </w:rPr>
              <w:t>7</w:t>
            </w:r>
          </w:p>
        </w:tc>
        <w:tc>
          <w:tcPr>
            <w:tcW w:type="dxa" w:w="2211"/>
          </w:tcPr>
          <w:p>
            <w:pPr>
              <w:jc w:val="center"/>
            </w:pPr>
            <w:r>
              <w:rPr>
                <w:sz w:val="18"/>
              </w:rPr>
              <w:t>5.875</w:t>
            </w:r>
          </w:p>
        </w:tc>
        <w:tc>
          <w:tcPr>
            <w:tcW w:type="dxa" w:w="2211"/>
          </w:tcPr>
          <w:p>
            <w:pPr>
              <w:jc w:val="center"/>
            </w:pPr>
            <w:r>
              <w:rPr>
                <w:sz w:val="18"/>
              </w:rPr>
              <w:t>0.207</w:t>
            </w:r>
          </w:p>
        </w:tc>
      </w:tr>
      <w:tr>
        <w:tc>
          <w:tcPr>
            <w:tcW w:type="dxa" w:w="2211"/>
          </w:tcPr>
          <w:p>
            <w:pPr>
              <w:jc w:val="center"/>
            </w:pPr>
            <w:r>
              <w:rPr>
                <w:sz w:val="18"/>
              </w:rPr>
              <w:t>A · historia propia</w:t>
            </w:r>
          </w:p>
        </w:tc>
        <w:tc>
          <w:tcPr>
            <w:tcW w:type="dxa" w:w="2211"/>
          </w:tcPr>
          <w:p>
            <w:pPr>
              <w:jc w:val="center"/>
            </w:pPr>
            <w:r>
              <w:rPr>
                <w:sz w:val="18"/>
              </w:rPr>
              <w:t>5</w:t>
            </w:r>
          </w:p>
        </w:tc>
        <w:tc>
          <w:tcPr>
            <w:tcW w:type="dxa" w:w="2211"/>
          </w:tcPr>
          <w:p>
            <w:pPr>
              <w:jc w:val="center"/>
            </w:pPr>
            <w:r>
              <w:rPr>
                <w:sz w:val="18"/>
              </w:rPr>
              <w:t>6.082</w:t>
            </w:r>
          </w:p>
        </w:tc>
        <w:tc>
          <w:tcPr>
            <w:tcW w:type="dxa" w:w="2211"/>
          </w:tcPr>
          <w:p>
            <w:pPr>
              <w:jc w:val="center"/>
            </w:pPr>
            <w:r>
              <w:rPr>
                <w:sz w:val="18"/>
              </w:rPr>
              <w:t>0.0</w:t>
            </w:r>
          </w:p>
        </w:tc>
      </w:tr>
      <w:tr>
        <w:tc>
          <w:tcPr>
            <w:tcW w:type="dxa" w:w="2211"/>
          </w:tcPr>
          <w:p>
            <w:pPr>
              <w:jc w:val="center"/>
            </w:pPr>
            <w:r>
              <w:rPr>
                <w:sz w:val="18"/>
              </w:rPr>
              <w:t>D · A + contexto (TRM, ONI)</w:t>
            </w:r>
          </w:p>
        </w:tc>
        <w:tc>
          <w:tcPr>
            <w:tcW w:type="dxa" w:w="2211"/>
          </w:tcPr>
          <w:p>
            <w:pPr>
              <w:jc w:val="center"/>
            </w:pPr>
            <w:r>
              <w:rPr>
                <w:sz w:val="18"/>
              </w:rPr>
              <w:t>9</w:t>
            </w:r>
          </w:p>
        </w:tc>
        <w:tc>
          <w:tcPr>
            <w:tcW w:type="dxa" w:w="2211"/>
          </w:tcPr>
          <w:p>
            <w:pPr>
              <w:jc w:val="center"/>
            </w:pPr>
            <w:r>
              <w:rPr>
                <w:sz w:val="18"/>
              </w:rPr>
              <w:t>6.133</w:t>
            </w:r>
          </w:p>
        </w:tc>
        <w:tc>
          <w:tcPr>
            <w:tcW w:type="dxa" w:w="2211"/>
          </w:tcPr>
          <w:p>
            <w:pPr>
              <w:jc w:val="center"/>
            </w:pPr>
            <w:r>
              <w:rPr>
                <w:sz w:val="18"/>
              </w:rPr>
              <w:t>-0.051</w:t>
            </w:r>
          </w:p>
        </w:tc>
      </w:tr>
      <w:tr>
        <w:tc>
          <w:tcPr>
            <w:tcW w:type="dxa" w:w="2211"/>
          </w:tcPr>
          <w:p>
            <w:pPr>
              <w:jc w:val="center"/>
            </w:pPr>
            <w:r>
              <w:rPr>
                <w:sz w:val="18"/>
              </w:rPr>
              <w:t>E · integrado completo</w:t>
            </w:r>
          </w:p>
        </w:tc>
        <w:tc>
          <w:tcPr>
            <w:tcW w:type="dxa" w:w="2211"/>
          </w:tcPr>
          <w:p>
            <w:pPr>
              <w:jc w:val="center"/>
            </w:pPr>
            <w:r>
              <w:rPr>
                <w:sz w:val="18"/>
              </w:rPr>
              <w:t>16</w:t>
            </w:r>
          </w:p>
        </w:tc>
        <w:tc>
          <w:tcPr>
            <w:tcW w:type="dxa" w:w="2211"/>
          </w:tcPr>
          <w:p>
            <w:pPr>
              <w:jc w:val="center"/>
            </w:pPr>
            <w:r>
              <w:rPr>
                <w:sz w:val="18"/>
              </w:rPr>
              <w:t>6.167</w:t>
            </w:r>
          </w:p>
        </w:tc>
        <w:tc>
          <w:tcPr>
            <w:tcW w:type="dxa" w:w="2211"/>
          </w:tcPr>
          <w:p>
            <w:pPr>
              <w:jc w:val="center"/>
            </w:pPr>
            <w:r>
              <w:rPr>
                <w:sz w:val="18"/>
              </w:rPr>
              <w:t>-0.085</w:t>
            </w:r>
          </w:p>
        </w:tc>
      </w:tr>
      <w:tr>
        <w:tc>
          <w:tcPr>
            <w:tcW w:type="dxa" w:w="2211"/>
          </w:tcPr>
          <w:p>
            <w:pPr>
              <w:jc w:val="center"/>
            </w:pPr>
            <w:r>
              <w:rPr>
                <w:sz w:val="18"/>
              </w:rPr>
              <w:t>C · A + PUERTO</w:t>
            </w:r>
          </w:p>
        </w:tc>
        <w:tc>
          <w:tcPr>
            <w:tcW w:type="dxa" w:w="2211"/>
          </w:tcPr>
          <w:p>
            <w:pPr>
              <w:jc w:val="center"/>
            </w:pPr>
            <w:r>
              <w:rPr>
                <w:sz w:val="18"/>
              </w:rPr>
              <w:t>10</w:t>
            </w:r>
          </w:p>
        </w:tc>
        <w:tc>
          <w:tcPr>
            <w:tcW w:type="dxa" w:w="2211"/>
          </w:tcPr>
          <w:p>
            <w:pPr>
              <w:jc w:val="center"/>
            </w:pPr>
            <w:r>
              <w:rPr>
                <w:sz w:val="18"/>
              </w:rPr>
              <w:t>6.575</w:t>
            </w:r>
          </w:p>
        </w:tc>
        <w:tc>
          <w:tcPr>
            <w:tcW w:type="dxa" w:w="2211"/>
          </w:tcPr>
          <w:p>
            <w:pPr>
              <w:jc w:val="center"/>
            </w:pPr>
            <w:r>
              <w:rPr>
                <w:sz w:val="18"/>
              </w:rPr>
              <w:t>-0.493</w:t>
            </w:r>
          </w:p>
        </w:tc>
      </w:tr>
      <w:tr>
        <w:tc>
          <w:tcPr>
            <w:tcW w:type="dxa" w:w="2211"/>
          </w:tcPr>
          <w:p>
            <w:pPr>
              <w:jc w:val="center"/>
            </w:pPr>
            <w:r>
              <w:rPr>
                <w:sz w:val="18"/>
              </w:rPr>
              <w:t>base · drift</w:t>
            </w:r>
          </w:p>
        </w:tc>
        <w:tc>
          <w:tcPr>
            <w:tcW w:type="dxa" w:w="2211"/>
          </w:tcPr>
          <w:p>
            <w:pPr>
              <w:jc w:val="center"/>
            </w:pPr>
            <w:r>
              <w:rPr>
                <w:sz w:val="18"/>
              </w:rPr>
              <w:t>0</w:t>
            </w:r>
          </w:p>
        </w:tc>
        <w:tc>
          <w:tcPr>
            <w:tcW w:type="dxa" w:w="2211"/>
          </w:tcPr>
          <w:p>
            <w:pPr>
              <w:jc w:val="center"/>
            </w:pPr>
            <w:r>
              <w:rPr>
                <w:sz w:val="18"/>
              </w:rPr>
              <w:t>6.905</w:t>
            </w:r>
          </w:p>
        </w:tc>
        <w:tc>
          <w:tcPr>
            <w:tcW w:type="dxa" w:w="2211"/>
          </w:tcPr>
          <w:p>
            <w:pPr>
              <w:jc w:val="center"/>
            </w:pPr>
            <w:r>
              <w:rPr>
                <w:sz w:val="18"/>
              </w:rPr>
              <w:t>-0.823</w:t>
            </w:r>
          </w:p>
        </w:tc>
      </w:tr>
      <w:tr>
        <w:tc>
          <w:tcPr>
            <w:tcW w:type="dxa" w:w="2211"/>
          </w:tcPr>
          <w:p>
            <w:pPr>
              <w:jc w:val="center"/>
            </w:pPr>
            <w:r>
              <w:rPr>
                <w:sz w:val="18"/>
              </w:rPr>
              <w:t>base · naive_1</w:t>
            </w:r>
          </w:p>
        </w:tc>
        <w:tc>
          <w:tcPr>
            <w:tcW w:type="dxa" w:w="2211"/>
          </w:tcPr>
          <w:p>
            <w:pPr>
              <w:jc w:val="center"/>
            </w:pPr>
            <w:r>
              <w:rPr>
                <w:sz w:val="18"/>
              </w:rPr>
              <w:t>0</w:t>
            </w:r>
          </w:p>
        </w:tc>
        <w:tc>
          <w:tcPr>
            <w:tcW w:type="dxa" w:w="2211"/>
          </w:tcPr>
          <w:p>
            <w:pPr>
              <w:jc w:val="center"/>
            </w:pPr>
            <w:r>
              <w:rPr>
                <w:sz w:val="18"/>
              </w:rPr>
              <w:t>6.956</w:t>
            </w:r>
          </w:p>
        </w:tc>
        <w:tc>
          <w:tcPr>
            <w:tcW w:type="dxa" w:w="2211"/>
          </w:tcPr>
          <w:p>
            <w:pPr>
              <w:jc w:val="center"/>
            </w:pPr>
            <w:r>
              <w:rPr>
                <w:sz w:val="18"/>
              </w:rPr>
              <w:t>-0.874</w:t>
            </w:r>
          </w:p>
        </w:tc>
      </w:tr>
      <w:tr>
        <w:tc>
          <w:tcPr>
            <w:tcW w:type="dxa" w:w="2211"/>
          </w:tcPr>
          <w:p>
            <w:pPr>
              <w:jc w:val="center"/>
            </w:pPr>
            <w:r>
              <w:rPr>
                <w:sz w:val="18"/>
              </w:rPr>
              <w:t>base · naive_12</w:t>
            </w:r>
          </w:p>
        </w:tc>
        <w:tc>
          <w:tcPr>
            <w:tcW w:type="dxa" w:w="2211"/>
          </w:tcPr>
          <w:p>
            <w:pPr>
              <w:jc w:val="center"/>
            </w:pPr>
            <w:r>
              <w:rPr>
                <w:sz w:val="18"/>
              </w:rPr>
              <w:t>0</w:t>
            </w:r>
          </w:p>
        </w:tc>
        <w:tc>
          <w:tcPr>
            <w:tcW w:type="dxa" w:w="2211"/>
          </w:tcPr>
          <w:p>
            <w:pPr>
              <w:jc w:val="center"/>
            </w:pPr>
            <w:r>
              <w:rPr>
                <w:sz w:val="18"/>
              </w:rPr>
              <w:t>16.487</w:t>
            </w:r>
          </w:p>
        </w:tc>
        <w:tc>
          <w:tcPr>
            <w:tcW w:type="dxa" w:w="2211"/>
          </w:tcPr>
          <w:p>
            <w:pPr>
              <w:jc w:val="center"/>
            </w:pPr>
            <w:r>
              <w:rPr>
                <w:sz w:val="18"/>
              </w:rPr>
              <w:t>-10.405</w:t>
            </w:r>
          </w:p>
        </w:tc>
      </w:tr>
    </w:tbl>
    <w:p>
      <w:pPr>
        <w:spacing w:after="240"/>
      </w:pPr>
      <w:r>
        <w:rPr>
          <w:i/>
          <w:color w:val="595959"/>
          <w:sz w:val="18"/>
        </w:rPr>
        <w:t>Fuente: Elaboración propia. Veinticuatro cortes de validación walk-forward. Salida del pipeline: ablacion_multidominio.csv (P49).</w:t>
      </w:r>
    </w:p>
    <w:p>
      <w:pPr>
        <w:spacing w:after="160" w:line="360" w:lineRule="auto"/>
        <w:jc w:val="both"/>
      </w:pPr>
      <w:r>
        <w:t>El conjunto que añade variables portuarias obtiene 6,575 %, frente a 6,082 % del que usa solo la historia propia. El modelo integrado completo, con dieciséis variables, obtiene 6,167 %. Las variables de contexto tampoco aportan: 6,133 %.</w:t>
      </w:r>
    </w:p>
    <w:p>
      <w:pPr>
        <w:spacing w:before="120" w:after="200"/>
        <w:ind w:left="340"/>
        <w:pBdr>
          <w:left w:val="single" w:sz="18" w:space="8" w:color="1F4E79"/>
        </w:pBdr>
      </w:pPr>
      <w:r>
        <w:rPr>
          <w:b/>
          <w:color w:val="1F4E79"/>
        </w:rPr>
        <w:t>Añadir el dominio portuario no mejora el pronóstico del valor CIF: lo empeora.</w:t>
      </w:r>
    </w:p>
    <w:p>
      <w:pPr>
        <w:spacing w:after="160" w:line="360" w:lineRule="auto"/>
        <w:jc w:val="both"/>
      </w:pPr>
      <w:r>
        <w:t>La explicación es coherente con la naturaleza de las fuentes. Ambas miden el mismo comercio y comparten el rezago de publicación, de modo que el puerto no aporta información que la historia del propio valor CIF no contenga ya, y sí consume grados de libertad sobre una muestra corta. La consecuencia para el diseño del producto es directa: el componente predictivo se apoya en el dominio aduanero, y el portuario se conserva por su valor descriptivo y explicativo.</w:t>
      </w:r>
    </w:p>
    <w:p>
      <w:pPr>
        <w:pStyle w:val="Heading2"/>
        <w:spacing w:before="280" w:after="120"/>
      </w:pPr>
      <w:r>
        <w:t>12.4 Pronóstico de indicadores portuarios</w:t>
      </w:r>
    </w:p>
    <w:p>
      <w:pPr>
        <w:spacing w:after="160" w:line="360" w:lineRule="auto"/>
        <w:jc w:val="both"/>
      </w:pPr>
      <w:r>
        <w:t>Para las toneladas totales, el modelo obtiene 6,613 % frente a 9,174 % de la referencia, una mejora del 27,9 %.</w:t>
      </w:r>
    </w:p>
    <w:p>
      <w:pPr>
        <w:spacing w:after="160" w:line="360" w:lineRule="auto"/>
        <w:jc w:val="both"/>
      </w:pPr>
      <w:r>
        <w:t>Para la carga contenerizada ocurre lo contrario: la referencia obtiene 8,553 % y el modelo 9,450 %, es decir peor que repetir el último valor observado.</w:t>
      </w:r>
    </w:p>
    <w:p>
      <w:pPr>
        <w:spacing w:before="120" w:after="200"/>
        <w:ind w:left="340"/>
        <w:pBdr>
          <w:left w:val="single" w:sz="18" w:space="8" w:color="1F4E79"/>
        </w:pBdr>
      </w:pPr>
      <w:r>
        <w:rPr>
          <w:b/>
          <w:color w:val="1F4E79"/>
        </w:rPr>
        <w:t>Para la carga contenerizada se recomienda no usar modelo. Un indicador que no se pronostica mejor que la referencia trivial no debe presentarse con un modelo encima.</w:t>
      </w:r>
    </w:p>
    <w:p>
      <w:pPr>
        <w:pStyle w:val="Heading2"/>
        <w:spacing w:before="280" w:after="120"/>
      </w:pPr>
      <w:r>
        <w:t>12.5 Intervalos de predicción</w:t>
      </w:r>
    </w:p>
    <w:p>
      <w:pPr>
        <w:spacing w:before="200"/>
      </w:pPr>
      <w:r>
        <w:rPr>
          <w:b/>
          <w:sz w:val="22"/>
        </w:rPr>
        <w:t>Tabla 13. Cobertura empírica de los intervalos de predicción</w:t>
      </w:r>
    </w:p>
    <w:tbl>
      <w:tblPr>
        <w:tblStyle w:val="LightGrid-Accent1"/>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Indicador</w:t>
            </w:r>
          </w:p>
        </w:tc>
        <w:tc>
          <w:tcPr>
            <w:tcW w:type="dxa" w:w="1474"/>
          </w:tcPr>
          <w:p>
            <w:pPr>
              <w:jc w:val="center"/>
            </w:pPr>
            <w:r>
              <w:rPr>
                <w:b/>
                <w:sz w:val="18"/>
              </w:rPr>
              <w:t>Ventana</w:t>
            </w:r>
          </w:p>
        </w:tc>
        <w:tc>
          <w:tcPr>
            <w:tcW w:type="dxa" w:w="1474"/>
          </w:tcPr>
          <w:p>
            <w:pPr>
              <w:jc w:val="center"/>
            </w:pPr>
            <w:r>
              <w:rPr>
                <w:b/>
                <w:sz w:val="18"/>
              </w:rPr>
              <w:t>Nominal</w:t>
            </w:r>
          </w:p>
        </w:tc>
        <w:tc>
          <w:tcPr>
            <w:tcW w:type="dxa" w:w="1474"/>
          </w:tcPr>
          <w:p>
            <w:pPr>
              <w:jc w:val="center"/>
            </w:pPr>
            <w:r>
              <w:rPr>
                <w:b/>
                <w:sz w:val="18"/>
              </w:rPr>
              <w:t>Empírica</w:t>
            </w:r>
          </w:p>
        </w:tc>
        <w:tc>
          <w:tcPr>
            <w:tcW w:type="dxa" w:w="1474"/>
          </w:tcPr>
          <w:p>
            <w:pPr>
              <w:jc w:val="center"/>
            </w:pPr>
            <w:r>
              <w:rPr>
                <w:b/>
                <w:sz w:val="18"/>
              </w:rPr>
              <w:t>Cortes</w:t>
            </w:r>
          </w:p>
        </w:tc>
        <w:tc>
          <w:tcPr>
            <w:tcW w:type="dxa" w:w="1474"/>
          </w:tcPr>
          <w:p>
            <w:pPr>
              <w:jc w:val="center"/>
            </w:pPr>
            <w:r>
              <w:rPr>
                <w:b/>
                <w:sz w:val="18"/>
              </w:rPr>
              <w:t>Fuera</w:t>
            </w:r>
          </w:p>
        </w:tc>
      </w:tr>
      <w:tr>
        <w:tc>
          <w:tcPr>
            <w:tcW w:type="dxa" w:w="1474"/>
          </w:tcPr>
          <w:p>
            <w:pPr>
              <w:jc w:val="center"/>
            </w:pPr>
            <w:r>
              <w:rPr>
                <w:sz w:val="18"/>
              </w:rPr>
              <w:t>toneladas totales</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91,7 %</w:t>
            </w:r>
          </w:p>
        </w:tc>
        <w:tc>
          <w:tcPr>
            <w:tcW w:type="dxa" w:w="1474"/>
          </w:tcPr>
          <w:p>
            <w:pPr>
              <w:jc w:val="center"/>
            </w:pPr>
            <w:r>
              <w:rPr>
                <w:sz w:val="18"/>
              </w:rPr>
              <w:t>12</w:t>
            </w:r>
          </w:p>
        </w:tc>
        <w:tc>
          <w:tcPr>
            <w:tcW w:type="dxa" w:w="1474"/>
          </w:tcPr>
          <w:p>
            <w:pPr>
              <w:jc w:val="center"/>
            </w:pPr>
            <w:r>
              <w:rPr>
                <w:sz w:val="18"/>
              </w:rPr>
              <w:t>1</w:t>
            </w:r>
          </w:p>
        </w:tc>
      </w:tr>
      <w:tr>
        <w:tc>
          <w:tcPr>
            <w:tcW w:type="dxa" w:w="1474"/>
          </w:tcPr>
          <w:p>
            <w:pPr>
              <w:jc w:val="center"/>
            </w:pPr>
            <w:r>
              <w:rPr>
                <w:sz w:val="18"/>
              </w:rPr>
              <w:t>toneladas totales</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r>
        <w:tc>
          <w:tcPr>
            <w:tcW w:type="dxa" w:w="1474"/>
          </w:tcPr>
          <w:p>
            <w:pPr>
              <w:jc w:val="center"/>
            </w:pPr>
            <w:r>
              <w:rPr>
                <w:sz w:val="18"/>
              </w:rPr>
              <w:t>ton contenerizada naive 1 v24</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12</w:t>
            </w:r>
          </w:p>
        </w:tc>
        <w:tc>
          <w:tcPr>
            <w:tcW w:type="dxa" w:w="1474"/>
          </w:tcPr>
          <w:p>
            <w:pPr>
              <w:jc w:val="center"/>
            </w:pPr>
            <w:r>
              <w:rPr>
                <w:sz w:val="18"/>
              </w:rPr>
              <w:t>3</w:t>
            </w:r>
          </w:p>
        </w:tc>
      </w:tr>
      <w:tr>
        <w:tc>
          <w:tcPr>
            <w:tcW w:type="dxa" w:w="1474"/>
          </w:tcPr>
          <w:p>
            <w:pPr>
              <w:jc w:val="center"/>
            </w:pPr>
            <w:r>
              <w:rPr>
                <w:sz w:val="18"/>
              </w:rPr>
              <w:t>ton contenerizada naive 1 v36</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bl>
    <w:p>
      <w:pPr>
        <w:spacing w:after="240"/>
      </w:pPr>
      <w:r>
        <w:rPr>
          <w:i/>
          <w:color w:val="595959"/>
          <w:sz w:val="18"/>
        </w:rPr>
        <w:t>Fuente: Elaboración propia. Método: cuantiles empíricos de los errores fuera de muestra con calibración expansiva. Salida completa: cobertura_intervalos_portuarios.csv (P51).</w:t>
      </w:r>
    </w:p>
    <w:p>
      <w:pPr>
        <w:spacing w:after="160" w:line="360" w:lineRule="auto"/>
        <w:jc w:val="both"/>
      </w:pPr>
      <w:r>
        <w:t>La cobertura se mide y no se declara. Con 12 cortes evaluables en el caso más corto, el intervalo de confianza de la propia cobertura es amplio: un valor por debajo del nominal no permite concluir que el intervalo esté mal calibrado, del mismo modo que uno por encima no permite concluir que lo esté bien.</w:t>
      </w:r>
    </w:p>
    <w:p>
      <w:pPr>
        <w:pStyle w:val="Heading1"/>
        <w:spacing w:before="400" w:after="160"/>
      </w:pPr>
      <w:r>
        <w:t>13. Modelo de negocios</w:t>
      </w:r>
    </w:p>
    <w:p>
      <w:pPr>
        <w:spacing w:after="160" w:line="360" w:lineRule="auto"/>
        <w:jc w:val="both"/>
      </w:pPr>
      <w:r>
        <w:t>Lo que sigue es una propuesta potencial de adopción, no un modelo validado comercialmente. No se han realizado entrevistas con usuarios ni pruebas piloto, y por tanto ninguna de estas afirmaciones cuenta con evidencia de demanda.</w:t>
      </w:r>
    </w:p>
    <w:p>
      <w:pPr>
        <w:pStyle w:val="Heading2"/>
        <w:spacing w:before="280" w:after="120"/>
      </w:pPr>
      <w:r>
        <w:t>13.1 Propuesta de valor</w:t>
      </w:r>
    </w:p>
    <w:p>
      <w:pPr>
        <w:spacing w:after="160" w:line="360" w:lineRule="auto"/>
        <w:jc w:val="both"/>
      </w:pPr>
      <w:r>
        <w:t>Un producto reproducible que integra, actualiza y comunica indicadores aduaneros y portuarios de Buenaventura, con trazabilidad de cada cifra y una declaración explícita de lo que los datos no permiten afirmar.</w:t>
      </w:r>
    </w:p>
    <w:p>
      <w:pPr>
        <w:pStyle w:val="Heading2"/>
        <w:spacing w:before="280" w:after="120"/>
      </w:pPr>
      <w:r>
        <w:t>13.2 Necesidad atendida</w:t>
      </w:r>
    </w:p>
    <w:p>
      <w:pPr>
        <w:spacing w:after="160" w:line="360" w:lineRule="auto"/>
        <w:jc w:val="both"/>
      </w:pPr>
      <w:r>
        <w:t>Reducir el esfuerzo técnico de descargar, homologar, validar e interpretar dos fuentes que se publican por separado, con formatos que cambian y unidades que no son equivalentes.</w:t>
      </w:r>
    </w:p>
    <w:p>
      <w:pPr>
        <w:pStyle w:val="Heading2"/>
        <w:spacing w:before="280" w:after="120"/>
      </w:pPr>
      <w:r>
        <w:t>13.3 Usuarios potenciales, canales y sostenibilidad</w:t>
      </w:r>
    </w:p>
    <w:p>
      <w:pPr>
        <w:spacing w:before="200"/>
      </w:pPr>
      <w:r>
        <w:rPr>
          <w:b/>
          <w:sz w:val="22"/>
        </w:rPr>
        <w:t>Tabla 14. Componentes del modelo de negocios propuesto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Componente</w:t>
            </w:r>
          </w:p>
        </w:tc>
        <w:tc>
          <w:tcPr>
            <w:tcW w:type="dxa" w:w="4422"/>
          </w:tcPr>
          <w:p>
            <w:pPr>
              <w:jc w:val="center"/>
            </w:pPr>
            <w:r>
              <w:rPr>
                <w:b/>
                <w:sz w:val="18"/>
              </w:rPr>
              <w:t>Descripción</w:t>
            </w:r>
          </w:p>
        </w:tc>
      </w:tr>
      <w:tr>
        <w:tc>
          <w:tcPr>
            <w:tcW w:type="dxa" w:w="4422"/>
          </w:tcPr>
          <w:p>
            <w:pPr>
              <w:jc w:val="center"/>
            </w:pPr>
            <w:r>
              <w:rPr>
                <w:sz w:val="18"/>
              </w:rPr>
              <w:t>Usuarios potenciales</w:t>
            </w:r>
          </w:p>
        </w:tc>
        <w:tc>
          <w:tcPr>
            <w:tcW w:type="dxa" w:w="4422"/>
          </w:tcPr>
          <w:p>
            <w:pPr>
              <w:jc w:val="center"/>
            </w:pPr>
            <w:r>
              <w:rPr>
                <w:sz w:val="18"/>
              </w:rPr>
              <w:t>Entidades públicas, observatorios, universidades, gremios, analistas, importadores, sociedades portuarias y consultores</w:t>
            </w:r>
          </w:p>
        </w:tc>
      </w:tr>
      <w:tr>
        <w:tc>
          <w:tcPr>
            <w:tcW w:type="dxa" w:w="4422"/>
          </w:tcPr>
          <w:p>
            <w:pPr>
              <w:jc w:val="center"/>
            </w:pPr>
            <w:r>
              <w:rPr>
                <w:sz w:val="18"/>
              </w:rPr>
              <w:t>Producto ofrecido</w:t>
            </w:r>
          </w:p>
        </w:tc>
        <w:tc>
          <w:tcPr>
            <w:tcW w:type="dxa" w:w="4422"/>
          </w:tcPr>
          <w:p>
            <w:pPr>
              <w:jc w:val="center"/>
            </w:pPr>
            <w:r>
              <w:rPr>
                <w:sz w:val="18"/>
              </w:rPr>
              <w:t>Tablero, series mensuales, reportes, alertas, pronósticos, archivos de evidencia y actualización automatizada</w:t>
            </w:r>
          </w:p>
        </w:tc>
      </w:tr>
      <w:tr>
        <w:tc>
          <w:tcPr>
            <w:tcW w:type="dxa" w:w="4422"/>
          </w:tcPr>
          <w:p>
            <w:pPr>
              <w:jc w:val="center"/>
            </w:pPr>
            <w:r>
              <w:rPr>
                <w:sz w:val="18"/>
              </w:rPr>
              <w:t>Canales</w:t>
            </w:r>
          </w:p>
        </w:tc>
        <w:tc>
          <w:tcPr>
            <w:tcW w:type="dxa" w:w="4422"/>
          </w:tcPr>
          <w:p>
            <w:pPr>
              <w:jc w:val="center"/>
            </w:pPr>
            <w:r>
              <w:rPr>
                <w:sz w:val="18"/>
              </w:rPr>
              <w:t>Aplicación web, reportes periódicos, repositorio de código, presentaciones y exportación de archivos</w:t>
            </w:r>
          </w:p>
        </w:tc>
      </w:tr>
      <w:tr>
        <w:tc>
          <w:tcPr>
            <w:tcW w:type="dxa" w:w="4422"/>
          </w:tcPr>
          <w:p>
            <w:pPr>
              <w:jc w:val="center"/>
            </w:pPr>
            <w:r>
              <w:rPr>
                <w:sz w:val="18"/>
              </w:rPr>
              <w:t>Sostenibilidad</w:t>
            </w:r>
          </w:p>
        </w:tc>
        <w:tc>
          <w:tcPr>
            <w:tcW w:type="dxa" w:w="4422"/>
          </w:tcPr>
          <w:p>
            <w:pPr>
              <w:jc w:val="center"/>
            </w:pPr>
            <w:r>
              <w:rPr>
                <w:sz w:val="18"/>
              </w:rPr>
              <w:t>Mantenimiento institucional, consultoría, servicio de actualización, adaptación a fuentes privadas o código abierto con soporte</w:t>
            </w:r>
          </w:p>
        </w:tc>
      </w:tr>
      <w:tr>
        <w:tc>
          <w:tcPr>
            <w:tcW w:type="dxa" w:w="4422"/>
          </w:tcPr>
          <w:p>
            <w:pPr>
              <w:jc w:val="center"/>
            </w:pPr>
            <w:r>
              <w:rPr>
                <w:sz w:val="18"/>
              </w:rPr>
              <w:t>Costos</w:t>
            </w:r>
          </w:p>
        </w:tc>
        <w:tc>
          <w:tcPr>
            <w:tcW w:type="dxa" w:w="4422"/>
          </w:tcPr>
          <w:p>
            <w:pPr>
              <w:jc w:val="center"/>
            </w:pPr>
            <w:r>
              <w:rPr>
                <w:sz w:val="18"/>
              </w:rPr>
              <w:t>Infraestructura, mantenimiento del pipeline, validación mensual, almacenamiento, soporte y eventuales fuentes comerciales</w:t>
            </w:r>
          </w:p>
        </w:tc>
      </w:tr>
    </w:tbl>
    <w:p>
      <w:pPr>
        <w:spacing w:after="240"/>
      </w:pPr>
      <w:r>
        <w:rPr>
          <w:i/>
          <w:color w:val="595959"/>
          <w:sz w:val="18"/>
        </w:rPr>
        <w:t>Fuente: Elaboración propia. Propuesta no validada con usuarios.</w:t>
      </w:r>
    </w:p>
    <w:p>
      <w:pPr>
        <w:pStyle w:val="Heading2"/>
        <w:spacing w:before="280" w:after="120"/>
      </w:pPr>
      <w:r>
        <w:t>13.4 Riesgos</w:t>
      </w:r>
    </w:p>
    <w:p>
      <w:pPr>
        <w:pStyle w:val="ListBullet"/>
        <w:spacing w:after="60"/>
      </w:pPr>
      <w:r>
        <w:t>Cambios de formato en las fuentes, que ya ocurrieron cinco veces en el periodo analizado.</w:t>
      </w:r>
    </w:p>
    <w:p>
      <w:pPr>
        <w:pStyle w:val="ListBullet"/>
        <w:spacing w:after="60"/>
      </w:pPr>
      <w:r>
        <w:t>Rezagos de publicación que impiden usar el dato del mes en curso.</w:t>
      </w:r>
    </w:p>
    <w:p>
      <w:pPr>
        <w:pStyle w:val="ListBullet"/>
        <w:spacing w:after="60"/>
      </w:pPr>
      <w:r>
        <w:t>Desaparición o reestructuración de un conjunto de datos abierto.</w:t>
      </w:r>
    </w:p>
    <w:p>
      <w:pPr>
        <w:pStyle w:val="ListBullet"/>
        <w:spacing w:after="60"/>
      </w:pPr>
      <w:r>
        <w:t>Cambios de cobertura del reporte, como el observado en 2026, que alteran la serie sin que cambie el fenómeno.</w:t>
      </w:r>
    </w:p>
    <w:p>
      <w:pPr>
        <w:pStyle w:val="ListBullet"/>
        <w:spacing w:after="60"/>
      </w:pPr>
      <w:r>
        <w:t>Dependencia completa de datos públicos, sin acceso a información operativa.</w:t>
      </w:r>
    </w:p>
    <w:p>
      <w:pPr>
        <w:pStyle w:val="ListBullet"/>
        <w:spacing w:after="60"/>
      </w:pPr>
      <w:r>
        <w:t>Ausencia de datos de tiempos y buques, que limita el alcance frente a productos comerciales.</w:t>
      </w:r>
    </w:p>
    <w:p>
      <w:pPr>
        <w:pStyle w:val="Heading1"/>
        <w:spacing w:before="400" w:after="160"/>
      </w:pPr>
      <w:r>
        <w:t>14. Estrategias de comunicación</w:t>
      </w:r>
    </w:p>
    <w:p>
      <w:pPr>
        <w:spacing w:before="200"/>
      </w:pPr>
      <w:r>
        <w:rPr>
          <w:b/>
          <w:sz w:val="22"/>
        </w:rPr>
        <w:t>Tabla 15. Estrategia de comunicación por público</w:t>
      </w:r>
    </w:p>
    <w:tbl>
      <w:tblPr>
        <w:tblStyle w:val="LightGrid-Accent1"/>
        <w:tblW w:type="auto" w:w="0"/>
        <w:tblLayout w:type="fixed"/>
        <w:tblLook w:firstColumn="1" w:firstRow="1" w:lastColumn="0" w:lastRow="0" w:noHBand="0" w:noVBand="1" w:val="04A0"/>
      </w:tblPr>
      <w:tblGrid>
        <w:gridCol w:w="1768"/>
        <w:gridCol w:w="1768"/>
        <w:gridCol w:w="1768"/>
        <w:gridCol w:w="1768"/>
        <w:gridCol w:w="1768"/>
      </w:tblGrid>
      <w:tr>
        <w:trPr>
          <w:tblHeader w:val="true"/>
        </w:trPr>
        <w:tc>
          <w:tcPr>
            <w:tcW w:type="dxa" w:w="1769"/>
          </w:tcPr>
          <w:p>
            <w:pPr>
              <w:jc w:val="center"/>
            </w:pPr>
            <w:r>
              <w:rPr>
                <w:b/>
                <w:sz w:val="18"/>
              </w:rPr>
              <w:t>Público</w:t>
            </w:r>
          </w:p>
        </w:tc>
        <w:tc>
          <w:tcPr>
            <w:tcW w:type="dxa" w:w="1769"/>
          </w:tcPr>
          <w:p>
            <w:pPr>
              <w:jc w:val="center"/>
            </w:pPr>
            <w:r>
              <w:rPr>
                <w:b/>
                <w:sz w:val="18"/>
              </w:rPr>
              <w:t>Necesidad</w:t>
            </w:r>
          </w:p>
        </w:tc>
        <w:tc>
          <w:tcPr>
            <w:tcW w:type="dxa" w:w="1769"/>
          </w:tcPr>
          <w:p>
            <w:pPr>
              <w:jc w:val="center"/>
            </w:pPr>
            <w:r>
              <w:rPr>
                <w:b/>
                <w:sz w:val="18"/>
              </w:rPr>
              <w:t>Canal</w:t>
            </w:r>
          </w:p>
        </w:tc>
        <w:tc>
          <w:tcPr>
            <w:tcW w:type="dxa" w:w="1769"/>
          </w:tcPr>
          <w:p>
            <w:pPr>
              <w:jc w:val="center"/>
            </w:pPr>
            <w:r>
              <w:rPr>
                <w:b/>
                <w:sz w:val="18"/>
              </w:rPr>
              <w:t>Mensaje</w:t>
            </w:r>
          </w:p>
        </w:tc>
        <w:tc>
          <w:tcPr>
            <w:tcW w:type="dxa" w:w="1769"/>
          </w:tcPr>
          <w:p>
            <w:pPr>
              <w:jc w:val="center"/>
            </w:pPr>
            <w:r>
              <w:rPr>
                <w:b/>
                <w:sz w:val="18"/>
              </w:rPr>
              <w:t>Detalle</w:t>
            </w:r>
          </w:p>
        </w:tc>
      </w:tr>
      <w:tr>
        <w:tc>
          <w:tcPr>
            <w:tcW w:type="dxa" w:w="1769"/>
          </w:tcPr>
          <w:p>
            <w:pPr>
              <w:jc w:val="center"/>
            </w:pPr>
            <w:r>
              <w:rPr>
                <w:sz w:val="18"/>
              </w:rPr>
              <w:t>Directivos</w:t>
            </w:r>
          </w:p>
        </w:tc>
        <w:tc>
          <w:tcPr>
            <w:tcW w:type="dxa" w:w="1769"/>
          </w:tcPr>
          <w:p>
            <w:pPr>
              <w:jc w:val="center"/>
            </w:pPr>
            <w:r>
              <w:rPr>
                <w:sz w:val="18"/>
              </w:rPr>
              <w:t>Saber si algo requiere atención</w:t>
            </w:r>
          </w:p>
        </w:tc>
        <w:tc>
          <w:tcPr>
            <w:tcW w:type="dxa" w:w="1769"/>
          </w:tcPr>
          <w:p>
            <w:pPr>
              <w:jc w:val="center"/>
            </w:pPr>
            <w:r>
              <w:rPr>
                <w:sz w:val="18"/>
              </w:rPr>
              <w:t>Vista ejecutiva</w:t>
            </w:r>
          </w:p>
        </w:tc>
        <w:tc>
          <w:tcPr>
            <w:tcW w:type="dxa" w:w="1769"/>
          </w:tcPr>
          <w:p>
            <w:pPr>
              <w:jc w:val="center"/>
            </w:pPr>
            <w:r>
              <w:rPr>
                <w:sz w:val="18"/>
              </w:rPr>
              <w:t>Nivel de alerta con su razón</w:t>
            </w:r>
          </w:p>
        </w:tc>
        <w:tc>
          <w:tcPr>
            <w:tcW w:type="dxa" w:w="1769"/>
          </w:tcPr>
          <w:p>
            <w:pPr>
              <w:jc w:val="center"/>
            </w:pPr>
            <w:r>
              <w:rPr>
                <w:sz w:val="18"/>
              </w:rPr>
              <w:t>Bajo</w:t>
            </w:r>
          </w:p>
        </w:tc>
      </w:tr>
      <w:tr>
        <w:tc>
          <w:tcPr>
            <w:tcW w:type="dxa" w:w="1769"/>
          </w:tcPr>
          <w:p>
            <w:pPr>
              <w:jc w:val="center"/>
            </w:pPr>
            <w:r>
              <w:rPr>
                <w:sz w:val="18"/>
              </w:rPr>
              <w:t>Analistas</w:t>
            </w:r>
          </w:p>
        </w:tc>
        <w:tc>
          <w:tcPr>
            <w:tcW w:type="dxa" w:w="1769"/>
          </w:tcPr>
          <w:p>
            <w:pPr>
              <w:jc w:val="center"/>
            </w:pPr>
            <w:r>
              <w:rPr>
                <w:sz w:val="18"/>
              </w:rPr>
              <w:t>Preparar el informe mensual</w:t>
            </w:r>
          </w:p>
        </w:tc>
        <w:tc>
          <w:tcPr>
            <w:tcW w:type="dxa" w:w="1769"/>
          </w:tcPr>
          <w:p>
            <w:pPr>
              <w:jc w:val="center"/>
            </w:pPr>
            <w:r>
              <w:rPr>
                <w:sz w:val="18"/>
              </w:rPr>
              <w:t>Vistas aduanera y portuaria</w:t>
            </w:r>
          </w:p>
        </w:tc>
        <w:tc>
          <w:tcPr>
            <w:tcW w:type="dxa" w:w="1769"/>
          </w:tcPr>
          <w:p>
            <w:pPr>
              <w:jc w:val="center"/>
            </w:pPr>
            <w:r>
              <w:rPr>
                <w:sz w:val="18"/>
              </w:rPr>
              <w:t>Series, composición y variaciones</w:t>
            </w:r>
          </w:p>
        </w:tc>
        <w:tc>
          <w:tcPr>
            <w:tcW w:type="dxa" w:w="1769"/>
          </w:tcPr>
          <w:p>
            <w:pPr>
              <w:jc w:val="center"/>
            </w:pPr>
            <w:r>
              <w:rPr>
                <w:sz w:val="18"/>
              </w:rPr>
              <w:t>Medio</w:t>
            </w:r>
          </w:p>
        </w:tc>
      </w:tr>
      <w:tr>
        <w:tc>
          <w:tcPr>
            <w:tcW w:type="dxa" w:w="1769"/>
          </w:tcPr>
          <w:p>
            <w:pPr>
              <w:jc w:val="center"/>
            </w:pPr>
            <w:r>
              <w:rPr>
                <w:sz w:val="18"/>
              </w:rPr>
              <w:t>Investigadores</w:t>
            </w:r>
          </w:p>
        </w:tc>
        <w:tc>
          <w:tcPr>
            <w:tcW w:type="dxa" w:w="1769"/>
          </w:tcPr>
          <w:p>
            <w:pPr>
              <w:jc w:val="center"/>
            </w:pPr>
            <w:r>
              <w:rPr>
                <w:sz w:val="18"/>
              </w:rPr>
              <w:t>Reutilizar series y método</w:t>
            </w:r>
          </w:p>
        </w:tc>
        <w:tc>
          <w:tcPr>
            <w:tcW w:type="dxa" w:w="1769"/>
          </w:tcPr>
          <w:p>
            <w:pPr>
              <w:jc w:val="center"/>
            </w:pPr>
            <w:r>
              <w:rPr>
                <w:sz w:val="18"/>
              </w:rPr>
              <w:t>Repositorio y archivos</w:t>
            </w:r>
          </w:p>
        </w:tc>
        <w:tc>
          <w:tcPr>
            <w:tcW w:type="dxa" w:w="1769"/>
          </w:tcPr>
          <w:p>
            <w:pPr>
              <w:jc w:val="center"/>
            </w:pPr>
            <w:r>
              <w:rPr>
                <w:sz w:val="18"/>
              </w:rPr>
              <w:t>Datos reconciliados y trazables</w:t>
            </w:r>
          </w:p>
        </w:tc>
        <w:tc>
          <w:tcPr>
            <w:tcW w:type="dxa" w:w="1769"/>
          </w:tcPr>
          <w:p>
            <w:pPr>
              <w:jc w:val="center"/>
            </w:pPr>
            <w:r>
              <w:rPr>
                <w:sz w:val="18"/>
              </w:rPr>
              <w:t>Alto</w:t>
            </w:r>
          </w:p>
        </w:tc>
      </w:tr>
      <w:tr>
        <w:tc>
          <w:tcPr>
            <w:tcW w:type="dxa" w:w="1769"/>
          </w:tcPr>
          <w:p>
            <w:pPr>
              <w:jc w:val="center"/>
            </w:pPr>
            <w:r>
              <w:rPr>
                <w:sz w:val="18"/>
              </w:rPr>
              <w:t>Jurado académico</w:t>
            </w:r>
          </w:p>
        </w:tc>
        <w:tc>
          <w:tcPr>
            <w:tcW w:type="dxa" w:w="1769"/>
          </w:tcPr>
          <w:p>
            <w:pPr>
              <w:jc w:val="center"/>
            </w:pPr>
            <w:r>
              <w:rPr>
                <w:sz w:val="18"/>
              </w:rPr>
              <w:t>Evaluar rigor y límites</w:t>
            </w:r>
          </w:p>
        </w:tc>
        <w:tc>
          <w:tcPr>
            <w:tcW w:type="dxa" w:w="1769"/>
          </w:tcPr>
          <w:p>
            <w:pPr>
              <w:jc w:val="center"/>
            </w:pPr>
            <w:r>
              <w:rPr>
                <w:sz w:val="18"/>
              </w:rPr>
              <w:t>Documento y sustentación</w:t>
            </w:r>
          </w:p>
        </w:tc>
        <w:tc>
          <w:tcPr>
            <w:tcW w:type="dxa" w:w="1769"/>
          </w:tcPr>
          <w:p>
            <w:pPr>
              <w:jc w:val="center"/>
            </w:pPr>
            <w:r>
              <w:rPr>
                <w:sz w:val="18"/>
              </w:rPr>
              <w:t>Qué se midió y qué no se puede afirmar</w:t>
            </w:r>
          </w:p>
        </w:tc>
        <w:tc>
          <w:tcPr>
            <w:tcW w:type="dxa" w:w="1769"/>
          </w:tcPr>
          <w:p>
            <w:pPr>
              <w:jc w:val="center"/>
            </w:pPr>
            <w:r>
              <w:rPr>
                <w:sz w:val="18"/>
              </w:rPr>
              <w:t>Alto</w:t>
            </w:r>
          </w:p>
        </w:tc>
      </w:tr>
      <w:tr>
        <w:tc>
          <w:tcPr>
            <w:tcW w:type="dxa" w:w="1769"/>
          </w:tcPr>
          <w:p>
            <w:pPr>
              <w:jc w:val="center"/>
            </w:pPr>
            <w:r>
              <w:rPr>
                <w:sz w:val="18"/>
              </w:rPr>
              <w:t>Usuarios no técnicos</w:t>
            </w:r>
          </w:p>
        </w:tc>
        <w:tc>
          <w:tcPr>
            <w:tcW w:type="dxa" w:w="1769"/>
          </w:tcPr>
          <w:p>
            <w:pPr>
              <w:jc w:val="center"/>
            </w:pPr>
            <w:r>
              <w:rPr>
                <w:sz w:val="18"/>
              </w:rPr>
              <w:t>Entender la lectura</w:t>
            </w:r>
          </w:p>
        </w:tc>
        <w:tc>
          <w:tcPr>
            <w:tcW w:type="dxa" w:w="1769"/>
          </w:tcPr>
          <w:p>
            <w:pPr>
              <w:jc w:val="center"/>
            </w:pPr>
            <w:r>
              <w:rPr>
                <w:sz w:val="18"/>
              </w:rPr>
              <w:t>Tablero</w:t>
            </w:r>
          </w:p>
        </w:tc>
        <w:tc>
          <w:tcPr>
            <w:tcW w:type="dxa" w:w="1769"/>
          </w:tcPr>
          <w:p>
            <w:pPr>
              <w:jc w:val="center"/>
            </w:pPr>
            <w:r>
              <w:rPr>
                <w:sz w:val="18"/>
              </w:rPr>
              <w:t>Valor frente a volumen en lenguaje corriente</w:t>
            </w:r>
          </w:p>
        </w:tc>
        <w:tc>
          <w:tcPr>
            <w:tcW w:type="dxa" w:w="1769"/>
          </w:tcPr>
          <w:p>
            <w:pPr>
              <w:jc w:val="center"/>
            </w:pPr>
            <w:r>
              <w:rPr>
                <w:sz w:val="18"/>
              </w:rPr>
              <w:t>Bajo</w:t>
            </w:r>
          </w:p>
        </w:tc>
      </w:tr>
    </w:tbl>
    <w:p>
      <w:pPr>
        <w:spacing w:after="240"/>
      </w:pPr>
      <w:r>
        <w:rPr>
          <w:i/>
          <w:color w:val="595959"/>
          <w:sz w:val="18"/>
        </w:rPr>
        <w:t>Fuente: Elaboración propia.</w:t>
      </w:r>
    </w:p>
    <w:p>
      <w:pPr>
        <w:pStyle w:val="Heading2"/>
        <w:spacing w:before="280" w:after="120"/>
      </w:pPr>
      <w:r>
        <w:t>14.1 Criterios de comunicación</w:t>
      </w:r>
    </w:p>
    <w:p>
      <w:pPr>
        <w:spacing w:after="160" w:line="360" w:lineRule="auto"/>
        <w:jc w:val="both"/>
      </w:pPr>
      <w:r>
        <w:t>Las alertas se comunican en tres niveles, cada uno acompañado de la razón que lo activó y de una acción de revisión sugerida. Ninguna alerta constituye una orden operativa, y así se indica en la propia tarjeta del tablero.</w:t>
      </w:r>
    </w:p>
    <w:p>
      <w:pPr>
        <w:spacing w:after="160" w:line="360" w:lineRule="auto"/>
        <w:jc w:val="both"/>
      </w:pPr>
      <w:r>
        <w:t>Las limitaciones se muestran junto al resultado, no en una sección aparte al final. Cuando el producto no puede responder algo, la vista correspondiente lo declara y explica qué haría falta, en lugar de dejar el espacio vacío.</w:t>
      </w:r>
    </w:p>
    <w:p>
      <w:pPr>
        <w:spacing w:after="160" w:line="360" w:lineRule="auto"/>
        <w:jc w:val="both"/>
      </w:pPr>
      <w:r>
        <w:t>Las asociaciones entre variables se presentan siempre como asociaciones. El documento y el tablero evitan el verbo influir cuando solo existe correlación, y las correlaciones se calculan sobre series diferenciadas para no reportar relaciones espurias por tendencia común.</w:t>
      </w:r>
    </w:p>
    <w:p>
      <w:pPr>
        <w:spacing w:after="160" w:line="360" w:lineRule="auto"/>
        <w:jc w:val="both"/>
      </w:pPr>
      <w:r>
        <w:t>Las métricas técnicas se acompañan de su lectura en lenguaje corriente. Un WAPE del seis por ciento se explica como que, en promedio, la predicción se aparta un seis por ciento del valor observado. Un intervalo se explica como el rango dentro del cual cabe esperar el valor real, con la advertencia de cuántos cortes lo respaldan.</w:t>
      </w:r>
    </w:p>
    <w:p>
      <w:pPr>
        <w:pStyle w:val="Heading1"/>
        <w:spacing w:before="400" w:after="160"/>
      </w:pPr>
      <w:r>
        <w:t>15. Conclusiones</w:t>
      </w:r>
    </w:p>
    <w:p>
      <w:pPr>
        <w:spacing w:after="160" w:line="360" w:lineRule="auto"/>
        <w:jc w:val="both"/>
      </w:pPr>
      <w:r>
        <w:t>Cada conclusión corresponde a un resultado del análisis o del modelado, y puede rastrearse hasta un archivo del pipeline.</w:t>
      </w:r>
    </w:p>
    <w:p>
      <w:pPr>
        <w:pStyle w:val="ListBullet"/>
        <w:spacing w:after="60"/>
      </w:pPr>
      <w:r>
        <w:t>El proyecto es viable con el alcance construido: dos dominios integrados sobre 101 meses comunes, con 38 preguntas ejecutadas y 10 cerradas con evidencia de no viabilidad.</w:t>
      </w:r>
    </w:p>
    <w:p>
      <w:pPr>
        <w:pStyle w:val="ListBullet"/>
        <w:spacing w:after="60"/>
      </w:pPr>
      <w:r>
        <w:t>La integración entre dominios es agregada por mes calendario. No existe llave pública que permita una integración directa y no se construyó ninguna por inferencia.</w:t>
      </w:r>
    </w:p>
    <w:p>
      <w:pPr>
        <w:pStyle w:val="ListBullet"/>
        <w:spacing w:after="60"/>
      </w:pPr>
      <w:r>
        <w:t>El valor importado creció un 80,4 % en el periodo común, con un aporte del volumen del 52,2 % y del valor unitario del 47,0 %.</w:t>
      </w:r>
    </w:p>
    <w:p>
      <w:pPr>
        <w:pStyle w:val="ListBullet"/>
        <w:spacing w:after="60"/>
      </w:pPr>
      <w:r>
        <w:t>El total portuario descendió un -13,3 %, pero la carga de importación subió un 19,6 % y lo que cayó fue el transbordo, un -85,2 %.</w:t>
      </w:r>
    </w:p>
    <w:p>
      <w:pPr>
        <w:pStyle w:val="ListBullet"/>
        <w:spacing w:after="60"/>
      </w:pPr>
      <w:r>
        <w:t>La movilización está concentrada, con un índice de 3.514,24, mientras la canasta de productos y de orígenes no lo está. El índice mide reparto, no capacidad ni sustitución.</w:t>
      </w:r>
    </w:p>
    <w:p>
      <w:pPr>
        <w:pStyle w:val="ListBullet"/>
        <w:spacing w:after="60"/>
      </w:pPr>
      <w:r>
        <w:t>El modelo aduanero mejora un 15,5 % frente a la referencia exigente. Añadir el dominio portuario no mejora el pronóstico.</w:t>
      </w:r>
    </w:p>
    <w:p>
      <w:pPr>
        <w:pStyle w:val="ListBullet"/>
        <w:spacing w:after="60"/>
      </w:pPr>
      <w:r>
        <w:t>El aporte del dominio portuario es descriptivo y explicativo: permite distinguir valor de volumen y localizar por qué sociedad portuaria pasa la carga.</w:t>
      </w:r>
    </w:p>
    <w:p>
      <w:pPr>
        <w:pStyle w:val="ListBullet"/>
        <w:spacing w:after="60"/>
      </w:pPr>
      <w:r>
        <w:t>El dominio marítimo y el operativo no son viables con fuentes públicas, y esa conclusión está respaldada por la búsqueda documentada de cuatro vías de acceso.</w:t>
      </w:r>
    </w:p>
    <w:p>
      <w:pPr>
        <w:pStyle w:val="ListBullet"/>
        <w:spacing w:after="60"/>
      </w:pPr>
      <w:r>
        <w:t>Ninguna de las 52 preguntas quedó sin evidencia ni sin justificación.</w:t>
      </w:r>
    </w:p>
    <w:p>
      <w:pPr>
        <w:pStyle w:val="Heading1"/>
        <w:spacing w:before="400" w:after="160"/>
      </w:pPr>
      <w:r>
        <w:t>16. Recomendaciones</w:t>
      </w:r>
    </w:p>
    <w:p>
      <w:pPr>
        <w:pStyle w:val="ListBullet"/>
        <w:spacing w:after="60"/>
      </w:pPr>
      <w:r>
        <w:t>Conservar el modelo aduanero como componente predictivo y el portuario como componente descriptivo, según indica el análisis de ablación.</w:t>
      </w:r>
    </w:p>
    <w:p>
      <w:pPr>
        <w:pStyle w:val="ListBullet"/>
        <w:spacing w:after="60"/>
      </w:pPr>
      <w:r>
        <w:t>No pronosticar la carga contenerizada con modelo: usar la referencia de repetir el último valor, que obtuvo mejor desempeño.</w:t>
      </w:r>
    </w:p>
    <w:p>
      <w:pPr>
        <w:pStyle w:val="ListBullet"/>
        <w:spacing w:after="60"/>
      </w:pPr>
      <w:r>
        <w:t>Repetir la descarga de los microdatos en la próxima publicación para medir el efecto de las revisiones sobre la serie, hoy no evaluable con una sola descarga.</w:t>
      </w:r>
    </w:p>
    <w:p>
      <w:pPr>
        <w:pStyle w:val="ListBullet"/>
        <w:spacing w:after="60"/>
      </w:pPr>
      <w:r>
        <w:t>Traducir los códigos de país y capítulo arancelario a sus nombres oficiales antes de presentar las tablas de composición a un lector no técnico.</w:t>
      </w:r>
    </w:p>
    <w:p>
      <w:pPr>
        <w:pStyle w:val="ListBullet"/>
        <w:spacing w:after="60"/>
      </w:pPr>
      <w:r>
        <w:t>Decidir si el total portuario se modela sobre la zona completa o solo sobre las sociedades que continúan reportando, dado el cambio de cobertura observado en 2026.</w:t>
      </w:r>
    </w:p>
    <w:p>
      <w:pPr>
        <w:pStyle w:val="ListBullet"/>
        <w:spacing w:after="60"/>
      </w:pPr>
      <w:r>
        <w:t>Validar las reglas de alerta con al menos un usuario real antes de considerarlas operativas.</w:t>
      </w:r>
    </w:p>
    <w:p>
      <w:pPr>
        <w:pStyle w:val="ListBullet"/>
        <w:spacing w:after="60"/>
      </w:pPr>
      <w:r>
        <w:t>Gestionar acceso institucional a fuentes de evento si se desea abrir el dominio marítimo en una fase posterior.</w:t>
      </w:r>
    </w:p>
    <w:p>
      <w:pPr>
        <w:pStyle w:val="ListBullet"/>
        <w:spacing w:after="60"/>
      </w:pPr>
      <w:r>
        <w:t>Monitorear los cambios de formato de las fuentes, que en el periodo analizado ocurrieron cinco veces.</w:t>
      </w:r>
    </w:p>
    <w:p>
      <w:pPr>
        <w:pStyle w:val="Heading1"/>
        <w:spacing w:before="400" w:after="160"/>
      </w:pPr>
      <w:r>
        <w:t>17. Fuentes de información</w:t>
      </w:r>
    </w:p>
    <w:p>
      <w:pPr>
        <w:spacing w:after="160" w:line="360" w:lineRule="auto"/>
        <w:jc w:val="both"/>
      </w:pPr>
      <w:r>
        <w:t>Conforme a las normas APA en su séptima edición, la fecha de consulta se incluye únicamente en las fuentes diseñadas para cambiar con el tiempo y sin versión archivada. Las obras estables, como leyes, normas técnicas y manuales impresos, no la llevan.</w:t>
      </w:r>
    </w:p>
    <w:p>
      <w:pPr>
        <w:spacing w:after="120"/>
        <w:ind w:hanging="709" w:left="709"/>
        <w:jc w:val="both"/>
      </w:pPr>
      <w:r>
        <w:t>American Psychological Association. (2020). Publication Manual of the American Psychological Association (7.ª ed.). APA.</w:t>
      </w:r>
    </w:p>
    <w:p>
      <w:pPr>
        <w:spacing w:after="120"/>
        <w:ind w:hanging="709" w:left="709"/>
        <w:jc w:val="both"/>
      </w:pPr>
      <w:r>
        <w:t>Banco de la República. (2026). Tasa Representativa del Mercado (TRM) [serie estadística]. Recuperado el 6 de agosto de 2026, de https://www.banrep.gov.co/es/estadisticas/trm</w:t>
      </w:r>
    </w:p>
    <w:p>
      <w:pPr>
        <w:spacing w:after="120"/>
        <w:ind w:hanging="709" w:left="709"/>
        <w:jc w:val="both"/>
      </w:pPr>
      <w:r>
        <w:t>Congreso de la República de Colombia. (2012). Ley 1581 de 2012, por la cual se dictan disposiciones generales para la protección de datos personales. Diario Oficial No. 48.587.</w:t>
      </w:r>
    </w:p>
    <w:p>
      <w:pPr>
        <w:spacing w:after="120"/>
        <w:ind w:hanging="709" w:left="709"/>
        <w:jc w:val="both"/>
      </w:pPr>
      <w:r>
        <w:t>Congreso de la República de Colombia. (2014). Ley 1712 de 2014, por medio de la cual se crea la Ley de Transparencia y del Derecho de Acceso a la Información Pública Nacional. Diario Oficial No. 49.084.</w:t>
      </w:r>
    </w:p>
    <w:p>
      <w:pPr>
        <w:spacing w:after="120"/>
        <w:ind w:hanging="709" w:left="709"/>
        <w:jc w:val="both"/>
      </w:pPr>
      <w:r>
        <w:rPr/>
        <w:t>Departamento Administrativo Nacional de Estadística. (2025). Estadísticas de Importaciones - IMPO - 2012 A 2024 [conjunto de datos]. Archivo Nacional de Datos. Recuperado el 6 de agosto de 2026, de https://microdatos.dane.gov.co/index.php/catalog/473</w:t>
      </w:r>
    </w:p>
    <w:p>
      <w:pPr>
        <w:spacing w:after="120"/>
        <w:ind w:hanging="709" w:left="709"/>
        <w:jc w:val="both"/>
      </w:pPr>
      <w:r>
        <w:t>Departamento Administrativo Nacional de Estadística. (2026). Estadísticas de importaciones (IMPO) 2025–2026 [conjunto de datos]. Archivo Nacional de Datos. Recuperado el 6 de agosto de 2026, de https://microdatos.dane.gov.co/index.php/catalog/856</w:t>
      </w:r>
    </w:p>
    <w:p>
      <w:pPr>
        <w:spacing w:after="120"/>
        <w:ind w:hanging="709" w:left="709"/>
        <w:jc w:val="both"/>
      </w:pPr>
      <w:r>
        <w:t>Dirección General Marítima. (2026). Estadísticas trimestrales de tráfico y transporte marítimo [publicaciones trimestrales en PDF]. Recuperado el 6 de agosto de 2026, de https://www.dimar.mil.co/operaciones-estadisticas/estadisticas-de-trafico-maritimo-internacional/publicaciones-estadisticas-trimestrales-de-trafico-maritimo</w:t>
      </w:r>
    </w:p>
    <w:p>
      <w:pPr>
        <w:spacing w:after="120"/>
        <w:ind w:hanging="709" w:left="709"/>
        <w:jc w:val="both"/>
      </w:pPr>
      <w:r>
        <w:t>Hyndman, R. J., y Athanasopoulos, G. (2021). Forecasting: Principles and practice (3.ª ed.). OTexts. Recuperado el 6 de agosto de 2026, de https://otexts.com/fpp3/</w:t>
      </w:r>
    </w:p>
    <w:p>
      <w:pPr>
        <w:spacing w:after="120"/>
        <w:ind w:hanging="709" w:left="709"/>
        <w:jc w:val="both"/>
      </w:pPr>
      <w:r>
        <w:t>Instituto Colombiano de Normas Técnicas y Certificación. (2008). NTC 1486: Documentación. Presentación de tesis, trabajos de grado y otros trabajos de investigación. ICONTEC.</w:t>
      </w:r>
    </w:p>
    <w:p>
      <w:pPr>
        <w:spacing w:after="120"/>
        <w:ind w:hanging="709" w:left="709"/>
        <w:jc w:val="both"/>
      </w:pPr>
      <w:r>
        <w:t>National Oceanic and Atmospheric Administration, Climate Prediction Center. (2026). Oceanic Niño Index (ONI) [serie estadística]. Recuperado el 6 de agosto de 2026, de https://origin.cpc.ncep.noaa.gov/products/analysis_monitoring/ensostuff/ONI_v5.php</w:t>
      </w:r>
    </w:p>
    <w:p>
      <w:pPr>
        <w:spacing w:after="120"/>
        <w:ind w:hanging="709" w:left="709"/>
        <w:jc w:val="both"/>
      </w:pPr>
      <w:r>
        <w:t>Superintendencia de Transporte. (2026). Tráfico portuario marítimo en Colombia [conjunto de datos]. Datos Abiertos Colombia. Recuperado el 6 de agosto de 2026, de https://www.datos.gov.co/Transporte/Trafico-Portuario-Mar-timo-En-Colombia/5r3g-zv5z</w:t>
      </w:r>
    </w:p>
    <w:p>
      <w:pPr>
        <w:pStyle w:val="Heading2"/>
        <w:spacing w:before="280" w:after="120"/>
      </w:pPr>
      <w:r>
        <w:t>17.1 Condiciones de uso exigidas por las fuentes</w:t>
      </w:r>
    </w:p>
    <w:p>
      <w:pPr>
        <w:spacing w:after="160" w:line="360" w:lineRule="auto"/>
        <w:jc w:val="both"/>
      </w:pPr>
      <w:r>
        <w:t>El DANE exige la cita textual «Fuente: Departamento Administrativo Nacional de Estadística: www.dane.gov.co» y prohíbe la reproducción de los microdatos en medios que los pongan a disposición de múltiples usuarios sin su visto bueno escrito. Este trabajo reproduce agregados mensuales, no los microdatos originales.</w:t>
      </w:r>
    </w:p>
    <w:p>
      <w:pPr>
        <w:spacing w:after="160" w:line="360" w:lineRule="auto"/>
        <w:jc w:val="both"/>
      </w:pPr>
      <w:r>
        <w:t>El conjunto de tráfico portuario se publica bajo licencia Creative Commons Atribución-CompartirIgual 4.0 Internacional, que obliga a citar la fuente y a compartir los derivados bajo la misma licencia. La Superintendencia advierte además que sus cifras son referenciales y que solo ella puede certificarlas.</w:t>
      </w:r>
    </w:p>
    <w:p>
      <w:pPr>
        <w:spacing w:before="200"/>
      </w:pPr>
      <w:r>
        <w:rPr>
          <w:b/>
          <w:sz w:val="22"/>
        </w:rPr>
        <w:t>Tabla 16. Verificación de las fuentes en línea citadas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Fuente</w:t>
            </w:r>
          </w:p>
        </w:tc>
        <w:tc>
          <w:tcPr>
            <w:tcW w:type="dxa" w:w="2211"/>
          </w:tcPr>
          <w:p>
            <w:pPr>
              <w:jc w:val="center"/>
            </w:pPr>
            <w:r>
              <w:rPr>
                <w:b/>
                <w:sz w:val="18"/>
              </w:rPr>
              <w:t>Verificada</w:t>
            </w:r>
          </w:p>
        </w:tc>
        <w:tc>
          <w:tcPr>
            <w:tcW w:type="dxa" w:w="2211"/>
          </w:tcPr>
          <w:p>
            <w:pPr>
              <w:jc w:val="center"/>
            </w:pPr>
            <w:r>
              <w:rPr>
                <w:b/>
                <w:sz w:val="18"/>
              </w:rPr>
              <w:t>Actualizada</w:t>
            </w:r>
          </w:p>
        </w:tc>
        <w:tc>
          <w:tcPr>
            <w:tcW w:type="dxa" w:w="2211"/>
          </w:tcPr>
          <w:p>
            <w:pPr>
              <w:jc w:val="center"/>
            </w:pPr>
            <w:r>
              <w:rPr>
                <w:b/>
                <w:sz w:val="18"/>
              </w:rPr>
              <w:t>Cambia</w:t>
            </w:r>
          </w:p>
        </w:tc>
      </w:tr>
      <w:tr>
        <w:tc>
          <w:tcPr>
            <w:tcW w:type="dxa" w:w="2211"/>
          </w:tcPr>
          <w:p>
            <w:pPr>
              <w:jc w:val="center"/>
            </w:pPr>
            <w:r>
              <w:rPr>
                <w:sz w:val="18"/>
              </w:rPr>
              <w:t>DANE catálogo 473</w:t>
            </w:r>
          </w:p>
        </w:tc>
        <w:tc>
          <w:tcPr>
            <w:tcW w:type="dxa" w:w="2211"/>
          </w:tcPr>
          <w:p>
            <w:pPr>
              <w:jc w:val="center"/>
            </w:pPr>
            <w:r>
              <w:rPr>
                <w:sz w:val="18"/>
              </w:rPr>
              <w:t>2026-08-06</w:t>
            </w:r>
          </w:p>
        </w:tc>
        <w:tc>
          <w:tcPr>
            <w:tcW w:type="dxa" w:w="2211"/>
          </w:tcPr>
          <w:p>
            <w:r>
              <w:t>2025-12-22</w:t>
            </w:r>
          </w:p>
        </w:tc>
        <w:tc>
          <w:tcPr>
            <w:tcW w:type="dxa" w:w="2211"/>
          </w:tcPr>
          <w:p>
            <w:r>
              <w:t>no, periodo histórico cerrado</w:t>
            </w:r>
          </w:p>
        </w:tc>
      </w:tr>
      <w:tr>
        <w:tc>
          <w:tcPr>
            <w:tcW w:type="dxa" w:w="2211"/>
          </w:tcPr>
          <w:p>
            <w:pPr>
              <w:jc w:val="center"/>
            </w:pPr>
            <w:r>
              <w:rPr>
                <w:sz w:val="18"/>
              </w:rPr>
              <w:t>DANE catálogo 856</w:t>
            </w:r>
          </w:p>
        </w:tc>
        <w:tc>
          <w:tcPr>
            <w:tcW w:type="dxa" w:w="2211"/>
          </w:tcPr>
          <w:p>
            <w:pPr>
              <w:jc w:val="center"/>
            </w:pPr>
            <w:r>
              <w:rPr>
                <w:sz w:val="18"/>
              </w:rPr>
              <w:t>2026-08-06</w:t>
            </w:r>
          </w:p>
        </w:tc>
        <w:tc>
          <w:tcPr>
            <w:tcW w:type="dxa" w:w="2211"/>
          </w:tcPr>
          <w:p>
            <w:pPr>
              <w:jc w:val="center"/>
            </w:pPr>
            <w:r>
              <w:rPr>
                <w:sz w:val="18"/>
              </w:rPr>
              <w:t>2026-07-22</w:t>
            </w:r>
          </w:p>
        </w:tc>
        <w:tc>
          <w:tcPr>
            <w:tcW w:type="dxa" w:w="2211"/>
          </w:tcPr>
          <w:p>
            <w:pPr>
              <w:jc w:val="center"/>
            </w:pPr>
            <w:r>
              <w:rPr>
                <w:sz w:val="18"/>
              </w:rPr>
              <w:t>sí, mensual</w:t>
            </w:r>
          </w:p>
        </w:tc>
      </w:tr>
      <w:tr>
        <w:tc>
          <w:tcPr>
            <w:tcW w:type="dxa" w:w="2211"/>
          </w:tcPr>
          <w:p>
            <w:pPr>
              <w:jc w:val="center"/>
            </w:pPr>
            <w:r>
              <w:rPr>
                <w:sz w:val="18"/>
              </w:rPr>
              <w:t>Superintendencia de Transporte</w:t>
            </w:r>
          </w:p>
        </w:tc>
        <w:tc>
          <w:tcPr>
            <w:tcW w:type="dxa" w:w="2211"/>
          </w:tcPr>
          <w:p>
            <w:pPr>
              <w:jc w:val="center"/>
            </w:pPr>
            <w:r>
              <w:rPr>
                <w:sz w:val="18"/>
              </w:rPr>
              <w:t>2026-08-06</w:t>
            </w:r>
          </w:p>
        </w:tc>
        <w:tc>
          <w:tcPr>
            <w:tcW w:type="dxa" w:w="2211"/>
          </w:tcPr>
          <w:p>
            <w:r>
              <w:t>2026-07-01</w:t>
            </w:r>
          </w:p>
        </w:tc>
        <w:tc>
          <w:tcPr>
            <w:tcW w:type="dxa" w:w="2211"/>
          </w:tcPr>
          <w:p>
            <w:r>
              <w:t>sí, trimestral</w:t>
            </w:r>
          </w:p>
        </w:tc>
      </w:tr>
      <w:tr>
        <w:tc>
          <w:tcPr>
            <w:tcW w:type="dxa" w:w="2211"/>
          </w:tcPr>
          <w:p>
            <w:pPr>
              <w:jc w:val="center"/>
            </w:pPr>
            <w:r>
              <w:rPr>
                <w:sz w:val="18"/>
              </w:rPr>
              <w:t>Hyndman y Athanasopoulos</w:t>
            </w:r>
          </w:p>
        </w:tc>
        <w:tc>
          <w:tcPr>
            <w:tcW w:type="dxa" w:w="2211"/>
          </w:tcPr>
          <w:p>
            <w:pPr>
              <w:jc w:val="center"/>
            </w:pPr>
            <w:r>
              <w:rPr>
                <w:sz w:val="18"/>
              </w:rPr>
              <w:t>2026-08-06</w:t>
            </w:r>
          </w:p>
        </w:tc>
        <w:tc>
          <w:tcPr>
            <w:tcW w:type="dxa" w:w="2211"/>
          </w:tcPr>
          <w:p>
            <w:pPr>
              <w:jc w:val="center"/>
            </w:pPr>
            <w:r>
              <w:rPr>
                <w:sz w:val="18"/>
              </w:rPr>
              <w:t>2026-07-23</w:t>
            </w:r>
          </w:p>
        </w:tc>
        <w:tc>
          <w:tcPr>
            <w:tcW w:type="dxa" w:w="2211"/>
          </w:tcPr>
          <w:p>
            <w:pPr>
              <w:jc w:val="center"/>
            </w:pPr>
            <w:r>
              <w:rPr>
                <w:sz w:val="18"/>
              </w:rPr>
              <w:t>sí, edición en línea</w:t>
            </w:r>
          </w:p>
        </w:tc>
      </w:tr>
      <w:tr>
        <w:tc>
          <w:tcPr>
            <w:tcW w:type="dxa" w:w="2211"/>
          </w:tcPr>
          <w:p>
            <w:pPr>
              <w:jc w:val="center"/>
            </w:pPr>
            <w:r>
              <w:rPr>
                <w:sz w:val="18"/>
              </w:rPr>
              <w:t>Banco de la República (TRM)</w:t>
            </w:r>
          </w:p>
        </w:tc>
        <w:tc>
          <w:tcPr>
            <w:tcW w:type="dxa" w:w="2211"/>
          </w:tcPr>
          <w:p>
            <w:pPr>
              <w:jc w:val="center"/>
            </w:pPr>
            <w:r>
              <w:rPr>
                <w:sz w:val="18"/>
              </w:rPr>
              <w:t>2026-08-06</w:t>
            </w:r>
          </w:p>
        </w:tc>
        <w:tc>
          <w:tcPr>
            <w:tcW w:type="dxa" w:w="2211"/>
          </w:tcPr>
          <w:p>
            <w:pPr>
              <w:jc w:val="center"/>
            </w:pPr>
            <w:r>
              <w:rPr>
                <w:sz w:val="18"/>
              </w:rPr>
              <w:t>por verificar</w:t>
            </w:r>
          </w:p>
        </w:tc>
        <w:tc>
          <w:tcPr>
            <w:tcW w:type="dxa" w:w="2211"/>
          </w:tcPr>
          <w:p>
            <w:pPr>
              <w:jc w:val="center"/>
            </w:pPr>
            <w:r>
              <w:rPr>
                <w:sz w:val="18"/>
              </w:rPr>
              <w:t>sí, diaria</w:t>
            </w:r>
          </w:p>
        </w:tc>
      </w:tr>
      <w:tr>
        <w:tc>
          <w:tcPr>
            <w:tcW w:type="dxa" w:w="2211"/>
          </w:tcPr>
          <w:p>
            <w:pPr>
              <w:jc w:val="center"/>
            </w:pPr>
            <w:r>
              <w:rPr>
                <w:sz w:val="18"/>
              </w:rPr>
              <w:t>NOAA, índice oceánico</w:t>
            </w:r>
          </w:p>
        </w:tc>
        <w:tc>
          <w:tcPr>
            <w:tcW w:type="dxa" w:w="2211"/>
          </w:tcPr>
          <w:p>
            <w:pPr>
              <w:jc w:val="center"/>
            </w:pPr>
            <w:r>
              <w:rPr>
                <w:sz w:val="18"/>
              </w:rPr>
              <w:t>2026-08-06</w:t>
            </w:r>
          </w:p>
        </w:tc>
        <w:tc>
          <w:tcPr>
            <w:tcW w:type="dxa" w:w="2211"/>
          </w:tcPr>
          <w:p>
            <w:pPr>
              <w:jc w:val="center"/>
            </w:pPr>
            <w:r>
              <w:rPr>
                <w:sz w:val="18"/>
              </w:rPr>
              <w:t>por verificar</w:t>
            </w:r>
          </w:p>
        </w:tc>
        <w:tc>
          <w:tcPr>
            <w:tcW w:type="dxa" w:w="2211"/>
          </w:tcPr>
          <w:p>
            <w:pPr>
              <w:jc w:val="center"/>
            </w:pPr>
            <w:r>
              <w:rPr>
                <w:sz w:val="18"/>
              </w:rPr>
              <w:t>sí, mensual</w:t>
            </w:r>
          </w:p>
        </w:tc>
      </w:tr>
      <w:tr>
        <w:tc>
          <w:tcPr>
            <w:tcW w:type="dxa" w:w="2211"/>
          </w:tcPr>
          <w:p>
            <w:pPr>
              <w:jc w:val="center"/>
            </w:pPr>
            <w:r>
              <w:rPr>
                <w:sz w:val="18"/>
              </w:rPr>
              <w:t>DIMAR, boletines trimestrales</w:t>
            </w:r>
          </w:p>
        </w:tc>
        <w:tc>
          <w:tcPr>
            <w:tcW w:type="dxa" w:w="2211"/>
          </w:tcPr>
          <w:p>
            <w:pPr>
              <w:jc w:val="center"/>
            </w:pPr>
            <w:r>
              <w:rPr>
                <w:sz w:val="18"/>
              </w:rPr>
              <w:t>2026-08-06</w:t>
            </w:r>
          </w:p>
        </w:tc>
        <w:tc>
          <w:tcPr>
            <w:tcW w:type="dxa" w:w="2211"/>
          </w:tcPr>
          <w:p>
            <w:pPr>
              <w:jc w:val="center"/>
            </w:pPr>
            <w:r>
              <w:rPr>
                <w:sz w:val="18"/>
              </w:rPr>
              <w:t>2026-08-06</w:t>
            </w:r>
          </w:p>
        </w:tc>
        <w:tc>
          <w:tcPr>
            <w:tcW w:type="dxa" w:w="2211"/>
          </w:tcPr>
          <w:p>
            <w:pPr>
              <w:jc w:val="center"/>
            </w:pPr>
            <w:r>
              <w:rPr>
                <w:sz w:val="18"/>
              </w:rPr>
              <w:t>sí, trimestral</w:t>
            </w:r>
          </w:p>
        </w:tc>
      </w:tr>
    </w:tbl>
    <w:p>
      <w:pPr>
        <w:spacing w:after="240"/>
      </w:pPr>
      <w:r>
        <w:rPr>
          <w:i/>
          <w:color w:val="595959"/>
          <w:sz w:val="18"/>
        </w:rPr>
        <w:t>Fuente: Elaboración propia. Cada dirección fue consultada el 6 de agosto de 2026 y la fecha de actualización proviene de los metadatos publicados por la propia fuente.</w:t>
      </w:r>
    </w:p>
    <w:p>
      <w:r>
        <w:br w:type="page"/>
      </w:r>
    </w:p>
    <w:p>
      <w:pPr>
        <w:pStyle w:val="Heading1"/>
        <w:spacing w:before="400" w:after="160"/>
      </w:pPr>
      <w:r>
        <w:t>Anexo A. Matriz de trazabilidad P01–P52</w:t>
      </w:r>
    </w:p>
    <w:p>
      <w:pPr>
        <w:spacing w:before="200"/>
      </w:pPr>
      <w:r>
        <w:rPr>
          <w:b/>
          <w:sz w:val="22"/>
        </w:rPr>
        <w:t>Tabla 17. Estado de cada pregunta del análisis exploratorio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Bloque</w:t>
            </w:r>
          </w:p>
        </w:tc>
        <w:tc>
          <w:tcPr>
            <w:tcW w:type="dxa" w:w="2948"/>
          </w:tcPr>
          <w:p>
            <w:pPr>
              <w:jc w:val="center"/>
            </w:pPr>
            <w:r>
              <w:rPr>
                <w:b/>
                <w:sz w:val="18"/>
              </w:rPr>
              <w:t>Estado</w:t>
            </w:r>
          </w:p>
        </w:tc>
      </w:tr>
      <w:tr>
        <w:tc>
          <w:tcPr>
            <w:tcW w:type="dxa" w:w="2948"/>
          </w:tcPr>
          <w:p>
            <w:pPr>
              <w:jc w:val="center"/>
            </w:pPr>
            <w:r>
              <w:rPr>
                <w:sz w:val="18"/>
              </w:rPr>
              <w:t>P01</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P02</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P03</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P04</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P05</w:t>
            </w:r>
          </w:p>
        </w:tc>
        <w:tc>
          <w:tcPr>
            <w:tcW w:type="dxa" w:w="2948"/>
          </w:tcPr>
          <w:p>
            <w:pPr>
              <w:jc w:val="center"/>
            </w:pPr>
            <w:r>
              <w:rPr>
                <w:sz w:val="18"/>
              </w:rPr>
              <w:t>Fuentes y viabilidad</w:t>
            </w:r>
          </w:p>
        </w:tc>
        <w:tc>
          <w:tcPr>
            <w:tcW w:type="dxa" w:w="2948"/>
          </w:tcPr>
          <w:p>
            <w:pPr>
              <w:jc w:val="center"/>
            </w:pPr>
            <w:r>
              <w:rPr>
                <w:sz w:val="18"/>
              </w:rPr>
              <w:t>no viable</w:t>
            </w:r>
          </w:p>
        </w:tc>
      </w:tr>
      <w:tr>
        <w:tc>
          <w:tcPr>
            <w:tcW w:type="dxa" w:w="2948"/>
          </w:tcPr>
          <w:p>
            <w:pPr>
              <w:jc w:val="center"/>
            </w:pPr>
            <w:r>
              <w:rPr>
                <w:sz w:val="18"/>
              </w:rPr>
              <w:t>P06</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P07</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P08</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P09</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P10</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P11</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P12</w:t>
            </w:r>
          </w:p>
        </w:tc>
        <w:tc>
          <w:tcPr>
            <w:tcW w:type="dxa" w:w="2948"/>
          </w:tcPr>
          <w:p>
            <w:pPr>
              <w:jc w:val="center"/>
            </w:pPr>
            <w:r>
              <w:rPr>
                <w:sz w:val="18"/>
              </w:rPr>
              <w:t>Calidad y estructura</w:t>
            </w:r>
          </w:p>
        </w:tc>
        <w:tc>
          <w:tcPr>
            <w:tcW w:type="dxa" w:w="2948"/>
          </w:tcPr>
          <w:p>
            <w:pPr>
              <w:jc w:val="center"/>
            </w:pPr>
            <w:r>
              <w:rPr>
                <w:sz w:val="18"/>
              </w:rPr>
              <w:t>parcial</w:t>
            </w:r>
          </w:p>
        </w:tc>
      </w:tr>
      <w:tr>
        <w:tc>
          <w:tcPr>
            <w:tcW w:type="dxa" w:w="2948"/>
          </w:tcPr>
          <w:p>
            <w:pPr>
              <w:jc w:val="center"/>
            </w:pPr>
            <w:r>
              <w:rPr>
                <w:sz w:val="18"/>
              </w:rPr>
              <w:t>P13</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P14</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P15</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P16</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P17</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P18</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P19</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P20</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P21</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P22</w:t>
            </w:r>
          </w:p>
        </w:tc>
        <w:tc>
          <w:tcPr>
            <w:tcW w:type="dxa" w:w="2948"/>
          </w:tcPr>
          <w:p>
            <w:pPr>
              <w:jc w:val="center"/>
            </w:pPr>
            <w:r>
              <w:rPr>
                <w:sz w:val="18"/>
              </w:rPr>
              <w:t>Aduanas y mercancías</w:t>
            </w:r>
          </w:p>
        </w:tc>
        <w:tc>
          <w:tcPr>
            <w:tcW w:type="dxa" w:w="2948"/>
          </w:tcPr>
          <w:p>
            <w:pPr>
              <w:jc w:val="center"/>
            </w:pPr>
            <w:r>
              <w:rPr>
                <w:sz w:val="18"/>
              </w:rPr>
              <w:t>parcial</w:t>
            </w:r>
          </w:p>
        </w:tc>
      </w:tr>
      <w:tr>
        <w:tc>
          <w:tcPr>
            <w:tcW w:type="dxa" w:w="2948"/>
          </w:tcPr>
          <w:p>
            <w:pPr>
              <w:jc w:val="center"/>
            </w:pPr>
            <w:r>
              <w:rPr>
                <w:sz w:val="18"/>
              </w:rPr>
              <w:t>P23</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P24</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P25</w:t>
            </w:r>
          </w:p>
        </w:tc>
        <w:tc>
          <w:tcPr>
            <w:tcW w:type="dxa" w:w="2948"/>
          </w:tcPr>
          <w:p>
            <w:pPr>
              <w:jc w:val="center"/>
            </w:pPr>
            <w:r>
              <w:rPr>
                <w:sz w:val="18"/>
              </w:rPr>
              <w:t>Carga portuaria</w:t>
            </w:r>
          </w:p>
        </w:tc>
        <w:tc>
          <w:tcPr>
            <w:tcW w:type="dxa" w:w="2948"/>
          </w:tcPr>
          <w:p>
            <w:pPr>
              <w:jc w:val="center"/>
            </w:pPr>
            <w:r>
              <w:rPr>
                <w:sz w:val="18"/>
              </w:rPr>
              <w:t>parcial</w:t>
            </w:r>
          </w:p>
        </w:tc>
      </w:tr>
      <w:tr>
        <w:tc>
          <w:tcPr>
            <w:tcW w:type="dxa" w:w="2948"/>
          </w:tcPr>
          <w:p>
            <w:pPr>
              <w:jc w:val="center"/>
            </w:pPr>
            <w:r>
              <w:rPr>
                <w:sz w:val="18"/>
              </w:rPr>
              <w:t>P26</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P27</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P28</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P29</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P30</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P31</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P39</w:t>
            </w:r>
          </w:p>
        </w:tc>
        <w:tc>
          <w:tcPr>
            <w:tcW w:type="dxa" w:w="2948"/>
          </w:tcPr>
          <w:p>
            <w:pPr>
              <w:jc w:val="center"/>
            </w:pPr>
            <w:r>
              <w:rPr>
                <w:sz w:val="18"/>
              </w:rPr>
              <w:t>Contexto e integración</w:t>
            </w:r>
          </w:p>
        </w:tc>
        <w:tc>
          <w:tcPr>
            <w:tcW w:type="dxa" w:w="2948"/>
          </w:tcPr>
          <w:p>
            <w:pPr>
              <w:jc w:val="center"/>
            </w:pPr>
            <w:r>
              <w:rPr>
                <w:sz w:val="18"/>
              </w:rPr>
              <w:t>parcial</w:t>
            </w:r>
          </w:p>
        </w:tc>
      </w:tr>
      <w:tr>
        <w:tc>
          <w:tcPr>
            <w:tcW w:type="dxa" w:w="2948"/>
          </w:tcPr>
          <w:p>
            <w:pPr>
              <w:jc w:val="center"/>
            </w:pPr>
            <w:r>
              <w:rPr>
                <w:sz w:val="18"/>
              </w:rPr>
              <w:t>P40</w:t>
            </w:r>
          </w:p>
        </w:tc>
        <w:tc>
          <w:tcPr>
            <w:tcW w:type="dxa" w:w="2948"/>
          </w:tcPr>
          <w:p>
            <w:pPr>
              <w:jc w:val="center"/>
            </w:pPr>
            <w:r>
              <w:rPr>
                <w:sz w:val="18"/>
              </w:rPr>
              <w:t>Contexto e integración</w:t>
            </w:r>
          </w:p>
        </w:tc>
        <w:tc>
          <w:tcPr>
            <w:tcW w:type="dxa" w:w="2948"/>
          </w:tcPr>
          <w:p>
            <w:pPr>
              <w:jc w:val="center"/>
            </w:pPr>
            <w:r>
              <w:rPr>
                <w:sz w:val="18"/>
              </w:rPr>
              <w:t>no viable</w:t>
            </w:r>
          </w:p>
        </w:tc>
      </w:tr>
      <w:tr>
        <w:tc>
          <w:tcPr>
            <w:tcW w:type="dxa" w:w="2948"/>
          </w:tcPr>
          <w:p>
            <w:pPr>
              <w:jc w:val="center"/>
            </w:pPr>
            <w:r>
              <w:rPr>
                <w:sz w:val="18"/>
              </w:rPr>
              <w:t>P41</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P42</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P43</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P44</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P45</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P46</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P47</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P48</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P49</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P50</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P51</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P52</w:t>
            </w:r>
          </w:p>
        </w:tc>
        <w:tc>
          <w:tcPr>
            <w:tcW w:type="dxa" w:w="2948"/>
          </w:tcPr>
          <w:p>
            <w:pPr>
              <w:jc w:val="center"/>
            </w:pPr>
            <w:r>
              <w:rPr>
                <w:sz w:val="18"/>
              </w:rPr>
              <w:t>Pronóstico y producto</w:t>
            </w:r>
          </w:p>
        </w:tc>
        <w:tc>
          <w:tcPr>
            <w:tcW w:type="dxa" w:w="2948"/>
          </w:tcPr>
          <w:p>
            <w:pPr>
              <w:jc w:val="center"/>
            </w:pPr>
            <w:r>
              <w:rPr>
                <w:sz w:val="18"/>
              </w:rPr>
              <w:t>ejecutada</w:t>
            </w:r>
          </w:p>
        </w:tc>
      </w:tr>
    </w:tbl>
    <w:p>
      <w:pPr>
        <w:spacing w:after="240"/>
      </w:pPr>
      <w:r>
        <w:rPr>
          <w:i/>
          <w:color w:val="595959"/>
          <w:sz w:val="18"/>
        </w:rPr>
        <w:t>Fuente: Elaboración propia. Salida del pipeline: matriz_trazabilidad_eda.csv.</w:t>
      </w:r>
    </w:p>
    <w:p>
      <w:r>
        <w:br w:type="page"/>
      </w:r>
    </w:p>
    <w:p>
      <w:pPr>
        <w:pStyle w:val="Heading1"/>
        <w:spacing w:before="400" w:after="160"/>
      </w:pPr>
      <w:r>
        <w:t>Anexo B. Reporte de no viabilidad</w:t>
      </w:r>
    </w:p>
    <w:p>
      <w:pPr>
        <w:spacing w:before="200"/>
      </w:pPr>
      <w:r>
        <w:rPr>
          <w:b/>
          <w:sz w:val="22"/>
        </w:rPr>
        <w:t>Tabla 18. Preguntas cerradas por ausencia de fuente</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Tema</w:t>
            </w:r>
          </w:p>
        </w:tc>
        <w:tc>
          <w:tcPr>
            <w:tcW w:type="dxa" w:w="2948"/>
          </w:tcPr>
          <w:p>
            <w:pPr>
              <w:jc w:val="center"/>
            </w:pPr>
            <w:r>
              <w:rPr>
                <w:b/>
                <w:sz w:val="18"/>
              </w:rPr>
              <w:t>Estado</w:t>
            </w:r>
          </w:p>
        </w:tc>
      </w:tr>
      <w:tr>
        <w:tc>
          <w:tcPr>
            <w:tcW w:type="dxa" w:w="2948"/>
          </w:tcPr>
          <w:p>
            <w:pPr>
              <w:jc w:val="center"/>
            </w:pPr>
            <w:r>
              <w:rPr>
                <w:sz w:val="18"/>
              </w:rPr>
              <w:t>P31</w:t>
            </w:r>
          </w:p>
        </w:tc>
        <w:tc>
          <w:tcPr>
            <w:tcW w:type="dxa" w:w="2948"/>
          </w:tcPr>
          <w:p>
            <w:pPr>
              <w:jc w:val="center"/>
            </w:pPr>
            <w:r>
              <w:rPr>
                <w:sz w:val="18"/>
              </w:rPr>
              <w:t>arribos y zarpes por periodo</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tipos de buque y su composición</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banderas, procedencias, destinos y rutas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horarios y días de arribo, atraque y zarpe</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diferencia entre tiempos estimados y reales (ETA/ATA, ETD/ATD)</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permanencia en fondeo, terminal o puerto</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frecuencias y permanencias por buque, ruta o terminal</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calidad de identificadores, fechas e itinerarios</w:t>
            </w:r>
          </w:p>
        </w:tc>
        <w:tc>
          <w:tcPr>
            <w:tcW w:type="dxa" w:w="2948"/>
          </w:tcPr>
          <w:p>
            <w:pPr>
              <w:jc w:val="center"/>
            </w:pPr>
            <w:r>
              <w:rPr>
                <w:sz w:val="18"/>
              </w:rPr>
              <w:t>NO VIABLE</w:t>
            </w:r>
          </w:p>
        </w:tc>
      </w:tr>
    </w:tbl>
    <w:p>
      <w:pPr>
        <w:spacing w:after="240"/>
      </w:pPr>
      <w:r>
        <w:rPr>
          <w:i/>
          <w:color w:val="595959"/>
          <w:sz w:val="18"/>
        </w:rPr>
        <w:t>Fuente: Elaboración propia. Salida del pipeline: reporte_no_viabilidad.csv.</w:t>
      </w:r>
    </w:p>
    <w:p>
      <w:pPr>
        <w:spacing w:after="160" w:line="360" w:lineRule="auto"/>
        <w:jc w:val="both"/>
      </w:pPr>
      <w:r>
        <w:t>No existe fuente pública con serie histórica tabular. DIMAR publica únicamente boletines trimestrales en PDF, sin desagregación por evento. Los datos de evento (ETA, ATA, ETD, ATD, fondeo, permanencia) provienen de sistemas de terminal o de AIS comercial, sin acceso ni presupuesto.</w:t>
      </w:r>
    </w:p>
    <w:p>
      <w:pPr>
        <w:spacing w:after="160" w:line="360" w:lineRule="auto"/>
        <w:jc w:val="both"/>
      </w:pPr>
      <w:r>
        <w:t>Estas preguntas no quedaron sin responder. Su respuesta es que la fuente necesaria no existe en el ámbito público, y esa respuesta está documentada con las cuatro vías de acceso que se consultaron.</w:t>
      </w:r>
    </w:p>
    <w:p>
      <w:r>
        <w:br w:type="page"/>
      </w:r>
    </w:p>
    <w:p>
      <w:pPr>
        <w:pStyle w:val="Heading1"/>
        <w:spacing w:before="400" w:after="160"/>
      </w:pPr>
      <w:r>
        <w:t>Anexo C. Preparación para la sustentación</w:t>
      </w:r>
    </w:p>
    <w:p>
      <w:pPr>
        <w:spacing w:after="160" w:line="360" w:lineRule="auto"/>
        <w:jc w:val="both"/>
      </w:pPr>
      <w:r>
        <w:t>Este anexo es material de apoyo para la exposición oral y no forma parte del cuerpo académico del trabajo.</w:t>
      </w:r>
    </w:p>
    <w:p>
      <w:pPr>
        <w:spacing w:before="160"/>
      </w:pPr>
      <w:r>
        <w:rPr>
          <w:b/>
          <w:color w:val="1F4E79"/>
        </w:rPr>
        <w:t>¿Cuál es el problema?</w:t>
      </w:r>
    </w:p>
    <w:p>
      <w:pPr>
        <w:spacing w:after="160" w:line="360" w:lineRule="auto"/>
        <w:jc w:val="both"/>
      </w:pPr>
      <w:r>
        <w:t>Los datos aduaneros y portuarios de Buenaventura son públicos pero están separados, cambian de formato y miden cosas distintas. Sin integrarlos no se puede distinguir si el comercio creció porque entró más mercancía o porque la mercancía se encareció.</w:t>
      </w:r>
    </w:p>
    <w:p>
      <w:pPr>
        <w:spacing w:before="160"/>
      </w:pPr>
      <w:r>
        <w:rPr>
          <w:b/>
          <w:color w:val="1F4E79"/>
        </w:rPr>
        <w:t>¿Qué predice el producto?</w:t>
      </w:r>
    </w:p>
    <w:p>
      <w:pPr>
        <w:spacing w:after="160" w:line="360" w:lineRule="auto"/>
        <w:jc w:val="both"/>
      </w:pPr>
      <w:r>
        <w:t>El valor CIF y el peso neto del mes siguiente en el dominio aduanero, y las toneladas totales en el portuario. La carga contenerizada se describe pero no se modela, porque el modelo resultó peor que la referencia.</w:t>
      </w:r>
    </w:p>
    <w:p>
      <w:pPr>
        <w:spacing w:before="160"/>
      </w:pPr>
      <w:r>
        <w:rPr>
          <w:b/>
          <w:color w:val="1F4E79"/>
        </w:rPr>
        <w:t>¿Qué significa que mejore un 15,5 %?</w:t>
      </w:r>
    </w:p>
    <w:p>
      <w:pPr>
        <w:spacing w:after="160" w:line="360" w:lineRule="auto"/>
        <w:jc w:val="both"/>
      </w:pPr>
      <w:r>
        <w:t>Que el error del modelo es un 15,5 % menor que el de repetir el último valor observado. Es una mejora modesta y medida, no una estimación optimista.</w:t>
      </w:r>
    </w:p>
    <w:p>
      <w:pPr>
        <w:spacing w:before="160"/>
      </w:pPr>
      <w:r>
        <w:rPr>
          <w:b/>
          <w:color w:val="1F4E79"/>
        </w:rPr>
        <w:t>¿Por qué integrar si no mejora el pronóstico?</w:t>
      </w:r>
    </w:p>
    <w:p>
      <w:pPr>
        <w:spacing w:after="160" w:line="360" w:lineRule="auto"/>
        <w:jc w:val="both"/>
      </w:pPr>
      <w:r>
        <w:t>Porque el valor de la integración es explicativo. Permite separar volumen de valor unitario y mostrar que la caída del total portuario venía del transbordo, no del comercio. Ninguna fuente aislada permite esa lectura.</w:t>
      </w:r>
    </w:p>
    <w:p>
      <w:pPr>
        <w:spacing w:before="160"/>
      </w:pPr>
      <w:r>
        <w:rPr>
          <w:b/>
          <w:color w:val="1F4E79"/>
        </w:rPr>
        <w:t>¿Qué aporta concretamente el dominio portuario?</w:t>
      </w:r>
    </w:p>
    <w:p>
      <w:pPr>
        <w:spacing w:after="160" w:line="360" w:lineRule="auto"/>
        <w:jc w:val="both"/>
      </w:pPr>
      <w:r>
        <w:t>Tres cosas: la descomposición del total en importación, exportación y transbordo; la concentración por sociedad portuaria; y la detección del cambio de cobertura del reporte en 2026.</w:t>
      </w:r>
    </w:p>
    <w:p>
      <w:pPr>
        <w:spacing w:before="160"/>
      </w:pPr>
      <w:r>
        <w:rPr>
          <w:b/>
          <w:color w:val="1F4E79"/>
        </w:rPr>
        <w:t>¿Por qué el producto no incluye buques ni tiempos?</w:t>
      </w:r>
    </w:p>
    <w:p>
      <w:pPr>
        <w:spacing w:after="160" w:line="360" w:lineRule="auto"/>
        <w:jc w:val="both"/>
      </w:pPr>
      <w:r>
        <w:t>Porque no existe fuente pública con serie histórica tabular. Se consultaron cuatro vías y ninguna entrega datos por evento. Está documentado en el anexo B.</w:t>
      </w:r>
    </w:p>
    <w:p>
      <w:pPr>
        <w:spacing w:before="160"/>
      </w:pPr>
      <w:r>
        <w:rPr>
          <w:b/>
          <w:color w:val="1F4E79"/>
        </w:rPr>
        <w:t>¿Quién usaría el producto?</w:t>
      </w:r>
    </w:p>
    <w:p>
      <w:pPr>
        <w:spacing w:after="160" w:line="360" w:lineRule="auto"/>
        <w:jc w:val="both"/>
      </w:pPr>
      <w:r>
        <w:t>Un analista de comercio exterior que hoy dedica horas a descargar y homologar fuentes antes de poder analizar nada.</w:t>
      </w:r>
    </w:p>
    <w:p>
      <w:pPr>
        <w:spacing w:before="160"/>
      </w:pPr>
      <w:r>
        <w:rPr>
          <w:b/>
          <w:color w:val="1F4E79"/>
        </w:rPr>
        <w:t>¿Cuál es el modelo de negocios?</w:t>
      </w:r>
    </w:p>
    <w:p>
      <w:pPr>
        <w:spacing w:after="160" w:line="360" w:lineRule="auto"/>
        <w:jc w:val="both"/>
      </w:pPr>
      <w:r>
        <w:t>Una propuesta de adopción, no un modelo validado. No se han hecho entrevistas ni pilotos, y así se declara en el capítulo 13.</w:t>
      </w:r>
    </w:p>
    <w:p>
      <w:pPr>
        <w:spacing w:before="160"/>
      </w:pPr>
      <w:r>
        <w:rPr>
          <w:b/>
          <w:color w:val="1F4E79"/>
        </w:rPr>
        <w:t>¿Cómo se evita la fuga de información?</w:t>
      </w:r>
    </w:p>
    <w:p>
      <w:pPr>
        <w:spacing w:after="160" w:line="360" w:lineRule="auto"/>
        <w:jc w:val="both"/>
      </w:pPr>
      <w:r>
        <w:t>Todas las variables van rezagadas, los escaladores se ajustan dentro de cada corte y existe una prueba que detiene el proceso si una variable correlaciona casi perfecto con el objetivo del mismo mes.</w:t>
      </w:r>
    </w:p>
    <w:p>
      <w:pPr>
        <w:spacing w:before="160"/>
      </w:pPr>
      <w:r>
        <w:rPr>
          <w:b/>
          <w:color w:val="1F4E79"/>
        </w:rPr>
        <w:t>¿Qué es el HHI?</w:t>
      </w:r>
    </w:p>
    <w:p>
      <w:pPr>
        <w:spacing w:after="160" w:line="360" w:lineRule="auto"/>
        <w:jc w:val="both"/>
      </w:pPr>
      <w:r>
        <w:t>La suma de los cuadrados de las participaciones. Mide qué tan repartido está algo. Por encima de 2.500 se considera concentrado. Mide reparto, no capacidad.</w:t>
      </w:r>
    </w:p>
    <w:p>
      <w:pPr>
        <w:spacing w:before="160"/>
      </w:pPr>
      <w:r>
        <w:rPr>
          <w:b/>
          <w:color w:val="1F4E79"/>
        </w:rPr>
        <w:t>¿Qué significa una pregunta no viable?</w:t>
      </w:r>
    </w:p>
    <w:p>
      <w:pPr>
        <w:spacing w:after="160" w:line="360" w:lineRule="auto"/>
        <w:jc w:val="both"/>
      </w:pPr>
      <w:r>
        <w:t>Que se buscó la fuente, se documentó dónde y qué se encontró, y se concluyó que el dato no existe en el ámbito público. Es una respuesta, no una omisión.</w:t>
      </w:r>
    </w:p>
    <w:p>
      <w:pPr>
        <w:spacing w:before="160"/>
      </w:pPr>
      <w:r>
        <w:rPr>
          <w:b/>
          <w:color w:val="1F4E79"/>
        </w:rPr>
        <w:t>¿Cuáles son las limitaciones principales?</w:t>
      </w:r>
    </w:p>
    <w:p>
      <w:pPr>
        <w:spacing w:after="160" w:line="360" w:lineRule="auto"/>
        <w:jc w:val="both"/>
      </w:pPr>
      <w:r>
        <w:t>El valor CIF está en dólares corrientes, el valor por kilogramo no es un precio, la integración es agregada por mes y las alertas son señales de revisión, no órdenes.</w:t>
      </w:r>
    </w:p>
    <w:p>
      <w:pPr>
        <w:spacing w:before="160"/>
      </w:pPr>
      <w:r>
        <w:rPr>
          <w:b/>
          <w:color w:val="1F4E79"/>
        </w:rPr>
        <w:t>¿Qué harían en una segunda fase?</w:t>
      </w:r>
    </w:p>
    <w:p>
      <w:pPr>
        <w:spacing w:after="160" w:line="360" w:lineRule="auto"/>
        <w:jc w:val="both"/>
      </w:pPr>
      <w:r>
        <w:t>Repetir la descarga para medir revisiones, traducir los códigos a nombres, validar las alertas con un usuario real y gestionar acceso institucional a datos marítimos.</w:t>
      </w:r>
    </w:p>
    <w:sectPr w:rsidR="00FC693F" w:rsidRPr="0006063C" w:rsidSect="00034616">
      <w:footerReference w:type="default" r:id="rId9"/>
      <w:pgSz w:w="12240" w:h="15840"/>
      <w:pgMar w:top="1701" w:right="1134"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 de datos para el monitoreo, la explicación y el pronóstico de indicadores agregados de Buenaventura</dc:title>
  <dc:subject>Ingeniería del Producto de Ciencia de Datos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