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oKlavuzu"/>
        <w:tblW w:w="10207" w:type="dxa"/>
        <w:tblInd w:w="-431" w:type="dxa"/>
        <w:tblLook w:val="04A0" w:firstRow="1" w:lastRow="0" w:firstColumn="1" w:lastColumn="0" w:noHBand="0" w:noVBand="1"/>
      </w:tblPr>
      <w:tblGrid>
        <w:gridCol w:w="10207"/>
      </w:tblGrid>
      <w:tr w:rsidR="002551B4" w:rsidRPr="003333DF" w14:paraId="14B2FBE9" w14:textId="77777777" w:rsidTr="002E55B7">
        <w:tc>
          <w:tcPr>
            <w:tcW w:w="10207" w:type="dxa"/>
            <w:shd w:val="clear" w:color="auto" w:fill="B4C6E7"/>
            <w:vAlign w:val="center"/>
          </w:tcPr>
          <w:p w14:paraId="444B3813" w14:textId="77777777" w:rsidR="002551B4" w:rsidRPr="003333DF" w:rsidRDefault="002551B4" w:rsidP="002E55B7">
            <w:pPr>
              <w:pStyle w:val="Balk1"/>
              <w:framePr w:wrap="around"/>
              <w:rPr>
                <w:rFonts w:eastAsia="DejaVuSansCondensed-Bold"/>
                <w:color w:val="4F82BE"/>
              </w:rPr>
            </w:pPr>
            <w:bookmarkStart w:id="0" w:name="_Toc181015026"/>
            <w:r w:rsidRPr="003333DF">
              <w:t xml:space="preserve">EN ISO 12100 RISK </w:t>
            </w:r>
            <w:bookmarkEnd w:id="0"/>
            <w:r>
              <w:t>DEĞERLENDİRME METODU</w:t>
            </w:r>
          </w:p>
        </w:tc>
      </w:tr>
    </w:tbl>
    <w:p w14:paraId="3176C64E" w14:textId="77777777" w:rsidR="002551B4" w:rsidRPr="003333DF" w:rsidRDefault="002551B4" w:rsidP="002551B4">
      <w:pPr>
        <w:tabs>
          <w:tab w:val="left" w:pos="1890"/>
        </w:tabs>
        <w:spacing w:before="120" w:after="0" w:line="240" w:lineRule="auto"/>
        <w:rPr>
          <w:rFonts w:ascii="Arial" w:hAnsi="Arial" w:cs="Arial"/>
          <w:bCs/>
          <w:i/>
          <w:color w:val="6A6A6A"/>
          <w:sz w:val="28"/>
          <w:szCs w:val="28"/>
          <w:shd w:val="clear" w:color="auto" w:fill="FFFFFF"/>
        </w:rPr>
      </w:pPr>
      <w:r w:rsidRPr="003333DF">
        <w:rPr>
          <w:noProof/>
        </w:rPr>
        <w:drawing>
          <wp:inline distT="0" distB="0" distL="0" distR="0" wp14:anchorId="6C7D2528" wp14:editId="18075DAE">
            <wp:extent cx="5718716" cy="5715635"/>
            <wp:effectExtent l="0" t="0" r="0" b="0"/>
            <wp:docPr id="1351" name="Resim 1351" descr="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Resim 60" descr="diyagra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1"/>
                    <a:stretch/>
                  </pic:blipFill>
                  <pic:spPr bwMode="auto">
                    <a:xfrm>
                      <a:off x="0" y="0"/>
                      <a:ext cx="5719154" cy="5716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A25BB4" w14:textId="77777777" w:rsidR="002551B4" w:rsidRPr="003333DF" w:rsidRDefault="002551B4" w:rsidP="002551B4">
      <w:pPr>
        <w:tabs>
          <w:tab w:val="left" w:pos="1890"/>
        </w:tabs>
        <w:spacing w:after="0" w:line="240" w:lineRule="auto"/>
        <w:rPr>
          <w:rFonts w:ascii="Arial" w:hAnsi="Arial" w:cs="Arial"/>
          <w:bCs/>
          <w:i/>
          <w:color w:val="6A6A6A"/>
          <w:sz w:val="28"/>
          <w:szCs w:val="28"/>
          <w:shd w:val="clear" w:color="auto" w:fill="FFFFFF"/>
        </w:rPr>
      </w:pPr>
    </w:p>
    <w:p w14:paraId="53A4D92A" w14:textId="77777777" w:rsidR="002551B4" w:rsidRPr="003333DF" w:rsidRDefault="002551B4" w:rsidP="002551B4">
      <w:pPr>
        <w:tabs>
          <w:tab w:val="left" w:pos="1890"/>
        </w:tabs>
        <w:spacing w:after="0" w:line="240" w:lineRule="auto"/>
        <w:rPr>
          <w:rFonts w:ascii="Arial" w:hAnsi="Arial" w:cs="Arial"/>
          <w:bCs/>
          <w:i/>
          <w:color w:val="6A6A6A"/>
          <w:sz w:val="28"/>
          <w:szCs w:val="28"/>
          <w:shd w:val="clear" w:color="auto" w:fill="FFFFFF"/>
        </w:rPr>
      </w:pPr>
    </w:p>
    <w:p w14:paraId="762BF2C0" w14:textId="77777777" w:rsidR="002551B4" w:rsidRPr="003333DF" w:rsidRDefault="002551B4" w:rsidP="002551B4">
      <w:pPr>
        <w:tabs>
          <w:tab w:val="left" w:pos="1890"/>
        </w:tabs>
        <w:spacing w:after="0" w:line="240" w:lineRule="auto"/>
        <w:rPr>
          <w:rFonts w:ascii="Arial" w:hAnsi="Arial" w:cs="Arial"/>
          <w:bCs/>
          <w:i/>
          <w:color w:val="6A6A6A"/>
          <w:sz w:val="28"/>
          <w:szCs w:val="28"/>
          <w:shd w:val="clear" w:color="auto" w:fill="FFFFFF"/>
        </w:rPr>
      </w:pPr>
    </w:p>
    <w:p w14:paraId="0F0CAF6E" w14:textId="77777777" w:rsidR="002551B4" w:rsidRPr="00CC20A6" w:rsidRDefault="002551B4" w:rsidP="002551B4">
      <w:pPr>
        <w:tabs>
          <w:tab w:val="left" w:pos="1890"/>
        </w:tabs>
        <w:spacing w:after="0" w:line="240" w:lineRule="auto"/>
        <w:jc w:val="center"/>
        <w:rPr>
          <w:rFonts w:ascii="Arial" w:hAnsi="Arial" w:cs="Arial"/>
          <w:bCs/>
          <w:iCs/>
          <w:color w:val="6A6A6A"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iCs/>
          <w:color w:val="6A6A6A"/>
          <w:sz w:val="20"/>
          <w:szCs w:val="20"/>
          <w:shd w:val="clear" w:color="auto" w:fill="FFFFFF"/>
        </w:rPr>
        <w:t>Şekil</w:t>
      </w:r>
      <w:r w:rsidRPr="00CC20A6">
        <w:rPr>
          <w:rFonts w:ascii="Arial" w:hAnsi="Arial" w:cs="Arial"/>
          <w:bCs/>
          <w:iCs/>
          <w:color w:val="6A6A6A"/>
          <w:sz w:val="20"/>
          <w:szCs w:val="20"/>
          <w:shd w:val="clear" w:color="auto" w:fill="FFFFFF"/>
        </w:rPr>
        <w:t xml:space="preserve"> 1- Yinelemeli üç adımlı yöntem dahil olmak üzere risk azaltma sürecinin şematik gösterimi</w:t>
      </w:r>
    </w:p>
    <w:p w14:paraId="74B2D637" w14:textId="77777777" w:rsidR="002551B4" w:rsidRPr="003333DF" w:rsidRDefault="002551B4" w:rsidP="002551B4">
      <w:pPr>
        <w:tabs>
          <w:tab w:val="left" w:pos="1890"/>
        </w:tabs>
        <w:spacing w:after="0" w:line="240" w:lineRule="auto"/>
        <w:rPr>
          <w:rFonts w:ascii="Arial" w:hAnsi="Arial" w:cs="Arial"/>
          <w:bCs/>
          <w:i/>
          <w:color w:val="6A6A6A"/>
          <w:sz w:val="28"/>
          <w:szCs w:val="28"/>
          <w:shd w:val="clear" w:color="auto" w:fill="FFFFFF"/>
        </w:rPr>
      </w:pPr>
    </w:p>
    <w:p w14:paraId="3D28B711" w14:textId="77777777" w:rsidR="002551B4" w:rsidRDefault="002551B4">
      <w:pPr>
        <w:spacing w:line="278" w:lineRule="auto"/>
      </w:pPr>
      <w:r>
        <w:br w:type="page"/>
      </w:r>
    </w:p>
    <w:p w14:paraId="120E823B" w14:textId="77777777" w:rsidR="002551B4" w:rsidRDefault="002551B4" w:rsidP="002551B4"/>
    <w:tbl>
      <w:tblPr>
        <w:tblStyle w:val="TabloKlavuzu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2551B4" w:rsidRPr="003333DF" w14:paraId="2E9AFD10" w14:textId="77777777" w:rsidTr="002E55B7">
        <w:tc>
          <w:tcPr>
            <w:tcW w:w="9209" w:type="dxa"/>
            <w:shd w:val="clear" w:color="auto" w:fill="B4C6E7"/>
          </w:tcPr>
          <w:p w14:paraId="69E91A18" w14:textId="77777777" w:rsidR="002551B4" w:rsidRPr="003333DF" w:rsidRDefault="002551B4" w:rsidP="002E55B7">
            <w:pPr>
              <w:pStyle w:val="Balk1"/>
              <w:framePr w:wrap="around"/>
            </w:pPr>
            <w:bookmarkStart w:id="1" w:name="_Toc181015028"/>
            <w:r w:rsidRPr="003333DF">
              <w:t>ANALYSIS METHOD</w:t>
            </w:r>
            <w:bookmarkEnd w:id="1"/>
          </w:p>
        </w:tc>
      </w:tr>
    </w:tbl>
    <w:p w14:paraId="0AEB0956" w14:textId="77777777" w:rsidR="002551B4" w:rsidRPr="003333DF" w:rsidRDefault="002551B4" w:rsidP="002551B4">
      <w:pPr>
        <w:tabs>
          <w:tab w:val="left" w:pos="1890"/>
        </w:tabs>
        <w:spacing w:after="0" w:line="240" w:lineRule="auto"/>
        <w:rPr>
          <w:sz w:val="18"/>
          <w:szCs w:val="18"/>
        </w:rPr>
      </w:pPr>
      <w:proofErr w:type="spellStart"/>
      <w:r w:rsidRPr="003333DF">
        <w:rPr>
          <w:sz w:val="18"/>
          <w:szCs w:val="18"/>
        </w:rPr>
        <w:t>The</w:t>
      </w:r>
      <w:proofErr w:type="spellEnd"/>
      <w:r w:rsidRPr="003333DF">
        <w:rPr>
          <w:sz w:val="18"/>
          <w:szCs w:val="18"/>
        </w:rPr>
        <w:t xml:space="preserve"> '</w:t>
      </w:r>
      <w:proofErr w:type="spellStart"/>
      <w:r w:rsidRPr="003333DF">
        <w:rPr>
          <w:sz w:val="18"/>
          <w:szCs w:val="18"/>
        </w:rPr>
        <w:t>Hazard</w:t>
      </w:r>
      <w:proofErr w:type="spellEnd"/>
      <w:r w:rsidRPr="003333DF">
        <w:rPr>
          <w:sz w:val="18"/>
          <w:szCs w:val="18"/>
        </w:rPr>
        <w:t xml:space="preserve"> Rating </w:t>
      </w:r>
      <w:proofErr w:type="spellStart"/>
      <w:r w:rsidRPr="003333DF">
        <w:rPr>
          <w:sz w:val="18"/>
          <w:szCs w:val="18"/>
        </w:rPr>
        <w:t>Number</w:t>
      </w:r>
      <w:proofErr w:type="spellEnd"/>
      <w:r w:rsidRPr="003333DF">
        <w:rPr>
          <w:sz w:val="18"/>
          <w:szCs w:val="18"/>
        </w:rPr>
        <w:t xml:space="preserve">' (HRN) </w:t>
      </w:r>
      <w:proofErr w:type="spellStart"/>
      <w:r w:rsidRPr="003333DF">
        <w:rPr>
          <w:sz w:val="18"/>
          <w:szCs w:val="18"/>
        </w:rPr>
        <w:t>numerical</w:t>
      </w:r>
      <w:proofErr w:type="spell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system</w:t>
      </w:r>
      <w:proofErr w:type="spellEnd"/>
      <w:r w:rsidRPr="003333DF">
        <w:rPr>
          <w:sz w:val="18"/>
          <w:szCs w:val="18"/>
        </w:rPr>
        <w:t xml:space="preserve"> has </w:t>
      </w:r>
      <w:proofErr w:type="spellStart"/>
      <w:r w:rsidRPr="003333DF">
        <w:rPr>
          <w:sz w:val="18"/>
          <w:szCs w:val="18"/>
        </w:rPr>
        <w:t>been</w:t>
      </w:r>
      <w:proofErr w:type="spell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used</w:t>
      </w:r>
      <w:proofErr w:type="spell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to</w:t>
      </w:r>
      <w:proofErr w:type="spell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identify</w:t>
      </w:r>
      <w:proofErr w:type="spellEnd"/>
      <w:r w:rsidRPr="003333DF">
        <w:rPr>
          <w:sz w:val="18"/>
          <w:szCs w:val="18"/>
        </w:rPr>
        <w:t xml:space="preserve">, </w:t>
      </w:r>
      <w:proofErr w:type="spellStart"/>
      <w:r w:rsidRPr="003333DF">
        <w:rPr>
          <w:sz w:val="18"/>
          <w:szCs w:val="18"/>
        </w:rPr>
        <w:t>predict</w:t>
      </w:r>
      <w:proofErr w:type="spellEnd"/>
      <w:r w:rsidRPr="003333DF">
        <w:rPr>
          <w:sz w:val="18"/>
          <w:szCs w:val="18"/>
        </w:rPr>
        <w:t xml:space="preserve">, </w:t>
      </w:r>
      <w:proofErr w:type="spellStart"/>
      <w:r w:rsidRPr="003333DF">
        <w:rPr>
          <w:sz w:val="18"/>
          <w:szCs w:val="18"/>
        </w:rPr>
        <w:t>and</w:t>
      </w:r>
      <w:proofErr w:type="spell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mitigate</w:t>
      </w:r>
      <w:proofErr w:type="spell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risks</w:t>
      </w:r>
      <w:proofErr w:type="spell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arising</w:t>
      </w:r>
      <w:proofErr w:type="spell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from</w:t>
      </w:r>
      <w:proofErr w:type="spell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hazards</w:t>
      </w:r>
      <w:proofErr w:type="spell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associated</w:t>
      </w:r>
      <w:proofErr w:type="spell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with</w:t>
      </w:r>
      <w:proofErr w:type="spell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the</w:t>
      </w:r>
      <w:proofErr w:type="spell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equipment</w:t>
      </w:r>
      <w:proofErr w:type="spellEnd"/>
      <w:r w:rsidRPr="003333DF">
        <w:rPr>
          <w:sz w:val="18"/>
          <w:szCs w:val="18"/>
        </w:rPr>
        <w:t xml:space="preserve">. </w:t>
      </w:r>
      <w:proofErr w:type="spellStart"/>
      <w:r w:rsidRPr="003333DF">
        <w:rPr>
          <w:sz w:val="18"/>
          <w:szCs w:val="18"/>
        </w:rPr>
        <w:t>This</w:t>
      </w:r>
      <w:proofErr w:type="spell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methodology</w:t>
      </w:r>
      <w:proofErr w:type="spell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utilizes</w:t>
      </w:r>
      <w:proofErr w:type="spellEnd"/>
      <w:r w:rsidRPr="003333DF">
        <w:rPr>
          <w:sz w:val="18"/>
          <w:szCs w:val="18"/>
        </w:rPr>
        <w:t xml:space="preserve"> an </w:t>
      </w:r>
      <w:proofErr w:type="spellStart"/>
      <w:r w:rsidRPr="003333DF">
        <w:rPr>
          <w:sz w:val="18"/>
          <w:szCs w:val="18"/>
        </w:rPr>
        <w:t>assessment</w:t>
      </w:r>
      <w:proofErr w:type="spellEnd"/>
      <w:r w:rsidRPr="003333DF">
        <w:rPr>
          <w:sz w:val="18"/>
          <w:szCs w:val="18"/>
        </w:rPr>
        <w:t xml:space="preserve"> of </w:t>
      </w:r>
      <w:proofErr w:type="spellStart"/>
      <w:r w:rsidRPr="003333DF">
        <w:rPr>
          <w:sz w:val="18"/>
          <w:szCs w:val="18"/>
        </w:rPr>
        <w:t>the</w:t>
      </w:r>
      <w:proofErr w:type="spell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following</w:t>
      </w:r>
      <w:proofErr w:type="spell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factors</w:t>
      </w:r>
      <w:proofErr w:type="spellEnd"/>
      <w:r w:rsidRPr="003333DF">
        <w:rPr>
          <w:sz w:val="18"/>
          <w:szCs w:val="18"/>
        </w:rPr>
        <w:t>:</w:t>
      </w:r>
    </w:p>
    <w:p w14:paraId="75D1D665" w14:textId="77777777" w:rsidR="002551B4" w:rsidRPr="003333DF" w:rsidRDefault="002551B4" w:rsidP="002551B4">
      <w:pPr>
        <w:pStyle w:val="ListeParagraf"/>
        <w:numPr>
          <w:ilvl w:val="0"/>
          <w:numId w:val="1"/>
        </w:numPr>
        <w:tabs>
          <w:tab w:val="left" w:pos="1890"/>
        </w:tabs>
        <w:spacing w:after="0" w:line="240" w:lineRule="auto"/>
        <w:rPr>
          <w:sz w:val="18"/>
          <w:szCs w:val="18"/>
        </w:rPr>
      </w:pPr>
      <w:proofErr w:type="spellStart"/>
      <w:r w:rsidRPr="003333DF">
        <w:rPr>
          <w:sz w:val="18"/>
          <w:szCs w:val="18"/>
        </w:rPr>
        <w:t>Degree</w:t>
      </w:r>
      <w:proofErr w:type="spellEnd"/>
      <w:r w:rsidRPr="003333DF">
        <w:rPr>
          <w:sz w:val="18"/>
          <w:szCs w:val="18"/>
        </w:rPr>
        <w:t xml:space="preserve"> Of </w:t>
      </w:r>
      <w:proofErr w:type="spellStart"/>
      <w:r w:rsidRPr="003333DF">
        <w:rPr>
          <w:sz w:val="18"/>
          <w:szCs w:val="18"/>
        </w:rPr>
        <w:t>Possible</w:t>
      </w:r>
      <w:proofErr w:type="spell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Harm</w:t>
      </w:r>
      <w:proofErr w:type="spellEnd"/>
      <w:r w:rsidRPr="003333DF">
        <w:rPr>
          <w:sz w:val="18"/>
          <w:szCs w:val="18"/>
        </w:rPr>
        <w:t xml:space="preserve"> (DPH):</w:t>
      </w:r>
    </w:p>
    <w:p w14:paraId="0E1ADCB3" w14:textId="77777777" w:rsidR="002551B4" w:rsidRPr="003333DF" w:rsidRDefault="002551B4" w:rsidP="002551B4">
      <w:pPr>
        <w:pStyle w:val="ListeParagraf"/>
        <w:numPr>
          <w:ilvl w:val="0"/>
          <w:numId w:val="1"/>
        </w:numPr>
        <w:tabs>
          <w:tab w:val="left" w:pos="1890"/>
        </w:tabs>
        <w:spacing w:after="0" w:line="240" w:lineRule="auto"/>
        <w:rPr>
          <w:sz w:val="18"/>
          <w:szCs w:val="18"/>
        </w:rPr>
      </w:pPr>
      <w:proofErr w:type="spellStart"/>
      <w:r w:rsidRPr="003333DF">
        <w:rPr>
          <w:sz w:val="18"/>
          <w:szCs w:val="18"/>
        </w:rPr>
        <w:t>Likelihood</w:t>
      </w:r>
      <w:proofErr w:type="spellEnd"/>
      <w:r w:rsidRPr="003333DF">
        <w:rPr>
          <w:sz w:val="18"/>
          <w:szCs w:val="18"/>
        </w:rPr>
        <w:t xml:space="preserve"> of </w:t>
      </w:r>
      <w:proofErr w:type="spellStart"/>
      <w:r w:rsidRPr="003333DF">
        <w:rPr>
          <w:sz w:val="18"/>
          <w:szCs w:val="18"/>
        </w:rPr>
        <w:t>Occurrence</w:t>
      </w:r>
      <w:proofErr w:type="spellEnd"/>
      <w:r w:rsidRPr="003333DF">
        <w:rPr>
          <w:sz w:val="18"/>
          <w:szCs w:val="18"/>
        </w:rPr>
        <w:t xml:space="preserve"> (LO).</w:t>
      </w:r>
    </w:p>
    <w:p w14:paraId="37918A2E" w14:textId="77777777" w:rsidR="002551B4" w:rsidRPr="003333DF" w:rsidRDefault="002551B4" w:rsidP="002551B4">
      <w:pPr>
        <w:pStyle w:val="ListeParagraf"/>
        <w:numPr>
          <w:ilvl w:val="0"/>
          <w:numId w:val="1"/>
        </w:numPr>
        <w:tabs>
          <w:tab w:val="left" w:pos="1890"/>
        </w:tabs>
        <w:spacing w:after="0" w:line="240" w:lineRule="auto"/>
        <w:rPr>
          <w:sz w:val="18"/>
          <w:szCs w:val="18"/>
        </w:rPr>
      </w:pPr>
      <w:proofErr w:type="spellStart"/>
      <w:r w:rsidRPr="003333DF">
        <w:rPr>
          <w:sz w:val="18"/>
          <w:szCs w:val="18"/>
        </w:rPr>
        <w:t>Probability</w:t>
      </w:r>
      <w:proofErr w:type="spellEnd"/>
      <w:r w:rsidRPr="003333DF">
        <w:rPr>
          <w:sz w:val="18"/>
          <w:szCs w:val="18"/>
        </w:rPr>
        <w:t xml:space="preserve"> of </w:t>
      </w:r>
      <w:proofErr w:type="spellStart"/>
      <w:r w:rsidRPr="003333DF">
        <w:rPr>
          <w:sz w:val="18"/>
          <w:szCs w:val="18"/>
        </w:rPr>
        <w:t>Avoidance</w:t>
      </w:r>
      <w:proofErr w:type="spellEnd"/>
      <w:r w:rsidRPr="003333DF">
        <w:rPr>
          <w:sz w:val="18"/>
          <w:szCs w:val="18"/>
        </w:rPr>
        <w:t>. (PA).</w:t>
      </w:r>
    </w:p>
    <w:p w14:paraId="656EE7AB" w14:textId="77777777" w:rsidR="002551B4" w:rsidRPr="003333DF" w:rsidRDefault="002551B4" w:rsidP="002551B4">
      <w:pPr>
        <w:pStyle w:val="ListeParagraf"/>
        <w:numPr>
          <w:ilvl w:val="0"/>
          <w:numId w:val="1"/>
        </w:numPr>
        <w:tabs>
          <w:tab w:val="left" w:pos="1890"/>
        </w:tabs>
        <w:spacing w:after="0" w:line="240" w:lineRule="auto"/>
        <w:rPr>
          <w:sz w:val="18"/>
          <w:szCs w:val="18"/>
        </w:rPr>
      </w:pPr>
      <w:proofErr w:type="spellStart"/>
      <w:r w:rsidRPr="003333DF">
        <w:rPr>
          <w:sz w:val="18"/>
          <w:szCs w:val="18"/>
        </w:rPr>
        <w:t>Frequency</w:t>
      </w:r>
      <w:proofErr w:type="spellEnd"/>
      <w:r w:rsidRPr="003333DF">
        <w:rPr>
          <w:sz w:val="18"/>
          <w:szCs w:val="18"/>
        </w:rPr>
        <w:t xml:space="preserve"> of </w:t>
      </w:r>
      <w:proofErr w:type="spellStart"/>
      <w:r w:rsidRPr="003333DF">
        <w:rPr>
          <w:sz w:val="18"/>
          <w:szCs w:val="18"/>
        </w:rPr>
        <w:t>Exposure</w:t>
      </w:r>
      <w:proofErr w:type="spellEnd"/>
      <w:r w:rsidRPr="003333DF">
        <w:rPr>
          <w:sz w:val="18"/>
          <w:szCs w:val="18"/>
        </w:rPr>
        <w:t>. (FE).</w:t>
      </w:r>
    </w:p>
    <w:p w14:paraId="6ABA669B" w14:textId="77777777" w:rsidR="002551B4" w:rsidRPr="003333DF" w:rsidRDefault="002551B4" w:rsidP="002551B4">
      <w:pPr>
        <w:pStyle w:val="ListeParagraf"/>
        <w:tabs>
          <w:tab w:val="left" w:pos="1890"/>
        </w:tabs>
        <w:spacing w:after="0" w:line="240" w:lineRule="auto"/>
        <w:rPr>
          <w:sz w:val="18"/>
          <w:szCs w:val="18"/>
        </w:rPr>
      </w:pPr>
    </w:p>
    <w:p w14:paraId="0BFF4033" w14:textId="77777777" w:rsidR="002551B4" w:rsidRPr="003333DF" w:rsidRDefault="002551B4" w:rsidP="002551B4">
      <w:pPr>
        <w:tabs>
          <w:tab w:val="left" w:pos="1890"/>
        </w:tabs>
        <w:spacing w:after="0" w:line="240" w:lineRule="auto"/>
        <w:rPr>
          <w:sz w:val="18"/>
          <w:szCs w:val="18"/>
        </w:rPr>
      </w:pPr>
      <w:proofErr w:type="spellStart"/>
      <w:r w:rsidRPr="003333DF">
        <w:rPr>
          <w:sz w:val="18"/>
          <w:szCs w:val="18"/>
        </w:rPr>
        <w:t>Next</w:t>
      </w:r>
      <w:proofErr w:type="spellEnd"/>
      <w:r w:rsidRPr="003333DF">
        <w:rPr>
          <w:sz w:val="18"/>
          <w:szCs w:val="18"/>
        </w:rPr>
        <w:t xml:space="preserve">, a 'Risk Rating Analysis' </w:t>
      </w:r>
      <w:proofErr w:type="spellStart"/>
      <w:r w:rsidRPr="003333DF">
        <w:rPr>
          <w:sz w:val="18"/>
          <w:szCs w:val="18"/>
        </w:rPr>
        <w:t>number</w:t>
      </w:r>
      <w:proofErr w:type="spellEnd"/>
      <w:r w:rsidRPr="003333DF">
        <w:rPr>
          <w:sz w:val="18"/>
          <w:szCs w:val="18"/>
        </w:rPr>
        <w:t xml:space="preserve"> is </w:t>
      </w:r>
      <w:proofErr w:type="spellStart"/>
      <w:r w:rsidRPr="003333DF">
        <w:rPr>
          <w:sz w:val="18"/>
          <w:szCs w:val="18"/>
        </w:rPr>
        <w:t>calculated</w:t>
      </w:r>
      <w:proofErr w:type="spell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using</w:t>
      </w:r>
      <w:proofErr w:type="spell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the</w:t>
      </w:r>
      <w:proofErr w:type="spell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following</w:t>
      </w:r>
      <w:proofErr w:type="spell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formula</w:t>
      </w:r>
      <w:proofErr w:type="spellEnd"/>
      <w:r w:rsidRPr="003333DF">
        <w:rPr>
          <w:sz w:val="18"/>
          <w:szCs w:val="18"/>
        </w:rPr>
        <w:t>:</w:t>
      </w:r>
    </w:p>
    <w:p w14:paraId="5A4E899E" w14:textId="77777777" w:rsidR="002551B4" w:rsidRPr="003333DF" w:rsidRDefault="002551B4" w:rsidP="002551B4">
      <w:pPr>
        <w:tabs>
          <w:tab w:val="left" w:pos="1890"/>
        </w:tabs>
        <w:spacing w:after="0" w:line="240" w:lineRule="auto"/>
        <w:rPr>
          <w:b/>
          <w:sz w:val="18"/>
          <w:szCs w:val="18"/>
        </w:rPr>
      </w:pPr>
      <w:r w:rsidRPr="003333DF">
        <w:rPr>
          <w:b/>
          <w:sz w:val="18"/>
          <w:szCs w:val="18"/>
        </w:rPr>
        <w:t>HRN = DPH x LO x PA x FE</w:t>
      </w:r>
    </w:p>
    <w:p w14:paraId="120248DE" w14:textId="77777777" w:rsidR="002551B4" w:rsidRPr="003333DF" w:rsidRDefault="002551B4" w:rsidP="002551B4">
      <w:pPr>
        <w:tabs>
          <w:tab w:val="left" w:pos="1890"/>
        </w:tabs>
        <w:spacing w:after="0" w:line="240" w:lineRule="auto"/>
        <w:rPr>
          <w:sz w:val="18"/>
          <w:szCs w:val="18"/>
        </w:rPr>
      </w:pPr>
      <w:proofErr w:type="spellStart"/>
      <w:r w:rsidRPr="003333DF">
        <w:rPr>
          <w:sz w:val="18"/>
          <w:szCs w:val="18"/>
        </w:rPr>
        <w:t>The</w:t>
      </w:r>
      <w:proofErr w:type="spell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scoring</w:t>
      </w:r>
      <w:proofErr w:type="spell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parameters</w:t>
      </w:r>
      <w:proofErr w:type="spell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above</w:t>
      </w:r>
      <w:proofErr w:type="spell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are</w:t>
      </w:r>
      <w:proofErr w:type="spell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based</w:t>
      </w:r>
      <w:proofErr w:type="spellEnd"/>
      <w:r w:rsidRPr="003333DF">
        <w:rPr>
          <w:sz w:val="18"/>
          <w:szCs w:val="18"/>
        </w:rPr>
        <w:t xml:space="preserve"> on </w:t>
      </w:r>
      <w:proofErr w:type="spellStart"/>
      <w:r w:rsidRPr="003333DF">
        <w:rPr>
          <w:sz w:val="18"/>
          <w:szCs w:val="18"/>
        </w:rPr>
        <w:t>the</w:t>
      </w:r>
      <w:proofErr w:type="spell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following</w:t>
      </w:r>
      <w:proofErr w:type="spell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values</w:t>
      </w:r>
      <w:proofErr w:type="spellEnd"/>
      <w:r w:rsidRPr="003333DF">
        <w:rPr>
          <w:sz w:val="18"/>
          <w:szCs w:val="18"/>
        </w:rPr>
        <w:t>:</w:t>
      </w:r>
    </w:p>
    <w:p w14:paraId="7CB237A6" w14:textId="77777777" w:rsidR="002551B4" w:rsidRPr="003333DF" w:rsidRDefault="002551B4" w:rsidP="002551B4">
      <w:pPr>
        <w:tabs>
          <w:tab w:val="left" w:pos="1890"/>
        </w:tabs>
        <w:spacing w:after="0" w:line="240" w:lineRule="auto"/>
        <w:rPr>
          <w:sz w:val="18"/>
          <w:szCs w:val="18"/>
        </w:rPr>
      </w:pPr>
    </w:p>
    <w:p w14:paraId="5C0DD4B0" w14:textId="77777777" w:rsidR="002551B4" w:rsidRPr="003333DF" w:rsidRDefault="002551B4" w:rsidP="002551B4">
      <w:pPr>
        <w:tabs>
          <w:tab w:val="left" w:pos="1890"/>
        </w:tabs>
        <w:spacing w:after="0" w:line="240" w:lineRule="auto"/>
        <w:rPr>
          <w:b/>
          <w:sz w:val="18"/>
          <w:szCs w:val="18"/>
          <w:u w:val="single"/>
        </w:rPr>
      </w:pPr>
      <w:proofErr w:type="spellStart"/>
      <w:r w:rsidRPr="003333DF">
        <w:rPr>
          <w:b/>
          <w:sz w:val="18"/>
          <w:szCs w:val="18"/>
          <w:u w:val="single"/>
        </w:rPr>
        <w:t>Degree</w:t>
      </w:r>
      <w:proofErr w:type="spellEnd"/>
      <w:r w:rsidRPr="003333DF">
        <w:rPr>
          <w:b/>
          <w:sz w:val="18"/>
          <w:szCs w:val="18"/>
          <w:u w:val="single"/>
        </w:rPr>
        <w:t xml:space="preserve"> Of </w:t>
      </w:r>
      <w:proofErr w:type="spellStart"/>
      <w:r w:rsidRPr="003333DF">
        <w:rPr>
          <w:b/>
          <w:sz w:val="18"/>
          <w:szCs w:val="18"/>
          <w:u w:val="single"/>
        </w:rPr>
        <w:t>Possible</w:t>
      </w:r>
      <w:proofErr w:type="spellEnd"/>
      <w:r w:rsidRPr="003333DF">
        <w:rPr>
          <w:b/>
          <w:sz w:val="18"/>
          <w:szCs w:val="18"/>
          <w:u w:val="single"/>
        </w:rPr>
        <w:t xml:space="preserve"> </w:t>
      </w:r>
      <w:proofErr w:type="spellStart"/>
      <w:r w:rsidRPr="003333DF">
        <w:rPr>
          <w:b/>
          <w:sz w:val="18"/>
          <w:szCs w:val="18"/>
          <w:u w:val="single"/>
        </w:rPr>
        <w:t>Harm</w:t>
      </w:r>
      <w:proofErr w:type="spellEnd"/>
      <w:r w:rsidRPr="003333DF">
        <w:rPr>
          <w:b/>
          <w:sz w:val="18"/>
          <w:szCs w:val="18"/>
          <w:u w:val="single"/>
        </w:rPr>
        <w:t xml:space="preserve"> (DPH):</w:t>
      </w:r>
    </w:p>
    <w:p w14:paraId="19A547AB" w14:textId="77777777" w:rsidR="002551B4" w:rsidRPr="003333DF" w:rsidRDefault="002551B4" w:rsidP="002551B4">
      <w:pPr>
        <w:tabs>
          <w:tab w:val="left" w:pos="1890"/>
        </w:tabs>
        <w:spacing w:after="0" w:line="240" w:lineRule="auto"/>
        <w:rPr>
          <w:sz w:val="18"/>
          <w:szCs w:val="18"/>
        </w:rPr>
      </w:pPr>
      <w:proofErr w:type="gramStart"/>
      <w:r w:rsidRPr="003333DF">
        <w:rPr>
          <w:sz w:val="18"/>
          <w:szCs w:val="18"/>
        </w:rPr>
        <w:t>0.25 -</w:t>
      </w:r>
      <w:proofErr w:type="gram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Scratch</w:t>
      </w:r>
      <w:proofErr w:type="spell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or</w:t>
      </w:r>
      <w:proofErr w:type="spell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minor</w:t>
      </w:r>
      <w:proofErr w:type="spell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decay</w:t>
      </w:r>
      <w:proofErr w:type="spellEnd"/>
      <w:r w:rsidRPr="003333DF">
        <w:rPr>
          <w:sz w:val="18"/>
          <w:szCs w:val="18"/>
        </w:rPr>
        <w:t>.</w:t>
      </w:r>
    </w:p>
    <w:p w14:paraId="74BB3BE4" w14:textId="77777777" w:rsidR="002551B4" w:rsidRPr="003333DF" w:rsidRDefault="002551B4" w:rsidP="002551B4">
      <w:pPr>
        <w:tabs>
          <w:tab w:val="left" w:pos="1890"/>
        </w:tabs>
        <w:spacing w:after="0" w:line="240" w:lineRule="auto"/>
        <w:rPr>
          <w:sz w:val="18"/>
          <w:szCs w:val="18"/>
        </w:rPr>
      </w:pPr>
      <w:proofErr w:type="gramStart"/>
      <w:r w:rsidRPr="003333DF">
        <w:rPr>
          <w:sz w:val="18"/>
          <w:szCs w:val="18"/>
        </w:rPr>
        <w:t>0.5 -</w:t>
      </w:r>
      <w:proofErr w:type="gram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Tear</w:t>
      </w:r>
      <w:proofErr w:type="spellEnd"/>
      <w:r w:rsidRPr="003333DF">
        <w:rPr>
          <w:sz w:val="18"/>
          <w:szCs w:val="18"/>
        </w:rPr>
        <w:t xml:space="preserve">, </w:t>
      </w:r>
      <w:proofErr w:type="spellStart"/>
      <w:r w:rsidRPr="003333DF">
        <w:rPr>
          <w:sz w:val="18"/>
          <w:szCs w:val="18"/>
        </w:rPr>
        <w:t>slight</w:t>
      </w:r>
      <w:proofErr w:type="spell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health</w:t>
      </w:r>
      <w:proofErr w:type="spell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impact</w:t>
      </w:r>
      <w:proofErr w:type="spellEnd"/>
      <w:r w:rsidRPr="003333DF">
        <w:rPr>
          <w:sz w:val="18"/>
          <w:szCs w:val="18"/>
        </w:rPr>
        <w:t xml:space="preserve">, </w:t>
      </w:r>
      <w:proofErr w:type="spellStart"/>
      <w:r w:rsidRPr="003333DF">
        <w:rPr>
          <w:sz w:val="18"/>
          <w:szCs w:val="18"/>
        </w:rPr>
        <w:t>or</w:t>
      </w:r>
      <w:proofErr w:type="spell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minor</w:t>
      </w:r>
      <w:proofErr w:type="spell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burn</w:t>
      </w:r>
      <w:proofErr w:type="spellEnd"/>
      <w:r w:rsidRPr="003333DF">
        <w:rPr>
          <w:sz w:val="18"/>
          <w:szCs w:val="18"/>
        </w:rPr>
        <w:t>.</w:t>
      </w:r>
    </w:p>
    <w:p w14:paraId="4DF592B0" w14:textId="77777777" w:rsidR="002551B4" w:rsidRPr="003333DF" w:rsidRDefault="002551B4" w:rsidP="002551B4">
      <w:pPr>
        <w:tabs>
          <w:tab w:val="left" w:pos="1890"/>
        </w:tabs>
        <w:spacing w:after="0" w:line="240" w:lineRule="auto"/>
        <w:rPr>
          <w:sz w:val="18"/>
          <w:szCs w:val="18"/>
        </w:rPr>
      </w:pPr>
      <w:proofErr w:type="gramStart"/>
      <w:r w:rsidRPr="003333DF">
        <w:rPr>
          <w:sz w:val="18"/>
          <w:szCs w:val="18"/>
        </w:rPr>
        <w:t>3 -</w:t>
      </w:r>
      <w:proofErr w:type="gram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Fracture</w:t>
      </w:r>
      <w:proofErr w:type="spellEnd"/>
      <w:r w:rsidRPr="003333DF">
        <w:rPr>
          <w:sz w:val="18"/>
          <w:szCs w:val="18"/>
        </w:rPr>
        <w:t xml:space="preserve"> of a </w:t>
      </w:r>
      <w:proofErr w:type="spellStart"/>
      <w:r w:rsidRPr="003333DF">
        <w:rPr>
          <w:sz w:val="18"/>
          <w:szCs w:val="18"/>
        </w:rPr>
        <w:t>small</w:t>
      </w:r>
      <w:proofErr w:type="spellEnd"/>
      <w:r w:rsidRPr="003333DF">
        <w:rPr>
          <w:sz w:val="18"/>
          <w:szCs w:val="18"/>
        </w:rPr>
        <w:t xml:space="preserve"> bone </w:t>
      </w:r>
      <w:proofErr w:type="spellStart"/>
      <w:r w:rsidRPr="003333DF">
        <w:rPr>
          <w:sz w:val="18"/>
          <w:szCs w:val="18"/>
        </w:rPr>
        <w:t>or</w:t>
      </w:r>
      <w:proofErr w:type="spell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minor</w:t>
      </w:r>
      <w:proofErr w:type="spell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temporary</w:t>
      </w:r>
      <w:proofErr w:type="spell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condition</w:t>
      </w:r>
      <w:proofErr w:type="spell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or</w:t>
      </w:r>
      <w:proofErr w:type="spell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illness</w:t>
      </w:r>
      <w:proofErr w:type="spellEnd"/>
      <w:r w:rsidRPr="003333DF">
        <w:rPr>
          <w:sz w:val="18"/>
          <w:szCs w:val="18"/>
        </w:rPr>
        <w:t>.</w:t>
      </w:r>
    </w:p>
    <w:p w14:paraId="61094353" w14:textId="77777777" w:rsidR="002551B4" w:rsidRPr="003333DF" w:rsidRDefault="002551B4" w:rsidP="002551B4">
      <w:pPr>
        <w:tabs>
          <w:tab w:val="left" w:pos="1890"/>
        </w:tabs>
        <w:spacing w:after="0" w:line="240" w:lineRule="auto"/>
        <w:rPr>
          <w:sz w:val="18"/>
          <w:szCs w:val="18"/>
        </w:rPr>
      </w:pPr>
      <w:proofErr w:type="gramStart"/>
      <w:r w:rsidRPr="003333DF">
        <w:rPr>
          <w:sz w:val="18"/>
          <w:szCs w:val="18"/>
        </w:rPr>
        <w:t>5 -</w:t>
      </w:r>
      <w:proofErr w:type="gram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Fracture</w:t>
      </w:r>
      <w:proofErr w:type="spellEnd"/>
      <w:r w:rsidRPr="003333DF">
        <w:rPr>
          <w:sz w:val="18"/>
          <w:szCs w:val="18"/>
        </w:rPr>
        <w:t xml:space="preserve"> of a </w:t>
      </w:r>
      <w:proofErr w:type="spellStart"/>
      <w:r w:rsidRPr="003333DF">
        <w:rPr>
          <w:sz w:val="18"/>
          <w:szCs w:val="18"/>
        </w:rPr>
        <w:t>major</w:t>
      </w:r>
      <w:proofErr w:type="spellEnd"/>
      <w:r w:rsidRPr="003333DF">
        <w:rPr>
          <w:sz w:val="18"/>
          <w:szCs w:val="18"/>
        </w:rPr>
        <w:t xml:space="preserve"> bone.</w:t>
      </w:r>
    </w:p>
    <w:p w14:paraId="3B68BBBE" w14:textId="77777777" w:rsidR="002551B4" w:rsidRPr="003333DF" w:rsidRDefault="002551B4" w:rsidP="002551B4">
      <w:pPr>
        <w:tabs>
          <w:tab w:val="left" w:pos="1890"/>
        </w:tabs>
        <w:spacing w:after="0" w:line="240" w:lineRule="auto"/>
        <w:rPr>
          <w:sz w:val="18"/>
          <w:szCs w:val="18"/>
        </w:rPr>
      </w:pPr>
      <w:proofErr w:type="gramStart"/>
      <w:r w:rsidRPr="003333DF">
        <w:rPr>
          <w:sz w:val="18"/>
          <w:szCs w:val="18"/>
        </w:rPr>
        <w:t>8 -</w:t>
      </w:r>
      <w:proofErr w:type="gram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Loss</w:t>
      </w:r>
      <w:proofErr w:type="spellEnd"/>
      <w:r w:rsidRPr="003333DF">
        <w:rPr>
          <w:sz w:val="18"/>
          <w:szCs w:val="18"/>
        </w:rPr>
        <w:t xml:space="preserve"> of 1 </w:t>
      </w:r>
      <w:proofErr w:type="spellStart"/>
      <w:r w:rsidRPr="003333DF">
        <w:rPr>
          <w:sz w:val="18"/>
          <w:szCs w:val="18"/>
        </w:rPr>
        <w:t>or</w:t>
      </w:r>
      <w:proofErr w:type="spellEnd"/>
      <w:r w:rsidRPr="003333DF">
        <w:rPr>
          <w:sz w:val="18"/>
          <w:szCs w:val="18"/>
        </w:rPr>
        <w:t xml:space="preserve"> 2 </w:t>
      </w:r>
      <w:proofErr w:type="spellStart"/>
      <w:r w:rsidRPr="003333DF">
        <w:rPr>
          <w:sz w:val="18"/>
          <w:szCs w:val="18"/>
        </w:rPr>
        <w:t>fingers</w:t>
      </w:r>
      <w:proofErr w:type="spellEnd"/>
      <w:r w:rsidRPr="003333DF">
        <w:rPr>
          <w:sz w:val="18"/>
          <w:szCs w:val="18"/>
        </w:rPr>
        <w:t>/</w:t>
      </w:r>
      <w:proofErr w:type="spellStart"/>
      <w:r w:rsidRPr="003333DF">
        <w:rPr>
          <w:sz w:val="18"/>
          <w:szCs w:val="18"/>
        </w:rPr>
        <w:t>toes</w:t>
      </w:r>
      <w:proofErr w:type="spellEnd"/>
      <w:r w:rsidRPr="003333DF">
        <w:rPr>
          <w:sz w:val="18"/>
          <w:szCs w:val="18"/>
        </w:rPr>
        <w:t xml:space="preserve">, </w:t>
      </w:r>
      <w:proofErr w:type="spellStart"/>
      <w:r w:rsidRPr="003333DF">
        <w:rPr>
          <w:sz w:val="18"/>
          <w:szCs w:val="18"/>
        </w:rPr>
        <w:t>major</w:t>
      </w:r>
      <w:proofErr w:type="spell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burns</w:t>
      </w:r>
      <w:proofErr w:type="spellEnd"/>
      <w:r w:rsidRPr="003333DF">
        <w:rPr>
          <w:sz w:val="18"/>
          <w:szCs w:val="18"/>
        </w:rPr>
        <w:t xml:space="preserve">, </w:t>
      </w:r>
      <w:proofErr w:type="spellStart"/>
      <w:r w:rsidRPr="003333DF">
        <w:rPr>
          <w:sz w:val="18"/>
          <w:szCs w:val="18"/>
        </w:rPr>
        <w:t>or</w:t>
      </w:r>
      <w:proofErr w:type="spell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moderate</w:t>
      </w:r>
      <w:proofErr w:type="spell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discomfort</w:t>
      </w:r>
      <w:proofErr w:type="spell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or</w:t>
      </w:r>
      <w:proofErr w:type="spell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illness</w:t>
      </w:r>
      <w:proofErr w:type="spellEnd"/>
      <w:r w:rsidRPr="003333DF">
        <w:rPr>
          <w:sz w:val="18"/>
          <w:szCs w:val="18"/>
        </w:rPr>
        <w:t>.</w:t>
      </w:r>
    </w:p>
    <w:p w14:paraId="3BF733C7" w14:textId="77777777" w:rsidR="002551B4" w:rsidRPr="003333DF" w:rsidRDefault="002551B4" w:rsidP="002551B4">
      <w:pPr>
        <w:tabs>
          <w:tab w:val="left" w:pos="1890"/>
        </w:tabs>
        <w:spacing w:after="0" w:line="240" w:lineRule="auto"/>
        <w:rPr>
          <w:sz w:val="18"/>
          <w:szCs w:val="18"/>
        </w:rPr>
      </w:pPr>
      <w:proofErr w:type="gramStart"/>
      <w:r w:rsidRPr="003333DF">
        <w:rPr>
          <w:sz w:val="18"/>
          <w:szCs w:val="18"/>
        </w:rPr>
        <w:t>11 -</w:t>
      </w:r>
      <w:proofErr w:type="gram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Amputation</w:t>
      </w:r>
      <w:proofErr w:type="spellEnd"/>
      <w:r w:rsidRPr="003333DF">
        <w:rPr>
          <w:sz w:val="18"/>
          <w:szCs w:val="18"/>
        </w:rPr>
        <w:t xml:space="preserve"> of 1 </w:t>
      </w:r>
      <w:proofErr w:type="spellStart"/>
      <w:r w:rsidRPr="003333DF">
        <w:rPr>
          <w:sz w:val="18"/>
          <w:szCs w:val="18"/>
        </w:rPr>
        <w:t>hand</w:t>
      </w:r>
      <w:proofErr w:type="spellEnd"/>
      <w:r w:rsidRPr="003333DF">
        <w:rPr>
          <w:sz w:val="18"/>
          <w:szCs w:val="18"/>
        </w:rPr>
        <w:t xml:space="preserve">, </w:t>
      </w:r>
      <w:proofErr w:type="spellStart"/>
      <w:r w:rsidRPr="003333DF">
        <w:rPr>
          <w:sz w:val="18"/>
          <w:szCs w:val="18"/>
        </w:rPr>
        <w:t>arm</w:t>
      </w:r>
      <w:proofErr w:type="spellEnd"/>
      <w:r w:rsidRPr="003333DF">
        <w:rPr>
          <w:sz w:val="18"/>
          <w:szCs w:val="18"/>
        </w:rPr>
        <w:t xml:space="preserve">, </w:t>
      </w:r>
      <w:proofErr w:type="spellStart"/>
      <w:r w:rsidRPr="003333DF">
        <w:rPr>
          <w:sz w:val="18"/>
          <w:szCs w:val="18"/>
        </w:rPr>
        <w:t>or</w:t>
      </w:r>
      <w:proofErr w:type="spell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leg</w:t>
      </w:r>
      <w:proofErr w:type="spellEnd"/>
      <w:r w:rsidRPr="003333DF">
        <w:rPr>
          <w:sz w:val="18"/>
          <w:szCs w:val="18"/>
        </w:rPr>
        <w:t xml:space="preserve">, </w:t>
      </w:r>
      <w:proofErr w:type="spellStart"/>
      <w:r w:rsidRPr="003333DF">
        <w:rPr>
          <w:sz w:val="18"/>
          <w:szCs w:val="18"/>
        </w:rPr>
        <w:t>partial</w:t>
      </w:r>
      <w:proofErr w:type="spell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blindness</w:t>
      </w:r>
      <w:proofErr w:type="spellEnd"/>
      <w:r w:rsidRPr="003333DF">
        <w:rPr>
          <w:sz w:val="18"/>
          <w:szCs w:val="18"/>
        </w:rPr>
        <w:t xml:space="preserve">, </w:t>
      </w:r>
      <w:proofErr w:type="spellStart"/>
      <w:r w:rsidRPr="003333DF">
        <w:rPr>
          <w:sz w:val="18"/>
          <w:szCs w:val="18"/>
        </w:rPr>
        <w:t>or</w:t>
      </w:r>
      <w:proofErr w:type="spell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partial</w:t>
      </w:r>
      <w:proofErr w:type="spell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hearing</w:t>
      </w:r>
      <w:proofErr w:type="spell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loss</w:t>
      </w:r>
      <w:proofErr w:type="spellEnd"/>
      <w:r w:rsidRPr="003333DF">
        <w:rPr>
          <w:sz w:val="18"/>
          <w:szCs w:val="18"/>
        </w:rPr>
        <w:t>.</w:t>
      </w:r>
    </w:p>
    <w:p w14:paraId="158A2546" w14:textId="77777777" w:rsidR="002551B4" w:rsidRPr="003333DF" w:rsidRDefault="002551B4" w:rsidP="002551B4">
      <w:pPr>
        <w:tabs>
          <w:tab w:val="left" w:pos="1890"/>
        </w:tabs>
        <w:spacing w:after="0" w:line="240" w:lineRule="auto"/>
        <w:rPr>
          <w:sz w:val="18"/>
          <w:szCs w:val="18"/>
        </w:rPr>
      </w:pPr>
      <w:proofErr w:type="gramStart"/>
      <w:r w:rsidRPr="003333DF">
        <w:rPr>
          <w:sz w:val="18"/>
          <w:szCs w:val="18"/>
        </w:rPr>
        <w:t>15 -</w:t>
      </w:r>
      <w:proofErr w:type="gram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Amputation</w:t>
      </w:r>
      <w:proofErr w:type="spellEnd"/>
      <w:r w:rsidRPr="003333DF">
        <w:rPr>
          <w:sz w:val="18"/>
          <w:szCs w:val="18"/>
        </w:rPr>
        <w:t xml:space="preserve"> of </w:t>
      </w:r>
      <w:proofErr w:type="spellStart"/>
      <w:r w:rsidRPr="003333DF">
        <w:rPr>
          <w:sz w:val="18"/>
          <w:szCs w:val="18"/>
        </w:rPr>
        <w:t>both</w:t>
      </w:r>
      <w:proofErr w:type="spell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hands</w:t>
      </w:r>
      <w:proofErr w:type="spell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or</w:t>
      </w:r>
      <w:proofErr w:type="spell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arms</w:t>
      </w:r>
      <w:proofErr w:type="spellEnd"/>
      <w:r w:rsidRPr="003333DF">
        <w:rPr>
          <w:sz w:val="18"/>
          <w:szCs w:val="18"/>
        </w:rPr>
        <w:t xml:space="preserve">, </w:t>
      </w:r>
      <w:proofErr w:type="spellStart"/>
      <w:r w:rsidRPr="003333DF">
        <w:rPr>
          <w:sz w:val="18"/>
          <w:szCs w:val="18"/>
        </w:rPr>
        <w:t>both</w:t>
      </w:r>
      <w:proofErr w:type="spell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legs</w:t>
      </w:r>
      <w:proofErr w:type="spellEnd"/>
      <w:r w:rsidRPr="003333DF">
        <w:rPr>
          <w:sz w:val="18"/>
          <w:szCs w:val="18"/>
        </w:rPr>
        <w:t xml:space="preserve">, total </w:t>
      </w:r>
      <w:proofErr w:type="spellStart"/>
      <w:r w:rsidRPr="003333DF">
        <w:rPr>
          <w:sz w:val="18"/>
          <w:szCs w:val="18"/>
        </w:rPr>
        <w:t>blindness</w:t>
      </w:r>
      <w:proofErr w:type="spellEnd"/>
      <w:r w:rsidRPr="003333DF">
        <w:rPr>
          <w:sz w:val="18"/>
          <w:szCs w:val="18"/>
        </w:rPr>
        <w:t xml:space="preserve">, </w:t>
      </w:r>
      <w:proofErr w:type="spellStart"/>
      <w:r w:rsidRPr="003333DF">
        <w:rPr>
          <w:sz w:val="18"/>
          <w:szCs w:val="18"/>
        </w:rPr>
        <w:t>or</w:t>
      </w:r>
      <w:proofErr w:type="spellEnd"/>
      <w:r w:rsidRPr="003333DF">
        <w:rPr>
          <w:sz w:val="18"/>
          <w:szCs w:val="18"/>
        </w:rPr>
        <w:t xml:space="preserve"> total </w:t>
      </w:r>
      <w:proofErr w:type="spellStart"/>
      <w:r w:rsidRPr="003333DF">
        <w:rPr>
          <w:sz w:val="18"/>
          <w:szCs w:val="18"/>
        </w:rPr>
        <w:t>hearing</w:t>
      </w:r>
      <w:proofErr w:type="spell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loss</w:t>
      </w:r>
      <w:proofErr w:type="spellEnd"/>
      <w:r w:rsidRPr="003333DF">
        <w:rPr>
          <w:sz w:val="18"/>
          <w:szCs w:val="18"/>
        </w:rPr>
        <w:t>.</w:t>
      </w:r>
    </w:p>
    <w:p w14:paraId="6FC4A8F2" w14:textId="77777777" w:rsidR="002551B4" w:rsidRPr="003333DF" w:rsidRDefault="002551B4" w:rsidP="002551B4">
      <w:pPr>
        <w:tabs>
          <w:tab w:val="left" w:pos="1890"/>
        </w:tabs>
        <w:spacing w:after="0" w:line="240" w:lineRule="auto"/>
        <w:rPr>
          <w:sz w:val="18"/>
          <w:szCs w:val="18"/>
        </w:rPr>
      </w:pPr>
      <w:proofErr w:type="gramStart"/>
      <w:r w:rsidRPr="003333DF">
        <w:rPr>
          <w:sz w:val="18"/>
          <w:szCs w:val="18"/>
        </w:rPr>
        <w:t>25 -</w:t>
      </w:r>
      <w:proofErr w:type="gramEnd"/>
      <w:r w:rsidRPr="003333DF">
        <w:rPr>
          <w:sz w:val="18"/>
          <w:szCs w:val="18"/>
        </w:rPr>
        <w:t xml:space="preserve"> Critical </w:t>
      </w:r>
      <w:proofErr w:type="spellStart"/>
      <w:r w:rsidRPr="003333DF">
        <w:rPr>
          <w:sz w:val="18"/>
          <w:szCs w:val="18"/>
        </w:rPr>
        <w:t>injuries</w:t>
      </w:r>
      <w:proofErr w:type="spell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or</w:t>
      </w:r>
      <w:proofErr w:type="spell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major</w:t>
      </w:r>
      <w:proofErr w:type="spell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permanent</w:t>
      </w:r>
      <w:proofErr w:type="spell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conditions</w:t>
      </w:r>
      <w:proofErr w:type="spell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or</w:t>
      </w:r>
      <w:proofErr w:type="spell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illnesses</w:t>
      </w:r>
      <w:proofErr w:type="spellEnd"/>
      <w:r w:rsidRPr="003333DF">
        <w:rPr>
          <w:sz w:val="18"/>
          <w:szCs w:val="18"/>
        </w:rPr>
        <w:t>.</w:t>
      </w:r>
    </w:p>
    <w:p w14:paraId="669246CB" w14:textId="77777777" w:rsidR="002551B4" w:rsidRPr="003333DF" w:rsidRDefault="002551B4" w:rsidP="002551B4">
      <w:pPr>
        <w:tabs>
          <w:tab w:val="left" w:pos="1890"/>
        </w:tabs>
        <w:spacing w:after="0" w:line="240" w:lineRule="auto"/>
        <w:rPr>
          <w:sz w:val="18"/>
          <w:szCs w:val="18"/>
        </w:rPr>
      </w:pPr>
      <w:proofErr w:type="gramStart"/>
      <w:r w:rsidRPr="003333DF">
        <w:rPr>
          <w:sz w:val="18"/>
          <w:szCs w:val="18"/>
        </w:rPr>
        <w:t>40 -</w:t>
      </w:r>
      <w:proofErr w:type="gram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Single</w:t>
      </w:r>
      <w:proofErr w:type="spell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fatality</w:t>
      </w:r>
      <w:proofErr w:type="spellEnd"/>
      <w:r w:rsidRPr="003333DF">
        <w:rPr>
          <w:sz w:val="18"/>
          <w:szCs w:val="18"/>
        </w:rPr>
        <w:t>.</w:t>
      </w:r>
    </w:p>
    <w:p w14:paraId="14B2D5C1" w14:textId="77777777" w:rsidR="002551B4" w:rsidRPr="003333DF" w:rsidRDefault="002551B4" w:rsidP="002551B4">
      <w:pPr>
        <w:tabs>
          <w:tab w:val="left" w:pos="1890"/>
        </w:tabs>
        <w:spacing w:after="0" w:line="240" w:lineRule="auto"/>
        <w:rPr>
          <w:sz w:val="18"/>
          <w:szCs w:val="18"/>
        </w:rPr>
      </w:pPr>
      <w:proofErr w:type="gramStart"/>
      <w:r w:rsidRPr="003333DF">
        <w:rPr>
          <w:sz w:val="18"/>
          <w:szCs w:val="18"/>
        </w:rPr>
        <w:t>65 -</w:t>
      </w:r>
      <w:proofErr w:type="gramEnd"/>
      <w:r w:rsidRPr="003333DF">
        <w:rPr>
          <w:sz w:val="18"/>
          <w:szCs w:val="18"/>
        </w:rPr>
        <w:t xml:space="preserve"> Multiple </w:t>
      </w:r>
      <w:proofErr w:type="spellStart"/>
      <w:r w:rsidRPr="003333DF">
        <w:rPr>
          <w:sz w:val="18"/>
          <w:szCs w:val="18"/>
        </w:rPr>
        <w:t>fatalities</w:t>
      </w:r>
      <w:proofErr w:type="spellEnd"/>
      <w:r w:rsidRPr="003333DF">
        <w:rPr>
          <w:sz w:val="18"/>
          <w:szCs w:val="18"/>
        </w:rPr>
        <w:t>.</w:t>
      </w:r>
    </w:p>
    <w:p w14:paraId="2BBF1831" w14:textId="77777777" w:rsidR="002551B4" w:rsidRPr="003333DF" w:rsidRDefault="002551B4" w:rsidP="002551B4">
      <w:pPr>
        <w:tabs>
          <w:tab w:val="left" w:pos="1890"/>
        </w:tabs>
        <w:spacing w:after="0" w:line="240" w:lineRule="auto"/>
        <w:rPr>
          <w:sz w:val="18"/>
          <w:szCs w:val="18"/>
        </w:rPr>
      </w:pPr>
    </w:p>
    <w:p w14:paraId="5D0FE9CA" w14:textId="77777777" w:rsidR="002551B4" w:rsidRPr="003333DF" w:rsidRDefault="002551B4" w:rsidP="002551B4">
      <w:pPr>
        <w:spacing w:after="0"/>
        <w:rPr>
          <w:b/>
          <w:sz w:val="18"/>
          <w:szCs w:val="18"/>
          <w:u w:val="single"/>
        </w:rPr>
      </w:pPr>
      <w:proofErr w:type="spellStart"/>
      <w:r w:rsidRPr="003333DF">
        <w:rPr>
          <w:b/>
          <w:sz w:val="18"/>
          <w:szCs w:val="18"/>
          <w:u w:val="single"/>
        </w:rPr>
        <w:t>Likelihood</w:t>
      </w:r>
      <w:proofErr w:type="spellEnd"/>
      <w:r w:rsidRPr="003333DF">
        <w:rPr>
          <w:b/>
          <w:sz w:val="18"/>
          <w:szCs w:val="18"/>
          <w:u w:val="single"/>
        </w:rPr>
        <w:t xml:space="preserve"> of </w:t>
      </w:r>
      <w:proofErr w:type="spellStart"/>
      <w:r w:rsidRPr="003333DF">
        <w:rPr>
          <w:b/>
          <w:sz w:val="18"/>
          <w:szCs w:val="18"/>
          <w:u w:val="single"/>
        </w:rPr>
        <w:t>Occurrence</w:t>
      </w:r>
      <w:proofErr w:type="spellEnd"/>
      <w:r w:rsidRPr="003333DF">
        <w:rPr>
          <w:b/>
          <w:sz w:val="18"/>
          <w:szCs w:val="18"/>
          <w:u w:val="single"/>
        </w:rPr>
        <w:t xml:space="preserve"> (LO):</w:t>
      </w:r>
    </w:p>
    <w:p w14:paraId="4688C9FE" w14:textId="77777777" w:rsidR="002551B4" w:rsidRPr="003333DF" w:rsidRDefault="002551B4" w:rsidP="002551B4">
      <w:pPr>
        <w:spacing w:after="0"/>
        <w:rPr>
          <w:sz w:val="18"/>
          <w:szCs w:val="18"/>
        </w:rPr>
      </w:pPr>
      <w:proofErr w:type="gramStart"/>
      <w:r w:rsidRPr="003333DF">
        <w:rPr>
          <w:sz w:val="18"/>
          <w:szCs w:val="18"/>
        </w:rPr>
        <w:t>0.05 -</w:t>
      </w:r>
      <w:proofErr w:type="gram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Almost</w:t>
      </w:r>
      <w:proofErr w:type="spell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impossible</w:t>
      </w:r>
      <w:proofErr w:type="spellEnd"/>
      <w:r w:rsidRPr="003333DF">
        <w:rPr>
          <w:sz w:val="18"/>
          <w:szCs w:val="18"/>
        </w:rPr>
        <w:t>.</w:t>
      </w:r>
    </w:p>
    <w:p w14:paraId="08B9E66D" w14:textId="77777777" w:rsidR="002551B4" w:rsidRPr="003333DF" w:rsidRDefault="002551B4" w:rsidP="002551B4">
      <w:pPr>
        <w:spacing w:after="0"/>
        <w:rPr>
          <w:sz w:val="18"/>
          <w:szCs w:val="18"/>
        </w:rPr>
      </w:pPr>
      <w:proofErr w:type="gramStart"/>
      <w:r w:rsidRPr="003333DF">
        <w:rPr>
          <w:sz w:val="18"/>
          <w:szCs w:val="18"/>
        </w:rPr>
        <w:t>1.25 -</w:t>
      </w:r>
      <w:proofErr w:type="gram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Highly</w:t>
      </w:r>
      <w:proofErr w:type="spell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unlikely</w:t>
      </w:r>
      <w:proofErr w:type="spell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or</w:t>
      </w:r>
      <w:proofErr w:type="spellEnd"/>
      <w:r w:rsidRPr="003333DF">
        <w:rPr>
          <w:sz w:val="18"/>
          <w:szCs w:val="18"/>
        </w:rPr>
        <w:t xml:space="preserve"> not </w:t>
      </w:r>
      <w:proofErr w:type="spellStart"/>
      <w:r w:rsidRPr="003333DF">
        <w:rPr>
          <w:sz w:val="18"/>
          <w:szCs w:val="18"/>
        </w:rPr>
        <w:t>possible</w:t>
      </w:r>
      <w:proofErr w:type="spell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under</w:t>
      </w:r>
      <w:proofErr w:type="spell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extreme</w:t>
      </w:r>
      <w:proofErr w:type="spell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conditions</w:t>
      </w:r>
      <w:proofErr w:type="spellEnd"/>
      <w:r w:rsidRPr="003333DF">
        <w:rPr>
          <w:sz w:val="18"/>
          <w:szCs w:val="18"/>
        </w:rPr>
        <w:t>.</w:t>
      </w:r>
    </w:p>
    <w:p w14:paraId="5EC98C35" w14:textId="77777777" w:rsidR="002551B4" w:rsidRPr="003333DF" w:rsidRDefault="002551B4" w:rsidP="002551B4">
      <w:pPr>
        <w:spacing w:after="0"/>
        <w:rPr>
          <w:sz w:val="18"/>
          <w:szCs w:val="18"/>
        </w:rPr>
      </w:pPr>
      <w:proofErr w:type="gramStart"/>
      <w:r w:rsidRPr="003333DF">
        <w:rPr>
          <w:sz w:val="18"/>
          <w:szCs w:val="18"/>
        </w:rPr>
        <w:t>2.5 -</w:t>
      </w:r>
      <w:proofErr w:type="gram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Possible</w:t>
      </w:r>
      <w:proofErr w:type="spellEnd"/>
      <w:r w:rsidRPr="003333DF">
        <w:rPr>
          <w:sz w:val="18"/>
          <w:szCs w:val="18"/>
        </w:rPr>
        <w:t xml:space="preserve"> but </w:t>
      </w:r>
      <w:proofErr w:type="spellStart"/>
      <w:r w:rsidRPr="003333DF">
        <w:rPr>
          <w:sz w:val="18"/>
          <w:szCs w:val="18"/>
        </w:rPr>
        <w:t>unusual</w:t>
      </w:r>
      <w:proofErr w:type="spellEnd"/>
      <w:r w:rsidRPr="003333DF">
        <w:rPr>
          <w:sz w:val="18"/>
          <w:szCs w:val="18"/>
        </w:rPr>
        <w:t>.</w:t>
      </w:r>
    </w:p>
    <w:p w14:paraId="7514B853" w14:textId="77777777" w:rsidR="002551B4" w:rsidRPr="003333DF" w:rsidRDefault="002551B4" w:rsidP="002551B4">
      <w:pPr>
        <w:spacing w:after="0"/>
        <w:rPr>
          <w:sz w:val="18"/>
          <w:szCs w:val="18"/>
        </w:rPr>
      </w:pPr>
      <w:proofErr w:type="gramStart"/>
      <w:r w:rsidRPr="003333DF">
        <w:rPr>
          <w:sz w:val="18"/>
          <w:szCs w:val="18"/>
        </w:rPr>
        <w:t>4 -</w:t>
      </w:r>
      <w:proofErr w:type="gram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Possible</w:t>
      </w:r>
      <w:proofErr w:type="spellEnd"/>
      <w:r w:rsidRPr="003333DF">
        <w:rPr>
          <w:sz w:val="18"/>
          <w:szCs w:val="18"/>
        </w:rPr>
        <w:t xml:space="preserve">, </w:t>
      </w:r>
      <w:proofErr w:type="spellStart"/>
      <w:r w:rsidRPr="003333DF">
        <w:rPr>
          <w:sz w:val="18"/>
          <w:szCs w:val="18"/>
        </w:rPr>
        <w:t>even</w:t>
      </w:r>
      <w:proofErr w:type="spell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though</w:t>
      </w:r>
      <w:proofErr w:type="spell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chances</w:t>
      </w:r>
      <w:proofErr w:type="spell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are</w:t>
      </w:r>
      <w:proofErr w:type="spell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slim</w:t>
      </w:r>
      <w:proofErr w:type="spellEnd"/>
      <w:r w:rsidRPr="003333DF">
        <w:rPr>
          <w:sz w:val="18"/>
          <w:szCs w:val="18"/>
        </w:rPr>
        <w:t>.</w:t>
      </w:r>
    </w:p>
    <w:p w14:paraId="36F037A6" w14:textId="77777777" w:rsidR="002551B4" w:rsidRPr="003333DF" w:rsidRDefault="002551B4" w:rsidP="002551B4">
      <w:pPr>
        <w:spacing w:after="0"/>
        <w:rPr>
          <w:sz w:val="18"/>
          <w:szCs w:val="18"/>
        </w:rPr>
      </w:pPr>
      <w:proofErr w:type="gramStart"/>
      <w:r w:rsidRPr="003333DF">
        <w:rPr>
          <w:sz w:val="18"/>
          <w:szCs w:val="18"/>
        </w:rPr>
        <w:t>5 -</w:t>
      </w:r>
      <w:proofErr w:type="gram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Likely</w:t>
      </w:r>
      <w:proofErr w:type="spellEnd"/>
      <w:r w:rsidRPr="003333DF">
        <w:rPr>
          <w:sz w:val="18"/>
          <w:szCs w:val="18"/>
        </w:rPr>
        <w:t xml:space="preserve">, </w:t>
      </w:r>
      <w:proofErr w:type="spellStart"/>
      <w:r w:rsidRPr="003333DF">
        <w:rPr>
          <w:sz w:val="18"/>
          <w:szCs w:val="18"/>
        </w:rPr>
        <w:t>expected</w:t>
      </w:r>
      <w:proofErr w:type="spell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to</w:t>
      </w:r>
      <w:proofErr w:type="spell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happen</w:t>
      </w:r>
      <w:proofErr w:type="spell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eventually</w:t>
      </w:r>
      <w:proofErr w:type="spellEnd"/>
      <w:r w:rsidRPr="003333DF">
        <w:rPr>
          <w:sz w:val="18"/>
          <w:szCs w:val="18"/>
        </w:rPr>
        <w:t>.</w:t>
      </w:r>
    </w:p>
    <w:p w14:paraId="38939992" w14:textId="77777777" w:rsidR="002551B4" w:rsidRPr="003333DF" w:rsidRDefault="002551B4" w:rsidP="002551B4">
      <w:pPr>
        <w:spacing w:after="0"/>
        <w:rPr>
          <w:sz w:val="18"/>
          <w:szCs w:val="18"/>
        </w:rPr>
      </w:pPr>
      <w:proofErr w:type="gramStart"/>
      <w:r w:rsidRPr="003333DF">
        <w:rPr>
          <w:sz w:val="18"/>
          <w:szCs w:val="18"/>
        </w:rPr>
        <w:t>6 -</w:t>
      </w:r>
      <w:proofErr w:type="gram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Probably</w:t>
      </w:r>
      <w:proofErr w:type="spellEnd"/>
      <w:r w:rsidRPr="003333DF">
        <w:rPr>
          <w:sz w:val="18"/>
          <w:szCs w:val="18"/>
        </w:rPr>
        <w:t xml:space="preserve">, </w:t>
      </w:r>
      <w:proofErr w:type="spellStart"/>
      <w:r w:rsidRPr="003333DF">
        <w:rPr>
          <w:sz w:val="18"/>
          <w:szCs w:val="18"/>
        </w:rPr>
        <w:t>reasonably</w:t>
      </w:r>
      <w:proofErr w:type="spell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foreseeable</w:t>
      </w:r>
      <w:proofErr w:type="spellEnd"/>
      <w:r w:rsidRPr="003333DF">
        <w:rPr>
          <w:sz w:val="18"/>
          <w:szCs w:val="18"/>
        </w:rPr>
        <w:t>.</w:t>
      </w:r>
    </w:p>
    <w:p w14:paraId="11774DB5" w14:textId="77777777" w:rsidR="002551B4" w:rsidRPr="003333DF" w:rsidRDefault="002551B4" w:rsidP="002551B4">
      <w:pPr>
        <w:spacing w:after="0"/>
        <w:rPr>
          <w:sz w:val="18"/>
          <w:szCs w:val="18"/>
        </w:rPr>
      </w:pPr>
      <w:proofErr w:type="gramStart"/>
      <w:r w:rsidRPr="003333DF">
        <w:rPr>
          <w:sz w:val="18"/>
          <w:szCs w:val="18"/>
        </w:rPr>
        <w:t>7 -</w:t>
      </w:r>
      <w:proofErr w:type="gram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Definitely</w:t>
      </w:r>
      <w:proofErr w:type="spellEnd"/>
      <w:r w:rsidRPr="003333DF">
        <w:rPr>
          <w:sz w:val="18"/>
          <w:szCs w:val="18"/>
        </w:rPr>
        <w:t xml:space="preserve">, </w:t>
      </w:r>
      <w:proofErr w:type="spellStart"/>
      <w:r w:rsidRPr="003333DF">
        <w:rPr>
          <w:sz w:val="18"/>
          <w:szCs w:val="18"/>
        </w:rPr>
        <w:t>expected</w:t>
      </w:r>
      <w:proofErr w:type="spell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to</w:t>
      </w:r>
      <w:proofErr w:type="spell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occur</w:t>
      </w:r>
      <w:proofErr w:type="spellEnd"/>
      <w:r w:rsidRPr="003333DF">
        <w:rPr>
          <w:sz w:val="18"/>
          <w:szCs w:val="18"/>
        </w:rPr>
        <w:t xml:space="preserve"> in </w:t>
      </w:r>
      <w:proofErr w:type="spellStart"/>
      <w:r w:rsidRPr="003333DF">
        <w:rPr>
          <w:sz w:val="18"/>
          <w:szCs w:val="18"/>
        </w:rPr>
        <w:t>the</w:t>
      </w:r>
      <w:proofErr w:type="spell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near</w:t>
      </w:r>
      <w:proofErr w:type="spell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future</w:t>
      </w:r>
      <w:proofErr w:type="spellEnd"/>
      <w:r w:rsidRPr="003333DF">
        <w:rPr>
          <w:sz w:val="18"/>
          <w:szCs w:val="18"/>
        </w:rPr>
        <w:t>.</w:t>
      </w:r>
    </w:p>
    <w:p w14:paraId="28ECE02A" w14:textId="77777777" w:rsidR="002551B4" w:rsidRPr="003333DF" w:rsidRDefault="002551B4" w:rsidP="002551B4">
      <w:pPr>
        <w:spacing w:after="0"/>
        <w:rPr>
          <w:sz w:val="18"/>
          <w:szCs w:val="18"/>
        </w:rPr>
      </w:pPr>
    </w:p>
    <w:p w14:paraId="226062B5" w14:textId="77777777" w:rsidR="002551B4" w:rsidRPr="003333DF" w:rsidRDefault="002551B4" w:rsidP="002551B4">
      <w:pPr>
        <w:spacing w:after="0"/>
        <w:rPr>
          <w:b/>
          <w:sz w:val="18"/>
          <w:szCs w:val="18"/>
          <w:u w:val="single"/>
        </w:rPr>
      </w:pPr>
      <w:proofErr w:type="spellStart"/>
      <w:r w:rsidRPr="003333DF">
        <w:rPr>
          <w:b/>
          <w:sz w:val="18"/>
          <w:szCs w:val="18"/>
          <w:u w:val="single"/>
        </w:rPr>
        <w:t>Potential</w:t>
      </w:r>
      <w:proofErr w:type="spellEnd"/>
      <w:r w:rsidRPr="003333DF">
        <w:rPr>
          <w:b/>
          <w:sz w:val="18"/>
          <w:szCs w:val="18"/>
          <w:u w:val="single"/>
        </w:rPr>
        <w:t xml:space="preserve"> </w:t>
      </w:r>
      <w:proofErr w:type="spellStart"/>
      <w:r w:rsidRPr="003333DF">
        <w:rPr>
          <w:b/>
          <w:sz w:val="18"/>
          <w:szCs w:val="18"/>
          <w:u w:val="single"/>
        </w:rPr>
        <w:t>for</w:t>
      </w:r>
      <w:proofErr w:type="spellEnd"/>
      <w:r w:rsidRPr="003333DF">
        <w:rPr>
          <w:b/>
          <w:sz w:val="18"/>
          <w:szCs w:val="18"/>
          <w:u w:val="single"/>
        </w:rPr>
        <w:t xml:space="preserve"> </w:t>
      </w:r>
      <w:proofErr w:type="spellStart"/>
      <w:r w:rsidRPr="003333DF">
        <w:rPr>
          <w:b/>
          <w:sz w:val="18"/>
          <w:szCs w:val="18"/>
          <w:u w:val="single"/>
        </w:rPr>
        <w:t>Avoidance</w:t>
      </w:r>
      <w:proofErr w:type="spellEnd"/>
      <w:r w:rsidRPr="003333DF">
        <w:rPr>
          <w:b/>
          <w:sz w:val="18"/>
          <w:szCs w:val="18"/>
          <w:u w:val="single"/>
        </w:rPr>
        <w:t xml:space="preserve"> (PA):</w:t>
      </w:r>
    </w:p>
    <w:p w14:paraId="66B77D1D" w14:textId="77777777" w:rsidR="002551B4" w:rsidRPr="003333DF" w:rsidRDefault="002551B4" w:rsidP="002551B4">
      <w:pPr>
        <w:spacing w:after="0"/>
        <w:rPr>
          <w:sz w:val="18"/>
          <w:szCs w:val="18"/>
        </w:rPr>
      </w:pPr>
      <w:proofErr w:type="gramStart"/>
      <w:r w:rsidRPr="003333DF">
        <w:rPr>
          <w:sz w:val="18"/>
          <w:szCs w:val="18"/>
        </w:rPr>
        <w:t>0.75 -</w:t>
      </w:r>
      <w:proofErr w:type="gram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Completely</w:t>
      </w:r>
      <w:proofErr w:type="spell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possible</w:t>
      </w:r>
      <w:proofErr w:type="spellEnd"/>
      <w:r w:rsidRPr="003333DF">
        <w:rPr>
          <w:sz w:val="18"/>
          <w:szCs w:val="18"/>
        </w:rPr>
        <w:t>.</w:t>
      </w:r>
    </w:p>
    <w:p w14:paraId="2847A6B1" w14:textId="77777777" w:rsidR="002551B4" w:rsidRPr="003333DF" w:rsidRDefault="002551B4" w:rsidP="002551B4">
      <w:pPr>
        <w:spacing w:after="0"/>
        <w:rPr>
          <w:sz w:val="18"/>
          <w:szCs w:val="18"/>
        </w:rPr>
      </w:pPr>
      <w:proofErr w:type="gramStart"/>
      <w:r w:rsidRPr="003333DF">
        <w:rPr>
          <w:sz w:val="18"/>
          <w:szCs w:val="18"/>
        </w:rPr>
        <w:t>2.5 -</w:t>
      </w:r>
      <w:proofErr w:type="gram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Possible</w:t>
      </w:r>
      <w:proofErr w:type="spellEnd"/>
      <w:r w:rsidRPr="003333DF">
        <w:rPr>
          <w:sz w:val="18"/>
          <w:szCs w:val="18"/>
        </w:rPr>
        <w:t xml:space="preserve"> but </w:t>
      </w:r>
      <w:proofErr w:type="spellStart"/>
      <w:r w:rsidRPr="003333DF">
        <w:rPr>
          <w:sz w:val="18"/>
          <w:szCs w:val="18"/>
        </w:rPr>
        <w:t>only</w:t>
      </w:r>
      <w:proofErr w:type="spell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under</w:t>
      </w:r>
      <w:proofErr w:type="spell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controlled</w:t>
      </w:r>
      <w:proofErr w:type="spell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conditions</w:t>
      </w:r>
      <w:proofErr w:type="spellEnd"/>
      <w:r w:rsidRPr="003333DF">
        <w:rPr>
          <w:sz w:val="18"/>
          <w:szCs w:val="18"/>
        </w:rPr>
        <w:t>.</w:t>
      </w:r>
    </w:p>
    <w:p w14:paraId="5FD29004" w14:textId="77777777" w:rsidR="002551B4" w:rsidRPr="003333DF" w:rsidRDefault="002551B4" w:rsidP="002551B4">
      <w:pPr>
        <w:spacing w:after="0"/>
        <w:rPr>
          <w:sz w:val="18"/>
          <w:szCs w:val="18"/>
        </w:rPr>
      </w:pPr>
      <w:proofErr w:type="gramStart"/>
      <w:r w:rsidRPr="003333DF">
        <w:rPr>
          <w:sz w:val="18"/>
          <w:szCs w:val="18"/>
        </w:rPr>
        <w:t>5 -</w:t>
      </w:r>
      <w:proofErr w:type="gramEnd"/>
      <w:r w:rsidRPr="003333DF">
        <w:rPr>
          <w:sz w:val="18"/>
          <w:szCs w:val="18"/>
        </w:rPr>
        <w:t xml:space="preserve"> Not </w:t>
      </w:r>
      <w:proofErr w:type="spellStart"/>
      <w:r w:rsidRPr="003333DF">
        <w:rPr>
          <w:sz w:val="18"/>
          <w:szCs w:val="18"/>
        </w:rPr>
        <w:t>possible</w:t>
      </w:r>
      <w:proofErr w:type="spellEnd"/>
      <w:r w:rsidRPr="003333DF">
        <w:rPr>
          <w:sz w:val="18"/>
          <w:szCs w:val="18"/>
        </w:rPr>
        <w:t>.</w:t>
      </w:r>
    </w:p>
    <w:p w14:paraId="2BEBE0BE" w14:textId="77777777" w:rsidR="002551B4" w:rsidRPr="003333DF" w:rsidRDefault="002551B4" w:rsidP="002551B4">
      <w:pPr>
        <w:spacing w:after="0"/>
        <w:rPr>
          <w:sz w:val="18"/>
          <w:szCs w:val="18"/>
        </w:rPr>
      </w:pPr>
    </w:p>
    <w:p w14:paraId="13199319" w14:textId="77777777" w:rsidR="002551B4" w:rsidRPr="003333DF" w:rsidRDefault="002551B4" w:rsidP="002551B4">
      <w:pPr>
        <w:spacing w:after="0"/>
        <w:rPr>
          <w:b/>
          <w:sz w:val="18"/>
          <w:szCs w:val="18"/>
          <w:u w:val="single"/>
        </w:rPr>
      </w:pPr>
      <w:proofErr w:type="spellStart"/>
      <w:r w:rsidRPr="003333DF">
        <w:rPr>
          <w:b/>
          <w:sz w:val="18"/>
          <w:szCs w:val="18"/>
          <w:u w:val="single"/>
        </w:rPr>
        <w:t>Frequency</w:t>
      </w:r>
      <w:proofErr w:type="spellEnd"/>
      <w:r w:rsidRPr="003333DF">
        <w:rPr>
          <w:b/>
          <w:sz w:val="18"/>
          <w:szCs w:val="18"/>
          <w:u w:val="single"/>
        </w:rPr>
        <w:t xml:space="preserve"> of </w:t>
      </w:r>
      <w:proofErr w:type="spellStart"/>
      <w:r w:rsidRPr="003333DF">
        <w:rPr>
          <w:b/>
          <w:sz w:val="18"/>
          <w:szCs w:val="18"/>
          <w:u w:val="single"/>
        </w:rPr>
        <w:t>Exposure</w:t>
      </w:r>
      <w:proofErr w:type="spellEnd"/>
      <w:r w:rsidRPr="003333DF">
        <w:rPr>
          <w:b/>
          <w:sz w:val="18"/>
          <w:szCs w:val="18"/>
          <w:u w:val="single"/>
        </w:rPr>
        <w:t xml:space="preserve"> (FE):</w:t>
      </w:r>
    </w:p>
    <w:p w14:paraId="572CD0CA" w14:textId="77777777" w:rsidR="002551B4" w:rsidRPr="003333DF" w:rsidRDefault="002551B4" w:rsidP="002551B4">
      <w:pPr>
        <w:spacing w:after="0"/>
        <w:rPr>
          <w:sz w:val="18"/>
          <w:szCs w:val="18"/>
        </w:rPr>
      </w:pPr>
      <w:proofErr w:type="gramStart"/>
      <w:r w:rsidRPr="003333DF">
        <w:rPr>
          <w:sz w:val="18"/>
          <w:szCs w:val="18"/>
        </w:rPr>
        <w:t>0.5 -</w:t>
      </w:r>
      <w:proofErr w:type="gram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Yearly</w:t>
      </w:r>
      <w:proofErr w:type="spellEnd"/>
    </w:p>
    <w:p w14:paraId="6D52C3C0" w14:textId="77777777" w:rsidR="002551B4" w:rsidRPr="003333DF" w:rsidRDefault="002551B4" w:rsidP="002551B4">
      <w:pPr>
        <w:spacing w:after="0"/>
        <w:rPr>
          <w:sz w:val="18"/>
          <w:szCs w:val="18"/>
        </w:rPr>
      </w:pPr>
      <w:proofErr w:type="gramStart"/>
      <w:r w:rsidRPr="003333DF">
        <w:rPr>
          <w:sz w:val="18"/>
          <w:szCs w:val="18"/>
        </w:rPr>
        <w:t>1 -</w:t>
      </w:r>
      <w:proofErr w:type="gram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Monthly</w:t>
      </w:r>
      <w:proofErr w:type="spellEnd"/>
    </w:p>
    <w:p w14:paraId="1B2C8BF2" w14:textId="77777777" w:rsidR="002551B4" w:rsidRPr="003333DF" w:rsidRDefault="002551B4" w:rsidP="002551B4">
      <w:pPr>
        <w:spacing w:after="0"/>
        <w:rPr>
          <w:sz w:val="18"/>
          <w:szCs w:val="18"/>
        </w:rPr>
      </w:pPr>
      <w:proofErr w:type="gramStart"/>
      <w:r w:rsidRPr="003333DF">
        <w:rPr>
          <w:sz w:val="18"/>
          <w:szCs w:val="18"/>
        </w:rPr>
        <w:t>2 -</w:t>
      </w:r>
      <w:proofErr w:type="gram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Weekly</w:t>
      </w:r>
      <w:proofErr w:type="spellEnd"/>
    </w:p>
    <w:p w14:paraId="17018BAC" w14:textId="77777777" w:rsidR="002551B4" w:rsidRPr="003333DF" w:rsidRDefault="002551B4" w:rsidP="002551B4">
      <w:pPr>
        <w:spacing w:after="0"/>
        <w:rPr>
          <w:sz w:val="18"/>
          <w:szCs w:val="18"/>
        </w:rPr>
      </w:pPr>
      <w:proofErr w:type="gramStart"/>
      <w:r w:rsidRPr="003333DF">
        <w:rPr>
          <w:sz w:val="18"/>
          <w:szCs w:val="18"/>
        </w:rPr>
        <w:t>3 -</w:t>
      </w:r>
      <w:proofErr w:type="gramEnd"/>
      <w:r w:rsidRPr="003333DF">
        <w:rPr>
          <w:sz w:val="18"/>
          <w:szCs w:val="18"/>
        </w:rPr>
        <w:t xml:space="preserve"> Daily</w:t>
      </w:r>
    </w:p>
    <w:p w14:paraId="31580746" w14:textId="77777777" w:rsidR="002551B4" w:rsidRPr="003333DF" w:rsidRDefault="002551B4" w:rsidP="002551B4">
      <w:pPr>
        <w:spacing w:after="0"/>
        <w:rPr>
          <w:sz w:val="18"/>
          <w:szCs w:val="18"/>
        </w:rPr>
      </w:pPr>
      <w:proofErr w:type="gramStart"/>
      <w:r w:rsidRPr="003333DF">
        <w:rPr>
          <w:sz w:val="18"/>
          <w:szCs w:val="18"/>
        </w:rPr>
        <w:t>4 -</w:t>
      </w:r>
      <w:proofErr w:type="gram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Hourly</w:t>
      </w:r>
      <w:proofErr w:type="spellEnd"/>
    </w:p>
    <w:p w14:paraId="191BCE57" w14:textId="77777777" w:rsidR="002551B4" w:rsidRPr="003333DF" w:rsidRDefault="002551B4" w:rsidP="002551B4">
      <w:pPr>
        <w:spacing w:after="0"/>
        <w:rPr>
          <w:sz w:val="18"/>
          <w:szCs w:val="18"/>
        </w:rPr>
      </w:pPr>
      <w:r w:rsidRPr="003333DF">
        <w:rPr>
          <w:sz w:val="18"/>
          <w:szCs w:val="18"/>
        </w:rPr>
        <w:t xml:space="preserve">5 – </w:t>
      </w:r>
      <w:proofErr w:type="spellStart"/>
      <w:r w:rsidRPr="003333DF">
        <w:rPr>
          <w:sz w:val="18"/>
          <w:szCs w:val="18"/>
        </w:rPr>
        <w:t>Continuous</w:t>
      </w:r>
      <w:proofErr w:type="spellEnd"/>
    </w:p>
    <w:p w14:paraId="5AC7A523" w14:textId="77777777" w:rsidR="002551B4" w:rsidRPr="003333DF" w:rsidRDefault="002551B4" w:rsidP="002551B4">
      <w:pPr>
        <w:spacing w:after="0"/>
        <w:rPr>
          <w:sz w:val="18"/>
          <w:szCs w:val="18"/>
        </w:rPr>
      </w:pPr>
    </w:p>
    <w:p w14:paraId="38171F22" w14:textId="77777777" w:rsidR="002551B4" w:rsidRPr="003333DF" w:rsidRDefault="002551B4" w:rsidP="002551B4">
      <w:pPr>
        <w:spacing w:after="0"/>
        <w:rPr>
          <w:b/>
          <w:sz w:val="18"/>
          <w:szCs w:val="18"/>
          <w:u w:val="single"/>
        </w:rPr>
      </w:pPr>
      <w:proofErr w:type="spellStart"/>
      <w:r w:rsidRPr="003333DF">
        <w:rPr>
          <w:b/>
          <w:sz w:val="18"/>
          <w:szCs w:val="18"/>
          <w:u w:val="single"/>
        </w:rPr>
        <w:t>Assessment</w:t>
      </w:r>
      <w:proofErr w:type="spellEnd"/>
      <w:r w:rsidRPr="003333DF">
        <w:rPr>
          <w:b/>
          <w:sz w:val="18"/>
          <w:szCs w:val="18"/>
          <w:u w:val="single"/>
        </w:rPr>
        <w:t xml:space="preserve"> of HRN </w:t>
      </w:r>
      <w:proofErr w:type="spellStart"/>
      <w:r w:rsidRPr="003333DF">
        <w:rPr>
          <w:b/>
          <w:sz w:val="18"/>
          <w:szCs w:val="18"/>
          <w:u w:val="single"/>
        </w:rPr>
        <w:t>Calculation</w:t>
      </w:r>
      <w:proofErr w:type="spellEnd"/>
      <w:r w:rsidRPr="003333DF">
        <w:rPr>
          <w:b/>
          <w:sz w:val="18"/>
          <w:szCs w:val="18"/>
          <w:u w:val="single"/>
        </w:rPr>
        <w:t>:</w:t>
      </w:r>
    </w:p>
    <w:p w14:paraId="6A123902" w14:textId="77777777" w:rsidR="002551B4" w:rsidRPr="003333DF" w:rsidRDefault="002551B4" w:rsidP="002551B4">
      <w:pPr>
        <w:spacing w:after="0"/>
        <w:rPr>
          <w:sz w:val="18"/>
          <w:szCs w:val="18"/>
        </w:rPr>
      </w:pPr>
      <w:proofErr w:type="gramStart"/>
      <w:r w:rsidRPr="003333DF">
        <w:rPr>
          <w:sz w:val="18"/>
          <w:szCs w:val="18"/>
        </w:rPr>
        <w:t>0 -</w:t>
      </w:r>
      <w:proofErr w:type="gramEnd"/>
      <w:r w:rsidRPr="003333DF">
        <w:rPr>
          <w:sz w:val="18"/>
          <w:szCs w:val="18"/>
        </w:rPr>
        <w:t xml:space="preserve"> </w:t>
      </w:r>
      <w:proofErr w:type="gramStart"/>
      <w:r w:rsidRPr="003333DF">
        <w:rPr>
          <w:sz w:val="18"/>
          <w:szCs w:val="18"/>
        </w:rPr>
        <w:t xml:space="preserve">10:  </w:t>
      </w:r>
      <w:proofErr w:type="spellStart"/>
      <w:r w:rsidRPr="003333DF">
        <w:rPr>
          <w:sz w:val="18"/>
          <w:szCs w:val="18"/>
        </w:rPr>
        <w:t>Negligible</w:t>
      </w:r>
      <w:proofErr w:type="spellEnd"/>
      <w:proofErr w:type="gramEnd"/>
      <w:r w:rsidRPr="003333DF">
        <w:rPr>
          <w:sz w:val="18"/>
          <w:szCs w:val="18"/>
        </w:rPr>
        <w:t xml:space="preserve"> risk</w:t>
      </w:r>
    </w:p>
    <w:p w14:paraId="582203E0" w14:textId="77777777" w:rsidR="002551B4" w:rsidRPr="003333DF" w:rsidRDefault="002551B4" w:rsidP="002551B4">
      <w:pPr>
        <w:spacing w:after="0"/>
        <w:rPr>
          <w:sz w:val="18"/>
          <w:szCs w:val="18"/>
        </w:rPr>
      </w:pPr>
      <w:r w:rsidRPr="003333DF">
        <w:rPr>
          <w:sz w:val="18"/>
          <w:szCs w:val="18"/>
        </w:rPr>
        <w:t xml:space="preserve">11 – </w:t>
      </w:r>
      <w:proofErr w:type="gramStart"/>
      <w:r w:rsidRPr="003333DF">
        <w:rPr>
          <w:sz w:val="18"/>
          <w:szCs w:val="18"/>
        </w:rPr>
        <w:t>20 :</w:t>
      </w:r>
      <w:proofErr w:type="gramEnd"/>
      <w:r w:rsidRPr="003333DF">
        <w:rPr>
          <w:sz w:val="18"/>
          <w:szCs w:val="18"/>
        </w:rPr>
        <w:t xml:space="preserve">  </w:t>
      </w:r>
      <w:proofErr w:type="spellStart"/>
      <w:r w:rsidRPr="003333DF">
        <w:rPr>
          <w:sz w:val="18"/>
          <w:szCs w:val="18"/>
        </w:rPr>
        <w:t>Very</w:t>
      </w:r>
      <w:proofErr w:type="spell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low</w:t>
      </w:r>
      <w:proofErr w:type="spellEnd"/>
      <w:r w:rsidRPr="003333DF">
        <w:rPr>
          <w:sz w:val="18"/>
          <w:szCs w:val="18"/>
        </w:rPr>
        <w:t xml:space="preserve"> risk</w:t>
      </w:r>
    </w:p>
    <w:p w14:paraId="2BFB95C6" w14:textId="77777777" w:rsidR="002551B4" w:rsidRPr="003333DF" w:rsidRDefault="002551B4" w:rsidP="002551B4">
      <w:pPr>
        <w:spacing w:after="0"/>
        <w:rPr>
          <w:sz w:val="18"/>
          <w:szCs w:val="18"/>
        </w:rPr>
      </w:pPr>
      <w:proofErr w:type="gramStart"/>
      <w:r w:rsidRPr="003333DF">
        <w:rPr>
          <w:sz w:val="18"/>
          <w:szCs w:val="18"/>
        </w:rPr>
        <w:t>21 -</w:t>
      </w:r>
      <w:proofErr w:type="gramEnd"/>
      <w:r w:rsidRPr="003333DF">
        <w:rPr>
          <w:sz w:val="18"/>
          <w:szCs w:val="18"/>
        </w:rPr>
        <w:t xml:space="preserve"> </w:t>
      </w:r>
      <w:proofErr w:type="gramStart"/>
      <w:r w:rsidRPr="003333DF">
        <w:rPr>
          <w:sz w:val="18"/>
          <w:szCs w:val="18"/>
        </w:rPr>
        <w:t xml:space="preserve">45:  </w:t>
      </w:r>
      <w:proofErr w:type="spellStart"/>
      <w:r w:rsidRPr="003333DF">
        <w:rPr>
          <w:sz w:val="18"/>
          <w:szCs w:val="18"/>
        </w:rPr>
        <w:t>Low</w:t>
      </w:r>
      <w:proofErr w:type="spellEnd"/>
      <w:proofErr w:type="gramEnd"/>
      <w:r w:rsidRPr="003333DF">
        <w:rPr>
          <w:sz w:val="18"/>
          <w:szCs w:val="18"/>
        </w:rPr>
        <w:t xml:space="preserve"> risk</w:t>
      </w:r>
    </w:p>
    <w:p w14:paraId="6DAD87E5" w14:textId="77777777" w:rsidR="002551B4" w:rsidRPr="003333DF" w:rsidRDefault="002551B4" w:rsidP="002551B4">
      <w:pPr>
        <w:spacing w:after="0"/>
        <w:rPr>
          <w:sz w:val="18"/>
          <w:szCs w:val="18"/>
        </w:rPr>
      </w:pPr>
      <w:proofErr w:type="gramStart"/>
      <w:r w:rsidRPr="003333DF">
        <w:rPr>
          <w:sz w:val="18"/>
          <w:szCs w:val="18"/>
        </w:rPr>
        <w:t>46 -</w:t>
      </w:r>
      <w:proofErr w:type="gramEnd"/>
      <w:r w:rsidRPr="003333DF">
        <w:rPr>
          <w:sz w:val="18"/>
          <w:szCs w:val="18"/>
        </w:rPr>
        <w:t xml:space="preserve"> </w:t>
      </w:r>
      <w:proofErr w:type="gramStart"/>
      <w:r w:rsidRPr="003333DF">
        <w:rPr>
          <w:sz w:val="18"/>
          <w:szCs w:val="18"/>
        </w:rPr>
        <w:t xml:space="preserve">160:  </w:t>
      </w:r>
      <w:proofErr w:type="spellStart"/>
      <w:r w:rsidRPr="003333DF">
        <w:rPr>
          <w:sz w:val="18"/>
          <w:szCs w:val="18"/>
        </w:rPr>
        <w:t>Significiant</w:t>
      </w:r>
      <w:proofErr w:type="spellEnd"/>
      <w:proofErr w:type="gramEnd"/>
      <w:r w:rsidRPr="003333DF">
        <w:rPr>
          <w:sz w:val="18"/>
          <w:szCs w:val="18"/>
        </w:rPr>
        <w:t xml:space="preserve"> Risk</w:t>
      </w:r>
    </w:p>
    <w:p w14:paraId="35435A86" w14:textId="77777777" w:rsidR="002551B4" w:rsidRPr="003333DF" w:rsidRDefault="002551B4" w:rsidP="002551B4">
      <w:pPr>
        <w:spacing w:after="0"/>
        <w:rPr>
          <w:sz w:val="18"/>
          <w:szCs w:val="18"/>
        </w:rPr>
      </w:pPr>
      <w:proofErr w:type="gramStart"/>
      <w:r w:rsidRPr="003333DF">
        <w:rPr>
          <w:sz w:val="18"/>
          <w:szCs w:val="18"/>
        </w:rPr>
        <w:t>161 -</w:t>
      </w:r>
      <w:proofErr w:type="gramEnd"/>
      <w:r w:rsidRPr="003333DF">
        <w:rPr>
          <w:sz w:val="18"/>
          <w:szCs w:val="18"/>
        </w:rPr>
        <w:t xml:space="preserve"> </w:t>
      </w:r>
      <w:proofErr w:type="gramStart"/>
      <w:r w:rsidRPr="003333DF">
        <w:rPr>
          <w:sz w:val="18"/>
          <w:szCs w:val="18"/>
        </w:rPr>
        <w:t>500:  High</w:t>
      </w:r>
      <w:proofErr w:type="gramEnd"/>
      <w:r w:rsidRPr="003333DF">
        <w:rPr>
          <w:sz w:val="18"/>
          <w:szCs w:val="18"/>
        </w:rPr>
        <w:t xml:space="preserve"> risk</w:t>
      </w:r>
    </w:p>
    <w:p w14:paraId="73F483BE" w14:textId="77777777" w:rsidR="002551B4" w:rsidRPr="003333DF" w:rsidRDefault="002551B4" w:rsidP="002551B4">
      <w:pPr>
        <w:spacing w:after="0"/>
        <w:rPr>
          <w:sz w:val="18"/>
          <w:szCs w:val="18"/>
        </w:rPr>
      </w:pPr>
      <w:r w:rsidRPr="003333DF">
        <w:rPr>
          <w:sz w:val="18"/>
          <w:szCs w:val="18"/>
        </w:rPr>
        <w:t xml:space="preserve">501+:  </w:t>
      </w:r>
      <w:proofErr w:type="spellStart"/>
      <w:r w:rsidRPr="003333DF">
        <w:rPr>
          <w:sz w:val="18"/>
          <w:szCs w:val="18"/>
        </w:rPr>
        <w:t>Very</w:t>
      </w:r>
      <w:proofErr w:type="spellEnd"/>
      <w:r w:rsidRPr="003333DF">
        <w:rPr>
          <w:sz w:val="18"/>
          <w:szCs w:val="18"/>
        </w:rPr>
        <w:t xml:space="preserve"> </w:t>
      </w:r>
      <w:proofErr w:type="spellStart"/>
      <w:r w:rsidRPr="003333DF">
        <w:rPr>
          <w:sz w:val="18"/>
          <w:szCs w:val="18"/>
        </w:rPr>
        <w:t>high</w:t>
      </w:r>
      <w:proofErr w:type="spellEnd"/>
      <w:r w:rsidRPr="003333DF">
        <w:rPr>
          <w:sz w:val="18"/>
          <w:szCs w:val="18"/>
        </w:rPr>
        <w:t xml:space="preserve"> risk</w:t>
      </w:r>
    </w:p>
    <w:p w14:paraId="2189EEB2" w14:textId="42BED55F" w:rsidR="002551B4" w:rsidRDefault="002551B4">
      <w:pPr>
        <w:spacing w:line="278" w:lineRule="auto"/>
      </w:pPr>
      <w:r>
        <w:br w:type="page"/>
      </w:r>
    </w:p>
    <w:p w14:paraId="0A56416A" w14:textId="2A183695" w:rsidR="002551B4" w:rsidRPr="00A42CB4" w:rsidRDefault="002551B4" w:rsidP="002551B4">
      <w:pPr>
        <w:tabs>
          <w:tab w:val="left" w:pos="1890"/>
        </w:tabs>
        <w:spacing w:after="0" w:line="240" w:lineRule="auto"/>
        <w:ind w:left="-567" w:right="-711"/>
        <w:jc w:val="center"/>
        <w:rPr>
          <w:rFonts w:ascii="Arial" w:hAnsi="Arial" w:cs="Arial"/>
          <w:bCs/>
          <w:i/>
          <w:color w:val="6A6A6A"/>
          <w:sz w:val="28"/>
          <w:szCs w:val="28"/>
          <w:shd w:val="clear" w:color="auto" w:fill="FFFFFF"/>
        </w:rPr>
      </w:pPr>
      <w:r>
        <w:rPr>
          <w:rFonts w:ascii="Arial" w:hAnsi="Arial" w:cs="Arial"/>
          <w:bCs/>
          <w:i/>
          <w:noProof/>
          <w:color w:val="6A6A6A"/>
          <w:sz w:val="28"/>
          <w:szCs w:val="28"/>
          <w:shd w:val="clear" w:color="auto" w:fill="FFFFFF"/>
        </w:rPr>
        <w:lastRenderedPageBreak/>
        <w:drawing>
          <wp:anchor distT="0" distB="0" distL="114300" distR="114300" simplePos="0" relativeHeight="251658240" behindDoc="0" locked="0" layoutInCell="1" allowOverlap="1" wp14:anchorId="773EE1FE" wp14:editId="79C2D6FE">
            <wp:simplePos x="0" y="0"/>
            <wp:positionH relativeFrom="margin">
              <wp:posOffset>-233967</wp:posOffset>
            </wp:positionH>
            <wp:positionV relativeFrom="margin">
              <wp:posOffset>-191386</wp:posOffset>
            </wp:positionV>
            <wp:extent cx="6230446" cy="2264069"/>
            <wp:effectExtent l="0" t="0" r="0" b="3175"/>
            <wp:wrapSquare wrapText="bothSides"/>
            <wp:docPr id="71" name="Picture 71" descr="P248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Resim 71" descr="P248#yIS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0446" cy="22640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103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701"/>
        <w:gridCol w:w="7371"/>
      </w:tblGrid>
      <w:tr w:rsidR="002551B4" w:rsidRPr="005E55CC" w14:paraId="1E7D23D8" w14:textId="77777777" w:rsidTr="002E55B7">
        <w:trPr>
          <w:trHeight w:val="589"/>
          <w:jc w:val="center"/>
        </w:trPr>
        <w:tc>
          <w:tcPr>
            <w:tcW w:w="10348" w:type="dxa"/>
            <w:gridSpan w:val="3"/>
            <w:shd w:val="clear" w:color="auto" w:fill="B4C6E7"/>
            <w:vAlign w:val="center"/>
          </w:tcPr>
          <w:p w14:paraId="797F2A0D" w14:textId="77777777" w:rsidR="002551B4" w:rsidRPr="00DC5C10" w:rsidRDefault="002551B4" w:rsidP="002E55B7">
            <w:pPr>
              <w:spacing w:after="0"/>
              <w:jc w:val="center"/>
              <w:rPr>
                <w:b/>
                <w:bCs/>
              </w:rPr>
            </w:pPr>
            <w:bookmarkStart w:id="2" w:name="_Toc167804557"/>
            <w:bookmarkStart w:id="3" w:name="_Hlk146284542"/>
            <w:r w:rsidRPr="00DC5C10">
              <w:rPr>
                <w:b/>
                <w:bCs/>
                <w:sz w:val="28"/>
                <w:szCs w:val="28"/>
              </w:rPr>
              <w:t>TEFDO – HAZARD RATING NUMBER (HRN)</w:t>
            </w:r>
            <w:bookmarkEnd w:id="2"/>
          </w:p>
        </w:tc>
      </w:tr>
      <w:tr w:rsidR="002551B4" w:rsidRPr="005E55CC" w14:paraId="4D045F42" w14:textId="77777777" w:rsidTr="002E55B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vAlign w:val="center"/>
          </w:tcPr>
          <w:p w14:paraId="41D4D755" w14:textId="77777777" w:rsidR="002551B4" w:rsidRPr="005E55CC" w:rsidRDefault="002551B4" w:rsidP="002E55B7">
            <w:pPr>
              <w:tabs>
                <w:tab w:val="left" w:pos="1890"/>
              </w:tabs>
              <w:spacing w:after="0" w:line="240" w:lineRule="auto"/>
              <w:jc w:val="center"/>
            </w:pPr>
            <w:r w:rsidRPr="005E55CC">
              <w:t>HRN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vAlign w:val="center"/>
          </w:tcPr>
          <w:p w14:paraId="1D55A4C2" w14:textId="77777777" w:rsidR="002551B4" w:rsidRPr="005E55CC" w:rsidRDefault="002551B4" w:rsidP="002E55B7">
            <w:pPr>
              <w:tabs>
                <w:tab w:val="left" w:pos="1890"/>
              </w:tabs>
              <w:spacing w:after="0" w:line="240" w:lineRule="auto"/>
              <w:jc w:val="center"/>
            </w:pPr>
            <w:r w:rsidRPr="005E55CC">
              <w:t>RİSK SEVİYESİ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vAlign w:val="center"/>
          </w:tcPr>
          <w:p w14:paraId="799E67E3" w14:textId="77777777" w:rsidR="002551B4" w:rsidRPr="005E55CC" w:rsidRDefault="002551B4" w:rsidP="002E55B7">
            <w:pPr>
              <w:tabs>
                <w:tab w:val="left" w:pos="1890"/>
              </w:tabs>
              <w:spacing w:after="0" w:line="240" w:lineRule="auto"/>
            </w:pPr>
            <w:r w:rsidRPr="005E55CC">
              <w:t>YORUM</w:t>
            </w:r>
          </w:p>
        </w:tc>
      </w:tr>
      <w:tr w:rsidR="002551B4" w:rsidRPr="005E55CC" w14:paraId="4E37ADCD" w14:textId="77777777" w:rsidTr="002E55B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3BC7411E" w14:textId="77777777" w:rsidR="002551B4" w:rsidRPr="005E55CC" w:rsidRDefault="002551B4" w:rsidP="002E55B7">
            <w:pPr>
              <w:tabs>
                <w:tab w:val="left" w:pos="1890"/>
              </w:tabs>
              <w:spacing w:after="0" w:line="240" w:lineRule="auto"/>
              <w:jc w:val="center"/>
            </w:pPr>
            <w:r w:rsidRPr="005E55CC">
              <w:t>0,01-10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6619E314" w14:textId="77777777" w:rsidR="002551B4" w:rsidRPr="005E55CC" w:rsidRDefault="002551B4" w:rsidP="002E55B7">
            <w:pPr>
              <w:spacing w:after="60"/>
              <w:jc w:val="center"/>
            </w:pPr>
            <w:r w:rsidRPr="005E55CC">
              <w:t>İhmal Edilebilir Risk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9658A" w14:textId="77777777" w:rsidR="002551B4" w:rsidRPr="005E55CC" w:rsidRDefault="002551B4" w:rsidP="002E55B7">
            <w:pPr>
              <w:spacing w:before="120" w:after="60"/>
            </w:pPr>
            <w:r w:rsidRPr="005E55CC">
              <w:t>Sağlık ve güvenlik içi</w:t>
            </w:r>
            <w:r>
              <w:t>n</w:t>
            </w:r>
            <w:r w:rsidRPr="005E55CC">
              <w:t xml:space="preserve"> tehlike oluşturmamaktadır.</w:t>
            </w:r>
          </w:p>
          <w:p w14:paraId="7129087E" w14:textId="77777777" w:rsidR="002551B4" w:rsidRPr="005E55CC" w:rsidRDefault="002551B4" w:rsidP="002E55B7">
            <w:pPr>
              <w:spacing w:after="60"/>
            </w:pPr>
            <w:r w:rsidRPr="005E55CC">
              <w:t>İlave risk azaltım önlemi alınmasına gerek bulunmamaktadır.</w:t>
            </w:r>
          </w:p>
        </w:tc>
      </w:tr>
      <w:tr w:rsidR="002551B4" w:rsidRPr="005E55CC" w14:paraId="31B01C00" w14:textId="77777777" w:rsidTr="002E55B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2"/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9137E32" w14:textId="77777777" w:rsidR="002551B4" w:rsidRPr="005E55CC" w:rsidRDefault="002551B4" w:rsidP="002E55B7">
            <w:pPr>
              <w:tabs>
                <w:tab w:val="left" w:pos="1890"/>
              </w:tabs>
              <w:spacing w:after="0" w:line="240" w:lineRule="auto"/>
              <w:jc w:val="center"/>
            </w:pPr>
            <w:r w:rsidRPr="005E55CC">
              <w:t>11-20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BDD0D26" w14:textId="77777777" w:rsidR="002551B4" w:rsidRPr="005E55CC" w:rsidRDefault="002551B4" w:rsidP="002E55B7">
            <w:pPr>
              <w:spacing w:after="60"/>
              <w:jc w:val="center"/>
            </w:pPr>
            <w:r w:rsidRPr="005E55CC">
              <w:t>Çok Düşük Risk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E1B22" w14:textId="77777777" w:rsidR="002551B4" w:rsidRPr="005E55CC" w:rsidRDefault="002551B4" w:rsidP="002E55B7">
            <w:pPr>
              <w:spacing w:after="60"/>
            </w:pPr>
            <w:r w:rsidRPr="005E55CC">
              <w:t>Sağlık ve güvenlik açısından çok düşük risk bulunmaktadır</w:t>
            </w:r>
            <w:r>
              <w:t>.</w:t>
            </w:r>
          </w:p>
          <w:p w14:paraId="6173C742" w14:textId="77777777" w:rsidR="002551B4" w:rsidRPr="005E55CC" w:rsidRDefault="002551B4" w:rsidP="002E55B7">
            <w:pPr>
              <w:spacing w:after="60"/>
            </w:pPr>
            <w:r w:rsidRPr="005E55CC">
              <w:t>Risk azaltımı önlemleri gerekmemektedir, kişisel koruyucu donanım kullanılması ve/veya eğitim gerekebilir</w:t>
            </w:r>
          </w:p>
        </w:tc>
      </w:tr>
      <w:tr w:rsidR="002551B4" w:rsidRPr="005E55CC" w14:paraId="191E828B" w14:textId="77777777" w:rsidTr="002E55B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46"/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C2EEA7D" w14:textId="77777777" w:rsidR="002551B4" w:rsidRPr="005E55CC" w:rsidRDefault="002551B4" w:rsidP="002E55B7">
            <w:pPr>
              <w:tabs>
                <w:tab w:val="left" w:pos="1890"/>
              </w:tabs>
              <w:spacing w:after="0" w:line="240" w:lineRule="auto"/>
              <w:jc w:val="center"/>
            </w:pPr>
            <w:r w:rsidRPr="005E55CC">
              <w:t>21-45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E6A9FB" w14:textId="77777777" w:rsidR="002551B4" w:rsidRPr="005E55CC" w:rsidRDefault="002551B4" w:rsidP="002E55B7">
            <w:pPr>
              <w:spacing w:after="60"/>
              <w:jc w:val="center"/>
            </w:pPr>
            <w:r w:rsidRPr="005E55CC">
              <w:t>Düşük Risk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3E397" w14:textId="77777777" w:rsidR="002551B4" w:rsidRPr="005E55CC" w:rsidRDefault="002551B4" w:rsidP="002E55B7">
            <w:pPr>
              <w:spacing w:after="60"/>
            </w:pPr>
            <w:r w:rsidRPr="005E55CC">
              <w:t>Sağlık ve güvenlik açısından düşük risk bulunmaktadır.</w:t>
            </w:r>
          </w:p>
          <w:p w14:paraId="400EF6CA" w14:textId="77777777" w:rsidR="002551B4" w:rsidRPr="005E55CC" w:rsidRDefault="002551B4" w:rsidP="002E55B7">
            <w:pPr>
              <w:spacing w:after="60"/>
            </w:pPr>
            <w:r w:rsidRPr="005E55CC">
              <w:t>Risk azaltım önlemleri alınmalıdır.</w:t>
            </w:r>
          </w:p>
        </w:tc>
      </w:tr>
      <w:tr w:rsidR="002551B4" w:rsidRPr="005E55CC" w14:paraId="2CA64D48" w14:textId="77777777" w:rsidTr="002E55B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10"/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4282DC32" w14:textId="77777777" w:rsidR="002551B4" w:rsidRPr="005E55CC" w:rsidRDefault="002551B4" w:rsidP="002E55B7">
            <w:pPr>
              <w:tabs>
                <w:tab w:val="left" w:pos="1890"/>
              </w:tabs>
              <w:spacing w:after="0" w:line="240" w:lineRule="auto"/>
              <w:jc w:val="center"/>
            </w:pPr>
            <w:r w:rsidRPr="005E55CC">
              <w:t>46-160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314651DE" w14:textId="77777777" w:rsidR="002551B4" w:rsidRPr="005E55CC" w:rsidRDefault="002551B4" w:rsidP="002E55B7">
            <w:pPr>
              <w:spacing w:after="60"/>
              <w:jc w:val="center"/>
            </w:pPr>
            <w:r w:rsidRPr="005E55CC">
              <w:t>Önemli Risk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F741B" w14:textId="77777777" w:rsidR="002551B4" w:rsidRPr="005E55CC" w:rsidRDefault="002551B4" w:rsidP="002E55B7">
            <w:pPr>
              <w:spacing w:after="60"/>
            </w:pPr>
            <w:r w:rsidRPr="005E55CC">
              <w:t>Risk ile ilgili tehlike, risk azaltım önlemleri alınmasını gerektirecek kadar ciddidir.</w:t>
            </w:r>
          </w:p>
          <w:p w14:paraId="58D6346E" w14:textId="77777777" w:rsidR="002551B4" w:rsidRPr="005E55CC" w:rsidRDefault="002551B4" w:rsidP="002E55B7">
            <w:pPr>
              <w:spacing w:after="60"/>
            </w:pPr>
            <w:r w:rsidRPr="005E55CC">
              <w:t>Bu önlemler ilk uygun fırsatta alınmalıdır.</w:t>
            </w:r>
          </w:p>
        </w:tc>
      </w:tr>
      <w:tr w:rsidR="002551B4" w:rsidRPr="005E55CC" w14:paraId="08C5CD02" w14:textId="77777777" w:rsidTr="002E55B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50"/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02EF9D86" w14:textId="77777777" w:rsidR="002551B4" w:rsidRPr="005E55CC" w:rsidRDefault="002551B4" w:rsidP="002E55B7">
            <w:pPr>
              <w:tabs>
                <w:tab w:val="left" w:pos="1890"/>
              </w:tabs>
              <w:spacing w:after="0" w:line="240" w:lineRule="auto"/>
              <w:jc w:val="center"/>
            </w:pPr>
            <w:r w:rsidRPr="005E55CC">
              <w:t>161-500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3D7AD367" w14:textId="77777777" w:rsidR="002551B4" w:rsidRPr="005E55CC" w:rsidRDefault="002551B4" w:rsidP="002E55B7">
            <w:pPr>
              <w:spacing w:after="60"/>
              <w:jc w:val="center"/>
            </w:pPr>
            <w:r w:rsidRPr="005E55CC">
              <w:t>Yüksek Risk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CF954" w14:textId="77777777" w:rsidR="002551B4" w:rsidRPr="005E55CC" w:rsidRDefault="002551B4" w:rsidP="002E55B7">
            <w:pPr>
              <w:spacing w:after="60"/>
            </w:pPr>
            <w:r w:rsidRPr="005E55CC">
              <w:t>Şiddetli tehlikeler, risk azaltım önlemlerinin acil olarak alınmasını gerektirir.</w:t>
            </w:r>
          </w:p>
        </w:tc>
      </w:tr>
      <w:tr w:rsidR="002551B4" w:rsidRPr="005E55CC" w14:paraId="5FDAC011" w14:textId="77777777" w:rsidTr="002E55B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58"/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7566FC3" w14:textId="77777777" w:rsidR="002551B4" w:rsidRPr="005E55CC" w:rsidRDefault="002551B4" w:rsidP="002E55B7">
            <w:pPr>
              <w:tabs>
                <w:tab w:val="left" w:pos="1890"/>
              </w:tabs>
              <w:spacing w:after="0" w:line="240" w:lineRule="auto"/>
              <w:jc w:val="center"/>
            </w:pPr>
            <w:r w:rsidRPr="005E55CC">
              <w:t>501+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3A0A61DC" w14:textId="77777777" w:rsidR="002551B4" w:rsidRPr="005E55CC" w:rsidRDefault="002551B4" w:rsidP="002E55B7">
            <w:pPr>
              <w:spacing w:after="60"/>
              <w:jc w:val="center"/>
            </w:pPr>
            <w:r w:rsidRPr="005E55CC">
              <w:t>Çok Yüksek Risk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8FC7B" w14:textId="77777777" w:rsidR="002551B4" w:rsidRPr="005E55CC" w:rsidRDefault="002551B4" w:rsidP="002E55B7">
            <w:pPr>
              <w:spacing w:after="60"/>
            </w:pPr>
            <w:r w:rsidRPr="005E55CC">
              <w:t>Risk azaltım önlemleri derhal alınmalıdır, kurumsal yönetim bilgilendirilmelidir.</w:t>
            </w:r>
          </w:p>
        </w:tc>
      </w:tr>
      <w:bookmarkEnd w:id="3"/>
    </w:tbl>
    <w:p w14:paraId="66072DA8" w14:textId="77777777" w:rsidR="002551B4" w:rsidRDefault="002551B4" w:rsidP="002551B4">
      <w:pPr>
        <w:tabs>
          <w:tab w:val="left" w:pos="1890"/>
        </w:tabs>
        <w:spacing w:after="0" w:line="240" w:lineRule="auto"/>
      </w:pPr>
    </w:p>
    <w:tbl>
      <w:tblPr>
        <w:tblW w:w="103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28"/>
        <w:gridCol w:w="1787"/>
        <w:gridCol w:w="7433"/>
      </w:tblGrid>
      <w:tr w:rsidR="002551B4" w:rsidRPr="005E55CC" w14:paraId="198C8ADD" w14:textId="77777777" w:rsidTr="002E55B7">
        <w:trPr>
          <w:trHeight w:val="376"/>
          <w:jc w:val="center"/>
        </w:trPr>
        <w:tc>
          <w:tcPr>
            <w:tcW w:w="10348" w:type="dxa"/>
            <w:gridSpan w:val="3"/>
            <w:shd w:val="clear" w:color="auto" w:fill="B4C6E7"/>
            <w:vAlign w:val="center"/>
          </w:tcPr>
          <w:p w14:paraId="3C6F6BEF" w14:textId="77777777" w:rsidR="002551B4" w:rsidRPr="00DC5C10" w:rsidRDefault="002551B4" w:rsidP="002E55B7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  <w:bookmarkStart w:id="4" w:name="_Hlk199396442"/>
            <w:r w:rsidRPr="00DC5C10">
              <w:rPr>
                <w:b/>
                <w:bCs/>
                <w:sz w:val="28"/>
                <w:szCs w:val="28"/>
              </w:rPr>
              <w:t>TEFDO – Bölge Tanımlamaları</w:t>
            </w:r>
          </w:p>
        </w:tc>
      </w:tr>
      <w:tr w:rsidR="002551B4" w:rsidRPr="005E55CC" w14:paraId="6BC18E63" w14:textId="77777777" w:rsidTr="002E55B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B80E5C" w14:textId="77777777" w:rsidR="002551B4" w:rsidRPr="00CD4278" w:rsidRDefault="002551B4" w:rsidP="002551B4">
            <w:pPr>
              <w:pStyle w:val="ListeParagraf"/>
              <w:numPr>
                <w:ilvl w:val="0"/>
                <w:numId w:val="2"/>
              </w:numPr>
              <w:tabs>
                <w:tab w:val="left" w:pos="1890"/>
              </w:tabs>
              <w:spacing w:after="0" w:line="240" w:lineRule="auto"/>
              <w:ind w:left="351" w:hanging="235"/>
              <w:jc w:val="center"/>
              <w:rPr>
                <w:b/>
                <w:bCs/>
              </w:rPr>
            </w:pPr>
            <w:r w:rsidRPr="00CD4278">
              <w:rPr>
                <w:b/>
                <w:bCs/>
              </w:rPr>
              <w:t>Bölge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0BC39B" w14:textId="77777777" w:rsidR="002551B4" w:rsidRPr="00CD4278" w:rsidRDefault="002551B4" w:rsidP="002E55B7">
            <w:pPr>
              <w:tabs>
                <w:tab w:val="left" w:pos="769"/>
              </w:tabs>
              <w:spacing w:after="0" w:line="240" w:lineRule="auto"/>
              <w:jc w:val="center"/>
              <w:rPr>
                <w:b/>
                <w:bCs/>
              </w:rPr>
            </w:pPr>
            <w:r w:rsidRPr="00CD4278">
              <w:rPr>
                <w:b/>
                <w:bCs/>
              </w:rPr>
              <w:t>Kontrol Sistemi Riskleri</w:t>
            </w: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5BBF2A" w14:textId="77777777" w:rsidR="002551B4" w:rsidRPr="005E55CC" w:rsidRDefault="002551B4" w:rsidP="002E55B7">
            <w:pPr>
              <w:spacing w:after="60"/>
              <w:jc w:val="both"/>
            </w:pPr>
            <w:r w:rsidRPr="00A46409">
              <w:rPr>
                <w:rFonts w:eastAsia="Times New Roman" w:cs="Times New Roman"/>
                <w:color w:val="000000"/>
                <w:sz w:val="24"/>
                <w:szCs w:val="24"/>
                <w:lang w:eastAsia="tr-TR"/>
              </w:rPr>
              <w:t>Kontrol sistemi ile ilgili tehlikelerin analiz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tr-TR"/>
              </w:rPr>
              <w:t xml:space="preserve"> edildiği bölümdür</w:t>
            </w:r>
            <w:r w:rsidRPr="00A46409">
              <w:rPr>
                <w:rFonts w:eastAsia="Times New Roman" w:cs="Times New Roman"/>
                <w:color w:val="000000"/>
                <w:sz w:val="24"/>
                <w:szCs w:val="24"/>
                <w:lang w:eastAsia="tr-TR"/>
              </w:rPr>
              <w:t>. EN ISO 13849-1 standardı, Kontrol Sistemlerinin (SRP/CS) Güvenlikle İlgili Kısımlarını ele alır.</w:t>
            </w:r>
          </w:p>
        </w:tc>
      </w:tr>
      <w:tr w:rsidR="002551B4" w:rsidRPr="005E55CC" w14:paraId="680CD8C1" w14:textId="77777777" w:rsidTr="002E55B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2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06DE3" w14:textId="77777777" w:rsidR="002551B4" w:rsidRPr="00CD4278" w:rsidRDefault="002551B4" w:rsidP="002551B4">
            <w:pPr>
              <w:pStyle w:val="ListeParagraf"/>
              <w:numPr>
                <w:ilvl w:val="0"/>
                <w:numId w:val="2"/>
              </w:numPr>
              <w:spacing w:after="60"/>
              <w:ind w:left="351" w:hanging="235"/>
              <w:jc w:val="center"/>
              <w:rPr>
                <w:b/>
                <w:bCs/>
              </w:rPr>
            </w:pPr>
            <w:r w:rsidRPr="00CD4278">
              <w:rPr>
                <w:b/>
                <w:bCs/>
              </w:rPr>
              <w:t>Bölge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49C79" w14:textId="77777777" w:rsidR="002551B4" w:rsidRPr="00CD4278" w:rsidRDefault="002551B4" w:rsidP="002E55B7">
            <w:pPr>
              <w:tabs>
                <w:tab w:val="left" w:pos="769"/>
              </w:tabs>
              <w:spacing w:after="60"/>
              <w:jc w:val="center"/>
              <w:rPr>
                <w:b/>
                <w:bCs/>
              </w:rPr>
            </w:pPr>
            <w:r w:rsidRPr="00CD4278">
              <w:rPr>
                <w:b/>
                <w:bCs/>
              </w:rPr>
              <w:t>Mekanik Riskler</w:t>
            </w: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37CF1" w14:textId="77777777" w:rsidR="002551B4" w:rsidRPr="005E55CC" w:rsidRDefault="002551B4" w:rsidP="002E55B7">
            <w:pPr>
              <w:spacing w:after="60"/>
              <w:jc w:val="both"/>
            </w:pPr>
            <w:r w:rsidRPr="00FC3C88">
              <w:rPr>
                <w:rFonts w:eastAsia="Times New Roman" w:cs="Times New Roman"/>
                <w:color w:val="000000"/>
                <w:sz w:val="24"/>
                <w:szCs w:val="24"/>
                <w:lang w:eastAsia="tr-TR"/>
              </w:rPr>
              <w:t>Mekanik ve tasarımla ilgili tehlikelerin ele alındığı bu bölümde, sahada montajı yapılan veya montajı yapılacak mekanik bileşenlerin değerlendirilmesi ilgili uyumlaştırılmış standartlara uygun olarak gerçekleştirilecektir.</w:t>
            </w:r>
          </w:p>
        </w:tc>
      </w:tr>
      <w:tr w:rsidR="002551B4" w:rsidRPr="005E55CC" w14:paraId="12529E62" w14:textId="77777777" w:rsidTr="002E55B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46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E44E96" w14:textId="77777777" w:rsidR="002551B4" w:rsidRPr="00CD4278" w:rsidRDefault="002551B4" w:rsidP="002551B4">
            <w:pPr>
              <w:pStyle w:val="ListeParagraf"/>
              <w:numPr>
                <w:ilvl w:val="0"/>
                <w:numId w:val="2"/>
              </w:numPr>
              <w:spacing w:after="60"/>
              <w:ind w:left="351" w:hanging="235"/>
              <w:jc w:val="center"/>
              <w:rPr>
                <w:b/>
                <w:bCs/>
              </w:rPr>
            </w:pPr>
            <w:r w:rsidRPr="00CD4278">
              <w:rPr>
                <w:b/>
                <w:bCs/>
              </w:rPr>
              <w:t>Bölge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A7AE9B" w14:textId="77777777" w:rsidR="002551B4" w:rsidRPr="00CD4278" w:rsidRDefault="002551B4" w:rsidP="002E55B7">
            <w:pPr>
              <w:tabs>
                <w:tab w:val="left" w:pos="769"/>
              </w:tabs>
              <w:spacing w:after="60"/>
              <w:jc w:val="center"/>
              <w:rPr>
                <w:b/>
                <w:bCs/>
              </w:rPr>
            </w:pPr>
            <w:r w:rsidRPr="00CD4278">
              <w:rPr>
                <w:b/>
                <w:bCs/>
              </w:rPr>
              <w:t>Elektriksel Riskler</w:t>
            </w: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FE2292E" w14:textId="77777777" w:rsidR="002551B4" w:rsidRPr="005E55CC" w:rsidRDefault="002551B4" w:rsidP="002E55B7">
            <w:pPr>
              <w:spacing w:after="60"/>
              <w:jc w:val="both"/>
            </w:pPr>
            <w:r w:rsidRPr="00C55FB2">
              <w:rPr>
                <w:rFonts w:ascii="Calibri" w:hAnsi="Calibri"/>
                <w:color w:val="000000"/>
                <w:sz w:val="24"/>
                <w:szCs w:val="24"/>
              </w:rPr>
              <w:t>Makinelerin güç kaynaklarının, elektrik panolarının mevcut durumlarının, Alçak Gerilim Direktifi ve uyumlaştırılmış standartlara uygunluğunun değerlendirildiği alandır.</w:t>
            </w:r>
          </w:p>
        </w:tc>
      </w:tr>
      <w:tr w:rsidR="002551B4" w:rsidRPr="005E55CC" w14:paraId="7C5F8359" w14:textId="77777777" w:rsidTr="002E55B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10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2D2D2" w14:textId="77777777" w:rsidR="002551B4" w:rsidRPr="00CD4278" w:rsidRDefault="002551B4" w:rsidP="002551B4">
            <w:pPr>
              <w:pStyle w:val="ListeParagraf"/>
              <w:numPr>
                <w:ilvl w:val="0"/>
                <w:numId w:val="2"/>
              </w:numPr>
              <w:tabs>
                <w:tab w:val="left" w:pos="1890"/>
              </w:tabs>
              <w:spacing w:after="0" w:line="240" w:lineRule="auto"/>
              <w:ind w:left="351" w:hanging="235"/>
              <w:jc w:val="center"/>
              <w:rPr>
                <w:b/>
                <w:bCs/>
              </w:rPr>
            </w:pPr>
            <w:r w:rsidRPr="00CD4278">
              <w:rPr>
                <w:b/>
                <w:bCs/>
              </w:rPr>
              <w:t>Bölge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E8520" w14:textId="77777777" w:rsidR="002551B4" w:rsidRPr="00CD4278" w:rsidRDefault="002551B4" w:rsidP="002E55B7">
            <w:pPr>
              <w:tabs>
                <w:tab w:val="left" w:pos="769"/>
              </w:tabs>
              <w:spacing w:after="60"/>
              <w:jc w:val="center"/>
              <w:rPr>
                <w:b/>
                <w:bCs/>
              </w:rPr>
            </w:pPr>
            <w:r w:rsidRPr="00CD4278">
              <w:rPr>
                <w:b/>
                <w:bCs/>
              </w:rPr>
              <w:t>Dokümantasyon Eksiklikleri</w:t>
            </w: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5F75D" w14:textId="77777777" w:rsidR="002551B4" w:rsidRPr="005E55CC" w:rsidRDefault="002551B4" w:rsidP="002E55B7">
            <w:pPr>
              <w:spacing w:after="60"/>
              <w:jc w:val="both"/>
            </w:pPr>
            <w:r w:rsidRPr="005D3B13">
              <w:rPr>
                <w:rFonts w:ascii="Calibri" w:hAnsi="Calibri" w:cs="Calibri"/>
                <w:color w:val="000000"/>
                <w:sz w:val="24"/>
                <w:szCs w:val="24"/>
              </w:rPr>
              <w:t>Makinenin kurulum, bakım ve çalıştırma sırasında bilgi vermek amacıyla oluşturulan teknik dokümantasyonunun incelendiği bölümdür.</w:t>
            </w:r>
          </w:p>
        </w:tc>
      </w:tr>
      <w:bookmarkEnd w:id="4"/>
    </w:tbl>
    <w:p w14:paraId="4E25450A" w14:textId="77777777" w:rsidR="001C152A" w:rsidRDefault="001C152A" w:rsidP="000E0376"/>
    <w:sectPr w:rsidR="001C152A" w:rsidSect="00A45F5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76A913" w14:textId="77777777" w:rsidR="005615D6" w:rsidRDefault="005615D6" w:rsidP="00A45F5F">
      <w:pPr>
        <w:spacing w:after="0" w:line="240" w:lineRule="auto"/>
      </w:pPr>
      <w:r>
        <w:separator/>
      </w:r>
    </w:p>
  </w:endnote>
  <w:endnote w:type="continuationSeparator" w:id="0">
    <w:p w14:paraId="054D1BD0" w14:textId="77777777" w:rsidR="005615D6" w:rsidRDefault="005615D6" w:rsidP="00A4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jaVuSansCondensed-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F2C6F5" w14:textId="77777777" w:rsidR="00A45F5F" w:rsidRDefault="00A45F5F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BAACC3" w14:textId="77777777" w:rsidR="00A45F5F" w:rsidRDefault="00A45F5F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884D33" w14:textId="77777777" w:rsidR="00A45F5F" w:rsidRDefault="00A45F5F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52C397" w14:textId="77777777" w:rsidR="005615D6" w:rsidRDefault="005615D6" w:rsidP="00A45F5F">
      <w:pPr>
        <w:spacing w:after="0" w:line="240" w:lineRule="auto"/>
      </w:pPr>
      <w:r>
        <w:separator/>
      </w:r>
    </w:p>
  </w:footnote>
  <w:footnote w:type="continuationSeparator" w:id="0">
    <w:p w14:paraId="089380B8" w14:textId="77777777" w:rsidR="005615D6" w:rsidRDefault="005615D6" w:rsidP="00A4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25478B" w14:textId="77777777" w:rsidR="00A45F5F" w:rsidRDefault="00A45F5F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1F54DA" w14:textId="77777777" w:rsidR="00A45F5F" w:rsidRDefault="00A45F5F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BD2E2" w14:textId="77777777" w:rsidR="00A45F5F" w:rsidRDefault="00A45F5F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B1F6B"/>
    <w:multiLevelType w:val="hybridMultilevel"/>
    <w:tmpl w:val="F184102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31572"/>
    <w:multiLevelType w:val="hybridMultilevel"/>
    <w:tmpl w:val="6C4E5F4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8715385">
    <w:abstractNumId w:val="0"/>
  </w:num>
  <w:num w:numId="2" w16cid:durableId="954292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1B4"/>
    <w:rsid w:val="0000757F"/>
    <w:rsid w:val="00020B6C"/>
    <w:rsid w:val="00023106"/>
    <w:rsid w:val="000262FE"/>
    <w:rsid w:val="0004024F"/>
    <w:rsid w:val="00045202"/>
    <w:rsid w:val="000454B0"/>
    <w:rsid w:val="00057D7B"/>
    <w:rsid w:val="0006294F"/>
    <w:rsid w:val="00064D44"/>
    <w:rsid w:val="00066256"/>
    <w:rsid w:val="000C1369"/>
    <w:rsid w:val="000C17E7"/>
    <w:rsid w:val="000C6CB3"/>
    <w:rsid w:val="000C6F50"/>
    <w:rsid w:val="000D6D8B"/>
    <w:rsid w:val="000E0376"/>
    <w:rsid w:val="000E2CF7"/>
    <w:rsid w:val="000E5DBF"/>
    <w:rsid w:val="000E5ECC"/>
    <w:rsid w:val="000F1655"/>
    <w:rsid w:val="000F7D2B"/>
    <w:rsid w:val="001243C4"/>
    <w:rsid w:val="001275E2"/>
    <w:rsid w:val="00127CF0"/>
    <w:rsid w:val="0013285F"/>
    <w:rsid w:val="00153B94"/>
    <w:rsid w:val="00154373"/>
    <w:rsid w:val="00154FD4"/>
    <w:rsid w:val="00156C45"/>
    <w:rsid w:val="00171AA1"/>
    <w:rsid w:val="0017204C"/>
    <w:rsid w:val="00175A08"/>
    <w:rsid w:val="00184AD2"/>
    <w:rsid w:val="00194BA8"/>
    <w:rsid w:val="00197F23"/>
    <w:rsid w:val="001A7B63"/>
    <w:rsid w:val="001B12F9"/>
    <w:rsid w:val="001B5240"/>
    <w:rsid w:val="001C0322"/>
    <w:rsid w:val="001C152A"/>
    <w:rsid w:val="001C20B4"/>
    <w:rsid w:val="001C7112"/>
    <w:rsid w:val="001E6229"/>
    <w:rsid w:val="001F2A5B"/>
    <w:rsid w:val="00204835"/>
    <w:rsid w:val="00212D96"/>
    <w:rsid w:val="00223EAD"/>
    <w:rsid w:val="00250EA1"/>
    <w:rsid w:val="002551B4"/>
    <w:rsid w:val="00255AD3"/>
    <w:rsid w:val="00262E93"/>
    <w:rsid w:val="00282033"/>
    <w:rsid w:val="0029306B"/>
    <w:rsid w:val="002A12DF"/>
    <w:rsid w:val="002B4517"/>
    <w:rsid w:val="002B75DE"/>
    <w:rsid w:val="002B7EF6"/>
    <w:rsid w:val="002C0A29"/>
    <w:rsid w:val="002C16FE"/>
    <w:rsid w:val="002C1E1D"/>
    <w:rsid w:val="002D1A0A"/>
    <w:rsid w:val="002E4BF6"/>
    <w:rsid w:val="002F4A89"/>
    <w:rsid w:val="00302B40"/>
    <w:rsid w:val="00303BD7"/>
    <w:rsid w:val="00310863"/>
    <w:rsid w:val="003133C5"/>
    <w:rsid w:val="0032063D"/>
    <w:rsid w:val="00334A2E"/>
    <w:rsid w:val="00356A92"/>
    <w:rsid w:val="00364431"/>
    <w:rsid w:val="00381BD8"/>
    <w:rsid w:val="00386AFA"/>
    <w:rsid w:val="003A182D"/>
    <w:rsid w:val="003A6536"/>
    <w:rsid w:val="003C4251"/>
    <w:rsid w:val="003C7E8A"/>
    <w:rsid w:val="003F08B9"/>
    <w:rsid w:val="003F39A6"/>
    <w:rsid w:val="003F6063"/>
    <w:rsid w:val="003F6E33"/>
    <w:rsid w:val="00406C8F"/>
    <w:rsid w:val="0040767D"/>
    <w:rsid w:val="00411A9D"/>
    <w:rsid w:val="00417A9B"/>
    <w:rsid w:val="00423B98"/>
    <w:rsid w:val="004308D8"/>
    <w:rsid w:val="00434BA3"/>
    <w:rsid w:val="00434BC7"/>
    <w:rsid w:val="00444130"/>
    <w:rsid w:val="0045284E"/>
    <w:rsid w:val="00467C7B"/>
    <w:rsid w:val="00480EBB"/>
    <w:rsid w:val="00485310"/>
    <w:rsid w:val="00491440"/>
    <w:rsid w:val="004934A7"/>
    <w:rsid w:val="004952DB"/>
    <w:rsid w:val="004A2901"/>
    <w:rsid w:val="004C50BE"/>
    <w:rsid w:val="004D6D52"/>
    <w:rsid w:val="004E15F3"/>
    <w:rsid w:val="004E3DF1"/>
    <w:rsid w:val="004E6719"/>
    <w:rsid w:val="004E7EF0"/>
    <w:rsid w:val="00501714"/>
    <w:rsid w:val="00513289"/>
    <w:rsid w:val="00522DD3"/>
    <w:rsid w:val="00523E67"/>
    <w:rsid w:val="00540F86"/>
    <w:rsid w:val="00541189"/>
    <w:rsid w:val="005509BF"/>
    <w:rsid w:val="00550C88"/>
    <w:rsid w:val="005576ED"/>
    <w:rsid w:val="005615D6"/>
    <w:rsid w:val="00562811"/>
    <w:rsid w:val="00566264"/>
    <w:rsid w:val="0056702D"/>
    <w:rsid w:val="005824FF"/>
    <w:rsid w:val="00584708"/>
    <w:rsid w:val="005B6036"/>
    <w:rsid w:val="005D0B6E"/>
    <w:rsid w:val="005D5B37"/>
    <w:rsid w:val="005D5FE6"/>
    <w:rsid w:val="005E53E1"/>
    <w:rsid w:val="005E7086"/>
    <w:rsid w:val="00611CC1"/>
    <w:rsid w:val="006228E6"/>
    <w:rsid w:val="00633ED0"/>
    <w:rsid w:val="00655AB2"/>
    <w:rsid w:val="00655CC5"/>
    <w:rsid w:val="00682761"/>
    <w:rsid w:val="00685E20"/>
    <w:rsid w:val="00691178"/>
    <w:rsid w:val="00694E19"/>
    <w:rsid w:val="00696732"/>
    <w:rsid w:val="006A368C"/>
    <w:rsid w:val="006B382E"/>
    <w:rsid w:val="006B4EF4"/>
    <w:rsid w:val="006D2059"/>
    <w:rsid w:val="006D5BA9"/>
    <w:rsid w:val="006D5D1C"/>
    <w:rsid w:val="006E004F"/>
    <w:rsid w:val="00701E9A"/>
    <w:rsid w:val="007110C6"/>
    <w:rsid w:val="00711835"/>
    <w:rsid w:val="00711E4E"/>
    <w:rsid w:val="0071415E"/>
    <w:rsid w:val="00724158"/>
    <w:rsid w:val="007268AC"/>
    <w:rsid w:val="00727C50"/>
    <w:rsid w:val="007315F3"/>
    <w:rsid w:val="00733313"/>
    <w:rsid w:val="00757969"/>
    <w:rsid w:val="00772E60"/>
    <w:rsid w:val="007774A1"/>
    <w:rsid w:val="00777C4D"/>
    <w:rsid w:val="00777D54"/>
    <w:rsid w:val="00780DAF"/>
    <w:rsid w:val="00791198"/>
    <w:rsid w:val="007B1B87"/>
    <w:rsid w:val="007B3A32"/>
    <w:rsid w:val="007C4F3E"/>
    <w:rsid w:val="007C5BE2"/>
    <w:rsid w:val="007D0947"/>
    <w:rsid w:val="007D3B37"/>
    <w:rsid w:val="007D48EB"/>
    <w:rsid w:val="007D5085"/>
    <w:rsid w:val="007D5A05"/>
    <w:rsid w:val="007E2112"/>
    <w:rsid w:val="007E527C"/>
    <w:rsid w:val="007F0B1A"/>
    <w:rsid w:val="008031EF"/>
    <w:rsid w:val="00821A23"/>
    <w:rsid w:val="00822F30"/>
    <w:rsid w:val="008260E2"/>
    <w:rsid w:val="0083494E"/>
    <w:rsid w:val="0083774E"/>
    <w:rsid w:val="0084620C"/>
    <w:rsid w:val="00856B38"/>
    <w:rsid w:val="00862707"/>
    <w:rsid w:val="0087481D"/>
    <w:rsid w:val="00880865"/>
    <w:rsid w:val="00881825"/>
    <w:rsid w:val="008879CE"/>
    <w:rsid w:val="0089534F"/>
    <w:rsid w:val="008A0666"/>
    <w:rsid w:val="008A2FA5"/>
    <w:rsid w:val="008A5BF0"/>
    <w:rsid w:val="008A6FDE"/>
    <w:rsid w:val="008B5C47"/>
    <w:rsid w:val="008B60B8"/>
    <w:rsid w:val="008B6696"/>
    <w:rsid w:val="008C3B13"/>
    <w:rsid w:val="008C736A"/>
    <w:rsid w:val="008D75C2"/>
    <w:rsid w:val="008D7E3D"/>
    <w:rsid w:val="00914B25"/>
    <w:rsid w:val="009153DA"/>
    <w:rsid w:val="0092580F"/>
    <w:rsid w:val="00931021"/>
    <w:rsid w:val="00944E4C"/>
    <w:rsid w:val="009553EE"/>
    <w:rsid w:val="009614C1"/>
    <w:rsid w:val="009636EB"/>
    <w:rsid w:val="00973466"/>
    <w:rsid w:val="00976615"/>
    <w:rsid w:val="00977318"/>
    <w:rsid w:val="009779C1"/>
    <w:rsid w:val="00983BCE"/>
    <w:rsid w:val="009941AB"/>
    <w:rsid w:val="00994255"/>
    <w:rsid w:val="009A01FA"/>
    <w:rsid w:val="009A203F"/>
    <w:rsid w:val="009A450B"/>
    <w:rsid w:val="009A65BE"/>
    <w:rsid w:val="009B1999"/>
    <w:rsid w:val="009C1FA5"/>
    <w:rsid w:val="009C2255"/>
    <w:rsid w:val="009C3199"/>
    <w:rsid w:val="009E5439"/>
    <w:rsid w:val="009E5CA4"/>
    <w:rsid w:val="009E781C"/>
    <w:rsid w:val="009F457F"/>
    <w:rsid w:val="00A02E47"/>
    <w:rsid w:val="00A320E2"/>
    <w:rsid w:val="00A32419"/>
    <w:rsid w:val="00A346A7"/>
    <w:rsid w:val="00A45DE9"/>
    <w:rsid w:val="00A45F5F"/>
    <w:rsid w:val="00A514BA"/>
    <w:rsid w:val="00A5272D"/>
    <w:rsid w:val="00A710AA"/>
    <w:rsid w:val="00A76604"/>
    <w:rsid w:val="00A7728B"/>
    <w:rsid w:val="00A809CE"/>
    <w:rsid w:val="00A8667A"/>
    <w:rsid w:val="00A93B96"/>
    <w:rsid w:val="00A94559"/>
    <w:rsid w:val="00AA0DDB"/>
    <w:rsid w:val="00AA19C7"/>
    <w:rsid w:val="00AA22B2"/>
    <w:rsid w:val="00AC35FF"/>
    <w:rsid w:val="00AD5261"/>
    <w:rsid w:val="00AE4065"/>
    <w:rsid w:val="00AE541A"/>
    <w:rsid w:val="00B033EC"/>
    <w:rsid w:val="00B10D55"/>
    <w:rsid w:val="00B11BDB"/>
    <w:rsid w:val="00B20DA3"/>
    <w:rsid w:val="00B21E1C"/>
    <w:rsid w:val="00B222A7"/>
    <w:rsid w:val="00B273B5"/>
    <w:rsid w:val="00B32E53"/>
    <w:rsid w:val="00B33A74"/>
    <w:rsid w:val="00B34C96"/>
    <w:rsid w:val="00B37F11"/>
    <w:rsid w:val="00B42763"/>
    <w:rsid w:val="00B62DE2"/>
    <w:rsid w:val="00B63630"/>
    <w:rsid w:val="00B6654A"/>
    <w:rsid w:val="00B715F6"/>
    <w:rsid w:val="00B71BB2"/>
    <w:rsid w:val="00B73E11"/>
    <w:rsid w:val="00B76ECC"/>
    <w:rsid w:val="00B80EBE"/>
    <w:rsid w:val="00B84537"/>
    <w:rsid w:val="00B84C67"/>
    <w:rsid w:val="00B945A9"/>
    <w:rsid w:val="00B94E33"/>
    <w:rsid w:val="00BA476C"/>
    <w:rsid w:val="00BC12E0"/>
    <w:rsid w:val="00BC3BFF"/>
    <w:rsid w:val="00BD651D"/>
    <w:rsid w:val="00BE7F1B"/>
    <w:rsid w:val="00BF0B21"/>
    <w:rsid w:val="00BF5192"/>
    <w:rsid w:val="00C15623"/>
    <w:rsid w:val="00C41B6A"/>
    <w:rsid w:val="00C46611"/>
    <w:rsid w:val="00C50151"/>
    <w:rsid w:val="00C517CC"/>
    <w:rsid w:val="00C60A6E"/>
    <w:rsid w:val="00C654A0"/>
    <w:rsid w:val="00C85EB5"/>
    <w:rsid w:val="00C928C5"/>
    <w:rsid w:val="00C92ABF"/>
    <w:rsid w:val="00C946E9"/>
    <w:rsid w:val="00CB3979"/>
    <w:rsid w:val="00CC0F37"/>
    <w:rsid w:val="00CC3604"/>
    <w:rsid w:val="00CC53C7"/>
    <w:rsid w:val="00CD1EA1"/>
    <w:rsid w:val="00CE052C"/>
    <w:rsid w:val="00CE4E2D"/>
    <w:rsid w:val="00CE5971"/>
    <w:rsid w:val="00CE7127"/>
    <w:rsid w:val="00CF06C5"/>
    <w:rsid w:val="00CF2044"/>
    <w:rsid w:val="00D06BD8"/>
    <w:rsid w:val="00D17BC2"/>
    <w:rsid w:val="00D216EA"/>
    <w:rsid w:val="00D21A26"/>
    <w:rsid w:val="00D246A2"/>
    <w:rsid w:val="00D24919"/>
    <w:rsid w:val="00D611E2"/>
    <w:rsid w:val="00D7376A"/>
    <w:rsid w:val="00D749DD"/>
    <w:rsid w:val="00D81C76"/>
    <w:rsid w:val="00D8256A"/>
    <w:rsid w:val="00D85B15"/>
    <w:rsid w:val="00D876C1"/>
    <w:rsid w:val="00D978A8"/>
    <w:rsid w:val="00DA494B"/>
    <w:rsid w:val="00DB01A3"/>
    <w:rsid w:val="00DB3E30"/>
    <w:rsid w:val="00DD2DA2"/>
    <w:rsid w:val="00DD3C2F"/>
    <w:rsid w:val="00DF09E8"/>
    <w:rsid w:val="00DF2AB0"/>
    <w:rsid w:val="00DF6BEA"/>
    <w:rsid w:val="00E11EAA"/>
    <w:rsid w:val="00E13AC6"/>
    <w:rsid w:val="00E17081"/>
    <w:rsid w:val="00E17D2D"/>
    <w:rsid w:val="00E30499"/>
    <w:rsid w:val="00E310EE"/>
    <w:rsid w:val="00E3766D"/>
    <w:rsid w:val="00E40B96"/>
    <w:rsid w:val="00E52AB5"/>
    <w:rsid w:val="00E54F47"/>
    <w:rsid w:val="00E555B0"/>
    <w:rsid w:val="00E6717B"/>
    <w:rsid w:val="00E719EF"/>
    <w:rsid w:val="00E93BA3"/>
    <w:rsid w:val="00EA6630"/>
    <w:rsid w:val="00ED3698"/>
    <w:rsid w:val="00EE261F"/>
    <w:rsid w:val="00EE5132"/>
    <w:rsid w:val="00EE6899"/>
    <w:rsid w:val="00F03C85"/>
    <w:rsid w:val="00F07AA3"/>
    <w:rsid w:val="00F14439"/>
    <w:rsid w:val="00F2362D"/>
    <w:rsid w:val="00F71024"/>
    <w:rsid w:val="00F7762F"/>
    <w:rsid w:val="00F86655"/>
    <w:rsid w:val="00F90D94"/>
    <w:rsid w:val="00F93FCD"/>
    <w:rsid w:val="00FA15C7"/>
    <w:rsid w:val="00FA5C3A"/>
    <w:rsid w:val="00FB1453"/>
    <w:rsid w:val="00FB2578"/>
    <w:rsid w:val="00FC6354"/>
    <w:rsid w:val="00FF37D8"/>
    <w:rsid w:val="00FF4FFA"/>
    <w:rsid w:val="00FF6D83"/>
    <w:rsid w:val="00FF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88497"/>
  <w15:chartTrackingRefBased/>
  <w15:docId w15:val="{DA0E86F4-61BA-4F01-83B7-A859AB8BD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1B4"/>
    <w:pPr>
      <w:spacing w:line="259" w:lineRule="auto"/>
    </w:pPr>
    <w:rPr>
      <w:kern w:val="0"/>
      <w:sz w:val="22"/>
      <w:szCs w:val="22"/>
      <w14:ligatures w14:val="none"/>
    </w:rPr>
  </w:style>
  <w:style w:type="paragraph" w:styleId="Balk1">
    <w:name w:val="heading 1"/>
    <w:basedOn w:val="Normal"/>
    <w:next w:val="Normal"/>
    <w:link w:val="Balk1Char"/>
    <w:autoRedefine/>
    <w:uiPriority w:val="2"/>
    <w:qFormat/>
    <w:rsid w:val="00EE6899"/>
    <w:pPr>
      <w:framePr w:hSpace="141" w:wrap="around" w:vAnchor="page" w:hAnchor="margin" w:y="1541"/>
      <w:spacing w:after="0" w:line="240" w:lineRule="auto"/>
      <w:jc w:val="center"/>
      <w:outlineLvl w:val="0"/>
    </w:pPr>
    <w:rPr>
      <w:rFonts w:cstheme="minorHAnsi"/>
      <w:b/>
      <w:bCs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551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551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551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551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551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551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551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551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til1">
    <w:name w:val="Stil1"/>
    <w:basedOn w:val="VarsaylanParagrafYazTipi"/>
    <w:uiPriority w:val="1"/>
    <w:rsid w:val="00D81C76"/>
    <w:rPr>
      <w:b/>
      <w:color w:val="auto"/>
    </w:rPr>
  </w:style>
  <w:style w:type="character" w:customStyle="1" w:styleId="Balk1Char">
    <w:name w:val="Başlık 1 Char"/>
    <w:basedOn w:val="VarsaylanParagrafYazTipi"/>
    <w:link w:val="Balk1"/>
    <w:uiPriority w:val="2"/>
    <w:rsid w:val="00EE6899"/>
    <w:rPr>
      <w:rFonts w:cstheme="minorHAnsi"/>
      <w:b/>
      <w:bCs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551B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551B4"/>
    <w:rPr>
      <w:rFonts w:eastAsiaTheme="majorEastAsia" w:cstheme="majorBidi"/>
      <w:color w:val="0F4761" w:themeColor="accent1" w:themeShade="BF"/>
      <w:sz w:val="28"/>
      <w:szCs w:val="28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551B4"/>
    <w:rPr>
      <w:rFonts w:eastAsiaTheme="majorEastAsia" w:cstheme="majorBidi"/>
      <w:i/>
      <w:iCs/>
      <w:color w:val="0F4761" w:themeColor="accent1" w:themeShade="BF"/>
      <w:lang w:eastAsia="tr-TR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551B4"/>
    <w:rPr>
      <w:rFonts w:eastAsiaTheme="majorEastAsia" w:cstheme="majorBidi"/>
      <w:color w:val="0F4761" w:themeColor="accent1" w:themeShade="BF"/>
      <w:lang w:eastAsia="tr-TR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551B4"/>
    <w:rPr>
      <w:rFonts w:eastAsiaTheme="majorEastAsia" w:cstheme="majorBidi"/>
      <w:i/>
      <w:iCs/>
      <w:color w:val="595959" w:themeColor="text1" w:themeTint="A6"/>
      <w:lang w:eastAsia="tr-TR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551B4"/>
    <w:rPr>
      <w:rFonts w:eastAsiaTheme="majorEastAsia" w:cstheme="majorBidi"/>
      <w:color w:val="595959" w:themeColor="text1" w:themeTint="A6"/>
      <w:lang w:eastAsia="tr-TR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551B4"/>
    <w:rPr>
      <w:rFonts w:eastAsiaTheme="majorEastAsia" w:cstheme="majorBidi"/>
      <w:i/>
      <w:iCs/>
      <w:color w:val="272727" w:themeColor="text1" w:themeTint="D8"/>
      <w:lang w:eastAsia="tr-TR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551B4"/>
    <w:rPr>
      <w:rFonts w:eastAsiaTheme="majorEastAsia" w:cstheme="majorBidi"/>
      <w:color w:val="272727" w:themeColor="text1" w:themeTint="D8"/>
      <w:lang w:eastAsia="tr-TR"/>
    </w:rPr>
  </w:style>
  <w:style w:type="paragraph" w:styleId="KonuBal">
    <w:name w:val="Title"/>
    <w:basedOn w:val="Normal"/>
    <w:next w:val="Normal"/>
    <w:link w:val="KonuBalChar"/>
    <w:uiPriority w:val="10"/>
    <w:qFormat/>
    <w:rsid w:val="002551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551B4"/>
    <w:rPr>
      <w:rFonts w:asciiTheme="majorHAnsi" w:eastAsiaTheme="majorEastAsia" w:hAnsiTheme="majorHAnsi" w:cstheme="majorBidi"/>
      <w:spacing w:val="-10"/>
      <w:kern w:val="28"/>
      <w:sz w:val="56"/>
      <w:szCs w:val="56"/>
      <w:lang w:eastAsia="tr-TR"/>
    </w:rPr>
  </w:style>
  <w:style w:type="paragraph" w:styleId="Altyaz">
    <w:name w:val="Subtitle"/>
    <w:basedOn w:val="Normal"/>
    <w:next w:val="Normal"/>
    <w:link w:val="AltyazChar"/>
    <w:uiPriority w:val="11"/>
    <w:qFormat/>
    <w:rsid w:val="002551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551B4"/>
    <w:rPr>
      <w:rFonts w:eastAsiaTheme="majorEastAsia" w:cstheme="majorBidi"/>
      <w:color w:val="595959" w:themeColor="text1" w:themeTint="A6"/>
      <w:spacing w:val="15"/>
      <w:sz w:val="28"/>
      <w:szCs w:val="28"/>
      <w:lang w:eastAsia="tr-TR"/>
    </w:rPr>
  </w:style>
  <w:style w:type="paragraph" w:styleId="Alnt">
    <w:name w:val="Quote"/>
    <w:basedOn w:val="Normal"/>
    <w:next w:val="Normal"/>
    <w:link w:val="AlntChar"/>
    <w:uiPriority w:val="29"/>
    <w:qFormat/>
    <w:rsid w:val="002551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551B4"/>
    <w:rPr>
      <w:rFonts w:eastAsiaTheme="minorEastAsia"/>
      <w:i/>
      <w:iCs/>
      <w:color w:val="404040" w:themeColor="text1" w:themeTint="BF"/>
      <w:lang w:eastAsia="tr-TR"/>
    </w:rPr>
  </w:style>
  <w:style w:type="paragraph" w:styleId="ListeParagraf">
    <w:name w:val="List Paragraph"/>
    <w:basedOn w:val="Normal"/>
    <w:uiPriority w:val="34"/>
    <w:qFormat/>
    <w:rsid w:val="002551B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551B4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551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551B4"/>
    <w:rPr>
      <w:rFonts w:eastAsiaTheme="minorEastAsia"/>
      <w:i/>
      <w:iCs/>
      <w:color w:val="0F4761" w:themeColor="accent1" w:themeShade="BF"/>
      <w:lang w:eastAsia="tr-TR"/>
    </w:rPr>
  </w:style>
  <w:style w:type="character" w:styleId="GlBavuru">
    <w:name w:val="Intense Reference"/>
    <w:basedOn w:val="VarsaylanParagrafYazTipi"/>
    <w:uiPriority w:val="32"/>
    <w:qFormat/>
    <w:rsid w:val="002551B4"/>
    <w:rPr>
      <w:b/>
      <w:bCs/>
      <w:smallCaps/>
      <w:color w:val="0F4761" w:themeColor="accent1" w:themeShade="BF"/>
      <w:spacing w:val="5"/>
    </w:rPr>
  </w:style>
  <w:style w:type="table" w:styleId="TabloKlavuzu">
    <w:name w:val="Table Grid"/>
    <w:basedOn w:val="NormalTablo"/>
    <w:uiPriority w:val="39"/>
    <w:rsid w:val="002551B4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A45F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45F5F"/>
    <w:rPr>
      <w:kern w:val="0"/>
      <w:sz w:val="22"/>
      <w:szCs w:val="22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A45F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45F5F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550</Words>
  <Characters>3140</Characters>
  <Application>Microsoft Office Word</Application>
  <DocSecurity>0</DocSecurity>
  <Lines>26</Lines>
  <Paragraphs>7</Paragraphs>
  <ScaleCrop>false</ScaleCrop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Akın Kaplan</dc:creator>
  <cp:keywords/>
  <dc:description/>
  <cp:lastModifiedBy>Akın Kaplan</cp:lastModifiedBy>
  <cp:revision>3</cp:revision>
  <dcterms:created xsi:type="dcterms:W3CDTF">2025-05-29T04:31:00Z</dcterms:created>
  <dcterms:modified xsi:type="dcterms:W3CDTF">2025-06-27T14:59:00Z</dcterms:modified>
</cp:coreProperties>
</file>