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Politique d'Utilisation</w:t>
      </w:r>
    </w:p>
    <w:p>
      <w:pPr>
        <w:jc w:val="center"/>
      </w:pPr>
      <w:r>
        <w:rPr>
          <w:b/>
          <w:bCs/>
          <w:color w:val="1E3A5F"/>
          <w:sz w:val="40"/>
          <w:szCs w:val="40"/>
        </w:rPr>
        <w:t xml:space="preserve">de l'Intelligence Artificielle</w:t>
      </w:r>
    </w:p>
    <w:p>
      <w:pPr>
        <w:spacing w:before="400"/>
        <w:jc w:val="center"/>
      </w:pPr>
      <w:r>
        <w:rPr>
          <w:b/>
          <w:bCs/>
          <w:color w:val="FF6B35"/>
          <w:sz w:val="32"/>
          <w:szCs w:val="32"/>
          <w:highlight w:val="yellow"/>
          <w:highlightCs w:val="yellow"/>
        </w:rPr>
        <w:t xml:space="preserve">[NOM DE L'ENTREPRISE]</w:t>
      </w:r>
    </w:p>
    <w:p>
      <w:pPr>
        <w:spacing w:before="600"/>
      </w:pPr>
    </w:p>
    <w:p>
      <w:pPr>
        <w:pStyle w:val="Heading1"/>
      </w:pPr>
      <w:r>
        <w:t xml:space="preserve">Article 1 - Objet et champ d'application</w:t>
      </w:r>
    </w:p>
    <w:p>
      <w:pPr>
        <w:spacing w:after="200"/>
      </w:pPr>
      <w:r>
        <w:t xml:space="preserve">La présente politique définit les règles d'utilisation des systèmes d'Intelligence Artificielle au sein de </w:t>
      </w:r>
    </w:p>
    <w:p>
      <w:r>
        <w:rPr>
          <w:highlight w:val="yellow"/>
          <w:highlightCs w:val="yellow"/>
        </w:rPr>
        <w:t xml:space="preserve">[NOM DE L'ENTREPRISE]</w:t>
      </w:r>
      <w:r>
        <w:t xml:space="preserve">. Elle s'applique à l'ensemble des collaborateurs, prestataires et partenaires ayant accès aux outils IA de l'entreprise.</w:t>
      </w:r>
    </w:p>
    <w:p>
      <w:pPr>
        <w:pStyle w:val="Heading1"/>
      </w:pPr>
      <w:r>
        <w:t xml:space="preserve">Article 2 - Principes directeurs</w:t>
      </w:r>
    </w:p>
    <w:p>
      <w:r>
        <w:t xml:space="preserve">L'utilisation de l'IA repose sur les principes suivants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Transparence : </w:t>
      </w:r>
      <w:r>
        <w:t xml:space="preserve">informer les parties prenantes de l'utilisation de l'IA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Responsabilité : </w:t>
      </w:r>
      <w:r>
        <w:t xml:space="preserve">maintenir un contrôle humain sur les décisions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Équité : </w:t>
      </w:r>
      <w:r>
        <w:t xml:space="preserve">prévenir les discriminations et biais algorithmiques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: </w:t>
      </w:r>
      <w:r>
        <w:t xml:space="preserve">protéger les données et la confidentialité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Conformité : </w:t>
      </w:r>
      <w:r>
        <w:t xml:space="preserve">respecter le cadre légal (AI Act, RGPD)</w:t>
      </w:r>
    </w:p>
    <w:p>
      <w:pPr>
        <w:pStyle w:val="Heading1"/>
      </w:pPr>
      <w:r>
        <w:t xml:space="preserve">Article 3 - Gouvernance</w:t>
      </w:r>
    </w:p>
    <w:p>
      <w:r>
        <w:t xml:space="preserve">Un </w:t>
      </w:r>
      <w:r>
        <w:rPr>
          <w:b/>
          <w:bCs/>
        </w:rPr>
        <w:t xml:space="preserve">Référent IA</w:t>
      </w:r>
      <w:r>
        <w:t xml:space="preserve"> est désigné au sein de la Direction. Il est responsable de :</w:t>
      </w:r>
    </w:p>
    <w:p>
      <w:pPr>
        <w:pStyle w:val="ListParagraph"/>
        <w:numPr>
          <w:ilvl w:val="0"/>
          <w:numId w:val="2"/>
        </w:numPr>
      </w:pPr>
      <w:r>
        <w:t xml:space="preserve">La mise à jour du registre des systèmes IA</w:t>
      </w:r>
    </w:p>
    <w:p>
      <w:pPr>
        <w:pStyle w:val="ListParagraph"/>
        <w:numPr>
          <w:ilvl w:val="0"/>
          <w:numId w:val="2"/>
        </w:numPr>
      </w:pPr>
      <w:r>
        <w:t xml:space="preserve">La coordination des évaluations de conformité</w:t>
      </w:r>
    </w:p>
    <w:p>
      <w:pPr>
        <w:pStyle w:val="ListParagraph"/>
        <w:numPr>
          <w:ilvl w:val="0"/>
          <w:numId w:val="2"/>
        </w:numPr>
      </w:pPr>
      <w:r>
        <w:t xml:space="preserve">La formation des collaborateurs</w:t>
      </w:r>
    </w:p>
    <w:p>
      <w:pPr>
        <w:pStyle w:val="ListParagraph"/>
        <w:numPr>
          <w:ilvl w:val="0"/>
          <w:numId w:val="2"/>
        </w:numPr>
      </w:pPr>
      <w:r>
        <w:t xml:space="preserve">Le reporting à la Direction</w:t>
      </w:r>
    </w:p>
    <w:p>
      <w:pPr>
        <w:pStyle w:val="Heading1"/>
      </w:pPr>
      <w:r>
        <w:t xml:space="preserve">Article 4 - Acquisition et déploiement</w:t>
      </w:r>
    </w:p>
    <w:p>
      <w:r>
        <w:t xml:space="preserve">Tout nouveau système IA doit faire l'objet d'une évaluation préalable incluant :</w:t>
      </w:r>
    </w:p>
    <w:p>
      <w:pPr>
        <w:pStyle w:val="ListParagraph"/>
        <w:numPr>
          <w:ilvl w:val="0"/>
          <w:numId w:val="2"/>
        </w:numPr>
      </w:pPr>
      <w:r>
        <w:t xml:space="preserve">Classification du niveau de risque AI Act</w:t>
      </w:r>
    </w:p>
    <w:p>
      <w:pPr>
        <w:pStyle w:val="ListParagraph"/>
        <w:numPr>
          <w:ilvl w:val="0"/>
          <w:numId w:val="2"/>
        </w:numPr>
      </w:pPr>
      <w:r>
        <w:t xml:space="preserve">Analyse d'impact sur les droits fondamentaux</w:t>
      </w:r>
    </w:p>
    <w:p>
      <w:pPr>
        <w:pStyle w:val="ListParagraph"/>
        <w:numPr>
          <w:ilvl w:val="0"/>
          <w:numId w:val="2"/>
        </w:numPr>
      </w:pPr>
      <w:r>
        <w:t xml:space="preserve">Vérification de la documentation technique</w:t>
      </w:r>
    </w:p>
    <w:p>
      <w:pPr>
        <w:pStyle w:val="ListParagraph"/>
        <w:numPr>
          <w:ilvl w:val="0"/>
          <w:numId w:val="2"/>
        </w:numPr>
      </w:pPr>
      <w:r>
        <w:t xml:space="preserve">Validation par le Référent IA</w:t>
      </w:r>
    </w:p>
    <w:p>
      <w:pPr>
        <w:pStyle w:val="Heading1"/>
      </w:pPr>
      <w:r>
        <w:t xml:space="preserve">Article 5 - Utilisation au quotidien</w:t>
      </w:r>
    </w:p>
    <w:p>
      <w:r>
        <w:t xml:space="preserve">Les collaborateurs s'engagent à :</w:t>
      </w:r>
    </w:p>
    <w:p>
      <w:pPr>
        <w:pStyle w:val="ListParagraph"/>
        <w:numPr>
          <w:ilvl w:val="0"/>
          <w:numId w:val="2"/>
        </w:numPr>
      </w:pPr>
      <w:r>
        <w:t xml:space="preserve">Utiliser les outils IA uniquement pour des usages professionnels</w:t>
      </w:r>
    </w:p>
    <w:p>
      <w:pPr>
        <w:pStyle w:val="ListParagraph"/>
        <w:numPr>
          <w:ilvl w:val="0"/>
          <w:numId w:val="2"/>
        </w:numPr>
      </w:pPr>
      <w:r>
        <w:t xml:space="preserve">Ne pas saisir de données confidentielles dans des IA non approuvées</w:t>
      </w:r>
    </w:p>
    <w:p>
      <w:pPr>
        <w:pStyle w:val="ListParagraph"/>
        <w:numPr>
          <w:ilvl w:val="0"/>
          <w:numId w:val="2"/>
        </w:numPr>
      </w:pPr>
      <w:r>
        <w:t xml:space="preserve">Vérifier les résultats produits par l'IA avant diffusion</w:t>
      </w:r>
    </w:p>
    <w:p>
      <w:pPr>
        <w:pStyle w:val="ListParagraph"/>
        <w:numPr>
          <w:ilvl w:val="0"/>
          <w:numId w:val="2"/>
        </w:numPr>
      </w:pPr>
      <w:r>
        <w:t xml:space="preserve">Signaler tout dysfonctionnement ou résultat discriminatoire</w:t>
      </w:r>
    </w:p>
    <w:p>
      <w:pPr>
        <w:pStyle w:val="Heading1"/>
      </w:pPr>
      <w:r>
        <w:t xml:space="preserve">Article 6 - Formation</w:t>
      </w:r>
    </w:p>
    <w:p>
      <w:r>
        <w:t xml:space="preserve">Conformément à l'</w:t>
      </w:r>
      <w:r>
        <w:rPr>
          <w:b/>
          <w:bCs/>
        </w:rPr>
        <w:t xml:space="preserve">article 4 de l'AI Act</w:t>
      </w:r>
      <w:r>
        <w:t xml:space="preserve">, tous les collaborateurs utilisant des systèmes IA bénéficient d'une formation adaptée couvrant les fondamentaux de l'IA, les risques associés et les bonnes pratiques.</w:t>
      </w:r>
    </w:p>
    <w:p>
      <w:pPr>
        <w:pStyle w:val="Heading1"/>
      </w:pPr>
      <w:r>
        <w:t xml:space="preserve">Article 7 - Sanctions</w:t>
      </w:r>
    </w:p>
    <w:p>
      <w:r>
        <w:t xml:space="preserve">Le non-respect de la présente politique peut entraîner des sanctions disciplinaires conformément au règlement intérieur.</w:t>
      </w:r>
    </w:p>
    <w:p>
      <w:pPr>
        <w:spacing w:before="600"/>
      </w:pPr>
    </w:p>
    <w:p>
      <w:r>
        <w:rPr>
          <w:b/>
          <w:bCs/>
        </w:rPr>
        <w:t xml:space="preserve">Date d'entrée en vigueur : </w:t>
      </w:r>
      <w:r>
        <w:rPr>
          <w:highlight w:val="yellow"/>
          <w:highlightCs w:val="yellow"/>
        </w:rPr>
        <w:t xml:space="preserve">___/___/______</w:t>
      </w:r>
    </w:p>
    <w:p>
      <w:pPr>
        <w:spacing w:before="200"/>
      </w:pPr>
      <w:r>
        <w:rPr>
          <w:b/>
          <w:bCs/>
        </w:rPr>
        <w:t xml:space="preserve">Signature Direction : </w:t>
      </w:r>
      <w:r>
        <w:rPr>
          <w:highlight w:val="yellow"/>
          <w:highlightCs w:val="yellow"/>
        </w:rPr>
        <w:t xml:space="preserve">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© Formation-IA-Act.fr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Politique d'Utilisation de l'IA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2025-12-18T15:20:58.870Z</dcterms:created>
  <dcterms:modified xsi:type="dcterms:W3CDTF">2025-12-18T15:20:58.871Z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