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jc w:val="center"/>
      </w:pPr>
      <w:r>
        <w:rPr>
          <w:color w:val="808080"/>
          <w:sz w:val="28"/>
          <w:szCs w:val="28"/>
        </w:rPr>
        <w:t xml:space="preserve">[LOGO ENTREPRISE]</w:t>
      </w:r>
    </w:p>
    <w:p/>
    <w:p/>
    <w:p>
      <w:pPr>
        <w:jc w:val="center"/>
      </w:pPr>
      <w:r>
        <w:rPr>
          <w:b/>
          <w:bCs/>
          <w:color w:val="1F4E79"/>
          <w:sz w:val="56"/>
          <w:szCs w:val="56"/>
        </w:rPr>
        <w:t xml:space="preserve">POLITIQUE D'UTILISATION</w:t>
      </w:r>
    </w:p>
    <w:p>
      <w:pPr>
        <w:jc w:val="center"/>
      </w:pPr>
      <w:r>
        <w:rPr>
          <w:b/>
          <w:bCs/>
          <w:color w:val="1F4E79"/>
          <w:sz w:val="56"/>
          <w:szCs w:val="56"/>
        </w:rPr>
        <w:t xml:space="preserve">DE L'INTELLIGENCE ARTIFICIELLE</w:t>
      </w:r>
    </w:p>
    <w:p/>
    <w:p>
      <w:pPr>
        <w:spacing w:after="400"/>
        <w:jc w:val="center"/>
      </w:pPr>
      <w:r>
        <w:rPr>
          <w:i/>
          <w:iCs/>
          <w:color w:val="2E75B6"/>
          <w:sz w:val="28"/>
          <w:szCs w:val="28"/>
        </w:rPr>
        <w:t xml:space="preserve">Conformité au Règlement UE 2024/1689 (AI Act)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F4E79" w:val="clear"/>
          </w:tcPr>
          <w:p>
            <w:r>
              <w:rPr>
                <w:b/>
                <w:bCs/>
                <w:color w:val="FFFFFF"/>
              </w:rPr>
              <w:t xml:space="preserve">Entreprise</w:t>
            </w:r>
          </w:p>
        </w:tc>
        <w:tc>
          <w:tcPr>
            <w:tcW w:type="dxa" w:w="6240"/>
            <w:tcBorders>
              <w:top w:val="single" w:color="CCCCCC" w:sz="1"/>
              <w:left w:val="single" w:color="CCCCCC" w:sz="1"/>
              <w:bottom w:val="single" w:color="CCCCCC" w:sz="1"/>
              <w:right w:val="single" w:color="CCCCCC" w:sz="1"/>
            </w:tcBorders>
          </w:tcPr>
          <w:p>
            <w:r>
              <w:t xml:space="preserve">[NOM DE L'ENTREPRISE]</w:t>
            </w:r>
          </w:p>
        </w:tc>
      </w:tr>
      <w:tr>
        <w:tc>
          <w:tcPr>
            <w:tcW w:type="dxa" w:w="3120"/>
            <w:tcBorders>
              <w:top w:val="single" w:color="CCCCCC" w:sz="1"/>
              <w:left w:val="single" w:color="CCCCCC" w:sz="1"/>
              <w:bottom w:val="single" w:color="CCCCCC" w:sz="1"/>
              <w:right w:val="single" w:color="CCCCCC" w:sz="1"/>
            </w:tcBorders>
            <w:shd w:fill="1F4E79" w:val="clear"/>
          </w:tcPr>
          <w:p>
            <w:r>
              <w:rPr>
                <w:b/>
                <w:bCs/>
                <w:color w:val="FFFFFF"/>
              </w:rPr>
              <w:t xml:space="preserve">Version</w:t>
            </w:r>
          </w:p>
        </w:tc>
        <w:tc>
          <w:tcPr>
            <w:tcW w:type="dxa" w:w="6240"/>
            <w:tcBorders>
              <w:top w:val="single" w:color="CCCCCC" w:sz="1"/>
              <w:left w:val="single" w:color="CCCCCC" w:sz="1"/>
              <w:bottom w:val="single" w:color="CCCCCC" w:sz="1"/>
              <w:right w:val="single" w:color="CCCCCC" w:sz="1"/>
            </w:tcBorders>
          </w:tcPr>
          <w:p>
            <w:r>
              <w:t xml:space="preserve">1.0</w:t>
            </w:r>
          </w:p>
        </w:tc>
      </w:tr>
      <w:tr>
        <w:tc>
          <w:tcPr>
            <w:tcW w:type="dxa" w:w="3120"/>
            <w:tcBorders>
              <w:top w:val="single" w:color="CCCCCC" w:sz="1"/>
              <w:left w:val="single" w:color="CCCCCC" w:sz="1"/>
              <w:bottom w:val="single" w:color="CCCCCC" w:sz="1"/>
              <w:right w:val="single" w:color="CCCCCC" w:sz="1"/>
            </w:tcBorders>
            <w:shd w:fill="1F4E79" w:val="clear"/>
          </w:tcPr>
          <w:p>
            <w:r>
              <w:rPr>
                <w:b/>
                <w:bCs/>
                <w:color w:val="FFFFFF"/>
              </w:rPr>
              <w:t xml:space="preserve">Date d'entrée en vigueur</w:t>
            </w:r>
          </w:p>
        </w:tc>
        <w:tc>
          <w:tcPr>
            <w:tcW w:type="dxa" w:w="6240"/>
            <w:tcBorders>
              <w:top w:val="single" w:color="CCCCCC" w:sz="1"/>
              <w:left w:val="single" w:color="CCCCCC" w:sz="1"/>
              <w:bottom w:val="single" w:color="CCCCCC" w:sz="1"/>
              <w:right w:val="single" w:color="CCCCCC" w:sz="1"/>
            </w:tcBorders>
          </w:tcPr>
          <w:p>
            <w:r>
              <w:t xml:space="preserve">[DATE]</w:t>
            </w:r>
          </w:p>
        </w:tc>
      </w:tr>
      <w:tr>
        <w:tc>
          <w:tcPr>
            <w:tcW w:type="dxa" w:w="3120"/>
            <w:tcBorders>
              <w:top w:val="single" w:color="CCCCCC" w:sz="1"/>
              <w:left w:val="single" w:color="CCCCCC" w:sz="1"/>
              <w:bottom w:val="single" w:color="CCCCCC" w:sz="1"/>
              <w:right w:val="single" w:color="CCCCCC" w:sz="1"/>
            </w:tcBorders>
            <w:shd w:fill="1F4E79" w:val="clear"/>
          </w:tcPr>
          <w:p>
            <w:r>
              <w:rPr>
                <w:b/>
                <w:bCs/>
                <w:color w:val="FFFFFF"/>
              </w:rPr>
              <w:t xml:space="preserve">Responsable</w:t>
            </w:r>
          </w:p>
        </w:tc>
        <w:tc>
          <w:tcPr>
            <w:tcW w:type="dxa" w:w="6240"/>
            <w:tcBorders>
              <w:top w:val="single" w:color="CCCCCC" w:sz="1"/>
              <w:left w:val="single" w:color="CCCCCC" w:sz="1"/>
              <w:bottom w:val="single" w:color="CCCCCC" w:sz="1"/>
              <w:right w:val="single" w:color="CCCCCC" w:sz="1"/>
            </w:tcBorders>
          </w:tcPr>
          <w:p>
            <w:r>
              <w:t xml:space="preserve">[NOM DU RESPONSABLE]</w:t>
            </w:r>
          </w:p>
        </w:tc>
      </w:tr>
      <w:tr>
        <w:tc>
          <w:tcPr>
            <w:tcW w:type="dxa" w:w="3120"/>
            <w:tcBorders>
              <w:top w:val="single" w:color="CCCCCC" w:sz="1"/>
              <w:left w:val="single" w:color="CCCCCC" w:sz="1"/>
              <w:bottom w:val="single" w:color="CCCCCC" w:sz="1"/>
              <w:right w:val="single" w:color="CCCCCC" w:sz="1"/>
            </w:tcBorders>
            <w:shd w:fill="1F4E79" w:val="clear"/>
          </w:tcPr>
          <w:p>
            <w:r>
              <w:rPr>
                <w:b/>
                <w:bCs/>
                <w:color w:val="FFFFFF"/>
              </w:rPr>
              <w:t xml:space="preserve">Approuvé par</w:t>
            </w:r>
          </w:p>
        </w:tc>
        <w:tc>
          <w:tcPr>
            <w:tcW w:type="dxa" w:w="6240"/>
            <w:tcBorders>
              <w:top w:val="single" w:color="CCCCCC" w:sz="1"/>
              <w:left w:val="single" w:color="CCCCCC" w:sz="1"/>
              <w:bottom w:val="single" w:color="CCCCCC" w:sz="1"/>
              <w:right w:val="single" w:color="CCCCCC" w:sz="1"/>
            </w:tcBorders>
          </w:tcPr>
          <w:p>
            <w:r>
              <w:t xml:space="preserve">[DIRECTION GÉNÉRALE]</w:t>
            </w:r>
          </w:p>
        </w:tc>
      </w:tr>
      <w:tr>
        <w:tc>
          <w:tcPr>
            <w:tcW w:type="dxa" w:w="3120"/>
            <w:tcBorders>
              <w:top w:val="single" w:color="CCCCCC" w:sz="1"/>
              <w:left w:val="single" w:color="CCCCCC" w:sz="1"/>
              <w:bottom w:val="single" w:color="CCCCCC" w:sz="1"/>
              <w:right w:val="single" w:color="CCCCCC" w:sz="1"/>
            </w:tcBorders>
            <w:shd w:fill="1F4E79" w:val="clear"/>
          </w:tcPr>
          <w:p>
            <w:r>
              <w:rPr>
                <w:b/>
                <w:bCs/>
                <w:color w:val="FFFFFF"/>
              </w:rPr>
              <w:t xml:space="preserve">Classification</w:t>
            </w:r>
          </w:p>
        </w:tc>
        <w:tc>
          <w:tcPr>
            <w:tcW w:type="dxa" w:w="6240"/>
            <w:tcBorders>
              <w:top w:val="single" w:color="CCCCCC" w:sz="1"/>
              <w:left w:val="single" w:color="CCCCCC" w:sz="1"/>
              <w:bottom w:val="single" w:color="CCCCCC" w:sz="1"/>
              <w:right w:val="single" w:color="CCCCCC" w:sz="1"/>
            </w:tcBorders>
          </w:tcPr>
          <w:p>
            <w:r>
              <w:t xml:space="preserve">Confidentiel - Usage interne</w:t>
            </w:r>
          </w:p>
        </w:tc>
      </w:tr>
    </w:tbl>
    <w:p>
      <w:r>
        <w:br w:type="page"/>
      </w:r>
    </w:p>
    <w:p>
      <w:pPr>
        <w:pStyle w:val="Heading1"/>
      </w:pPr>
      <w:r>
        <w:t xml:space="preserve">Table des matières</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Article 1 - Objet et champ d'application</w:t>
      </w:r>
    </w:p>
    <w:p>
      <w:pPr>
        <w:pStyle w:val="Heading2"/>
      </w:pPr>
      <w:r>
        <w:t xml:space="preserve">1.1 Objet</w:t>
      </w:r>
    </w:p>
    <w:p>
      <w:pPr>
        <w:spacing w:after="200"/>
      </w:pPr>
      <w:r>
        <w:t xml:space="preserve">La présente politique définit le cadre d'utilisation des systèmes d'intelligence artificielle (IA) au sein de [NOM DE L'ENTREPRISE], en conformité avec le Règlement européen sur l'intelligence artificielle (Règlement UE 2024/1689, dit « AI Act »).</w:t>
      </w:r>
    </w:p>
    <w:p>
      <w:pPr>
        <w:spacing w:after="200"/>
      </w:pPr>
      <w:r>
        <w:t xml:space="preserve">Elle établit les principes, règles et procédures que l'ensemble des collaborateurs doivent respecter lors de l'utilisation, du déploiement ou du développement de systèmes d'IA.</w:t>
      </w:r>
    </w:p>
    <w:p>
      <w:pPr>
        <w:pStyle w:val="Heading2"/>
      </w:pPr>
      <w:r>
        <w:t xml:space="preserve">1.2 Champ d'application</w:t>
      </w:r>
    </w:p>
    <w:p>
      <w:pPr>
        <w:spacing w:after="100"/>
      </w:pPr>
      <w:r>
        <w:t xml:space="preserve">Cette politique s'applique à :</w:t>
      </w:r>
    </w:p>
    <w:p>
      <w:pPr>
        <w:pStyle w:val="ListParagraph"/>
        <w:numPr>
          <w:ilvl w:val="0"/>
          <w:numId w:val="2"/>
        </w:numPr>
      </w:pPr>
      <w:r>
        <w:t xml:space="preserve">Tous les collaborateurs de [NOM DE L'ENTREPRISE], quel que soit leur statut (CDI, CDD, intérimaires, stagiaires)</w:t>
      </w:r>
    </w:p>
    <w:p>
      <w:pPr>
        <w:pStyle w:val="ListParagraph"/>
        <w:numPr>
          <w:ilvl w:val="0"/>
          <w:numId w:val="2"/>
        </w:numPr>
      </w:pPr>
      <w:r>
        <w:t xml:space="preserve">Tous les systèmes d'IA utilisés, développés ou déployés par l'entreprise</w:t>
      </w:r>
    </w:p>
    <w:p>
      <w:pPr>
        <w:pStyle w:val="ListParagraph"/>
        <w:numPr>
          <w:ilvl w:val="0"/>
          <w:numId w:val="2"/>
        </w:numPr>
      </w:pPr>
      <w:r>
        <w:t xml:space="preserve">Les prestataires et sous-traitants utilisant l'IA pour le compte de l'entreprise</w:t>
      </w:r>
    </w:p>
    <w:p>
      <w:pPr>
        <w:pStyle w:val="ListParagraph"/>
        <w:numPr>
          <w:ilvl w:val="0"/>
          <w:numId w:val="2"/>
        </w:numPr>
      </w:pPr>
      <w:r>
        <w:t xml:space="preserve">Tous les sites, filiales et établissements de l'entreprise</w:t>
      </w:r>
    </w:p>
    <w:p>
      <w:pPr>
        <w:pStyle w:val="Heading2"/>
      </w:pPr>
      <w:r>
        <w:t xml:space="preserve">1.3 Documents de référence</w:t>
      </w:r>
    </w:p>
    <w:p>
      <w:pPr>
        <w:pStyle w:val="ListParagraph"/>
        <w:numPr>
          <w:ilvl w:val="0"/>
          <w:numId w:val="2"/>
        </w:numPr>
      </w:pPr>
      <w:r>
        <w:t xml:space="preserve">Règlement UE 2024/1689 (AI Act)</w:t>
      </w:r>
    </w:p>
    <w:p>
      <w:pPr>
        <w:pStyle w:val="ListParagraph"/>
        <w:numPr>
          <w:ilvl w:val="0"/>
          <w:numId w:val="2"/>
        </w:numPr>
      </w:pPr>
      <w:r>
        <w:t xml:space="preserve">Règlement UE 2016/679 (RGPD)</w:t>
      </w:r>
    </w:p>
    <w:p>
      <w:pPr>
        <w:pStyle w:val="ListParagraph"/>
        <w:numPr>
          <w:ilvl w:val="0"/>
          <w:numId w:val="2"/>
        </w:numPr>
      </w:pPr>
      <w:r>
        <w:t xml:space="preserve">Politique de protection des données personnelles</w:t>
      </w:r>
    </w:p>
    <w:p>
      <w:pPr>
        <w:pStyle w:val="ListParagraph"/>
        <w:numPr>
          <w:ilvl w:val="0"/>
          <w:numId w:val="2"/>
        </w:numPr>
      </w:pPr>
      <w:r>
        <w:t xml:space="preserve">Charte informatique</w:t>
      </w:r>
    </w:p>
    <w:p>
      <w:pPr>
        <w:pStyle w:val="ListParagraph"/>
        <w:numPr>
          <w:ilvl w:val="0"/>
          <w:numId w:val="2"/>
        </w:numPr>
      </w:pPr>
      <w:r>
        <w:t xml:space="preserve">Règlement intérieur</w:t>
      </w:r>
    </w:p>
    <w:p>
      <w:pPr>
        <w:pStyle w:val="Heading1"/>
      </w:pPr>
      <w:r>
        <w:t xml:space="preserve">Article 2 - Définitions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1F4E79" w:sz="2"/>
              <w:left w:val="single" w:color="1F4E79" w:sz="2"/>
              <w:bottom w:val="single" w:color="1F4E79" w:sz="2"/>
              <w:right w:val="single" w:color="1F4E79" w:sz="2"/>
            </w:tcBorders>
            <w:shd w:fill="1F4E79" w:val="clear"/>
          </w:tcPr>
          <w:p>
            <w:pPr>
              <w:jc w:val="center"/>
            </w:pPr>
            <w:r>
              <w:rPr>
                <w:b/>
                <w:bCs/>
                <w:color w:val="FFFFFF"/>
              </w:rPr>
              <w:t xml:space="preserve">Terme</w:t>
            </w:r>
          </w:p>
        </w:tc>
        <w:tc>
          <w:tcPr>
            <w:tcW w:type="dxa" w:w="6240"/>
            <w:tcBorders>
              <w:top w:val="single" w:color="1F4E79" w:sz="2"/>
              <w:left w:val="single" w:color="1F4E79" w:sz="2"/>
              <w:bottom w:val="single" w:color="1F4E79" w:sz="2"/>
              <w:right w:val="single" w:color="1F4E79" w:sz="2"/>
            </w:tcBorders>
            <w:shd w:fill="1F4E79" w:val="clear"/>
          </w:tcPr>
          <w:p>
            <w:pPr>
              <w:jc w:val="center"/>
            </w:pPr>
            <w:r>
              <w:rPr>
                <w:b/>
                <w:bCs/>
                <w:color w:val="FFFFFF"/>
              </w:rPr>
              <w:t xml:space="preserve">Définition</w:t>
            </w:r>
          </w:p>
        </w:tc>
      </w:tr>
      <w:tr>
        <w:tc>
          <w:tcPr>
            <w:tcW w:type="dxa" w:w="3120"/>
            <w:tcBorders>
              <w:top w:val="single" w:color="CCCCCC" w:sz="1"/>
              <w:left w:val="single" w:color="CCCCCC" w:sz="1"/>
              <w:bottom w:val="single" w:color="CCCCCC" w:sz="1"/>
              <w:right w:val="single" w:color="CCCCCC" w:sz="1"/>
            </w:tcBorders>
          </w:tcPr>
          <w:p>
            <w:r>
              <w:rPr>
                <w:b/>
                <w:bCs/>
              </w:rPr>
              <w:t xml:space="preserve">Système d'IA</w:t>
            </w:r>
          </w:p>
        </w:tc>
        <w:tc>
          <w:tcPr>
            <w:tcW w:type="dxa" w:w="6240"/>
            <w:tcBorders>
              <w:top w:val="single" w:color="CCCCCC" w:sz="1"/>
              <w:left w:val="single" w:color="CCCCCC" w:sz="1"/>
              <w:bottom w:val="single" w:color="CCCCCC" w:sz="1"/>
              <w:right w:val="single" w:color="CCCCCC" w:sz="1"/>
            </w:tcBorders>
          </w:tcPr>
          <w:p>
            <w:r>
              <w:t xml:space="preserve">Système basé sur une machine conçu pour fonctionner avec différents niveaux d'autonomie, qui peut s'adapter après son déploiement, et qui déduit, à partir des données qu'il reçoit, comment générer des résultats tels que des prédictions, du contenu, des recommandations ou des décisions.</w:t>
            </w:r>
          </w:p>
        </w:tc>
      </w:tr>
      <w:tr>
        <w:tc>
          <w:tcPr>
            <w:tcW w:type="dxa" w:w="3120"/>
            <w:tcBorders>
              <w:top w:val="single" w:color="CCCCCC" w:sz="1"/>
              <w:left w:val="single" w:color="CCCCCC" w:sz="1"/>
              <w:bottom w:val="single" w:color="CCCCCC" w:sz="1"/>
              <w:right w:val="single" w:color="CCCCCC" w:sz="1"/>
            </w:tcBorders>
            <w:shd w:fill="F2F2F2" w:val="clear"/>
          </w:tcPr>
          <w:p>
            <w:r>
              <w:rPr>
                <w:b/>
                <w:bCs/>
              </w:rPr>
              <w:t xml:space="preserve">Fournisseur</w:t>
            </w:r>
          </w:p>
        </w:tc>
        <w:tc>
          <w:tcPr>
            <w:tcW w:type="dxa" w:w="6240"/>
            <w:tcBorders>
              <w:top w:val="single" w:color="CCCCCC" w:sz="1"/>
              <w:left w:val="single" w:color="CCCCCC" w:sz="1"/>
              <w:bottom w:val="single" w:color="CCCCCC" w:sz="1"/>
              <w:right w:val="single" w:color="CCCCCC" w:sz="1"/>
            </w:tcBorders>
            <w:shd w:fill="F2F2F2" w:val="clear"/>
          </w:tcPr>
          <w:p>
            <w:r>
              <w:t xml:space="preserve">Personne physique ou morale qui développe ou fait développer un système d'IA et le met sur le marché ou le met en service sous son propre nom ou sa propre marque.</w:t>
            </w:r>
          </w:p>
        </w:tc>
      </w:tr>
      <w:tr>
        <w:tc>
          <w:tcPr>
            <w:tcW w:type="dxa" w:w="3120"/>
            <w:tcBorders>
              <w:top w:val="single" w:color="CCCCCC" w:sz="1"/>
              <w:left w:val="single" w:color="CCCCCC" w:sz="1"/>
              <w:bottom w:val="single" w:color="CCCCCC" w:sz="1"/>
              <w:right w:val="single" w:color="CCCCCC" w:sz="1"/>
            </w:tcBorders>
          </w:tcPr>
          <w:p>
            <w:r>
              <w:rPr>
                <w:b/>
                <w:bCs/>
              </w:rPr>
              <w:t xml:space="preserve">Déployeur</w:t>
            </w:r>
          </w:p>
        </w:tc>
        <w:tc>
          <w:tcPr>
            <w:tcW w:type="dxa" w:w="6240"/>
            <w:tcBorders>
              <w:top w:val="single" w:color="CCCCCC" w:sz="1"/>
              <w:left w:val="single" w:color="CCCCCC" w:sz="1"/>
              <w:bottom w:val="single" w:color="CCCCCC" w:sz="1"/>
              <w:right w:val="single" w:color="CCCCCC" w:sz="1"/>
            </w:tcBorders>
          </w:tcPr>
          <w:p>
            <w:r>
              <w:t xml:space="preserve">Personne physique ou morale qui utilise un système d'IA sous sa propre autorité, sauf lorsque ce système est utilisé dans le cadre d'une activité personnelle à caractère non professionnel.</w:t>
            </w:r>
          </w:p>
        </w:tc>
      </w:tr>
      <w:tr>
        <w:tc>
          <w:tcPr>
            <w:tcW w:type="dxa" w:w="3120"/>
            <w:tcBorders>
              <w:top w:val="single" w:color="CCCCCC" w:sz="1"/>
              <w:left w:val="single" w:color="CCCCCC" w:sz="1"/>
              <w:bottom w:val="single" w:color="CCCCCC" w:sz="1"/>
              <w:right w:val="single" w:color="CCCCCC" w:sz="1"/>
            </w:tcBorders>
            <w:shd w:fill="F2F2F2" w:val="clear"/>
          </w:tcPr>
          <w:p>
            <w:r>
              <w:rPr>
                <w:b/>
                <w:bCs/>
              </w:rPr>
              <w:t xml:space="preserve">Opérateur</w:t>
            </w:r>
          </w:p>
        </w:tc>
        <w:tc>
          <w:tcPr>
            <w:tcW w:type="dxa" w:w="6240"/>
            <w:tcBorders>
              <w:top w:val="single" w:color="CCCCCC" w:sz="1"/>
              <w:left w:val="single" w:color="CCCCCC" w:sz="1"/>
              <w:bottom w:val="single" w:color="CCCCCC" w:sz="1"/>
              <w:right w:val="single" w:color="CCCCCC" w:sz="1"/>
            </w:tcBorders>
            <w:shd w:fill="F2F2F2" w:val="clear"/>
          </w:tcPr>
          <w:p>
            <w:r>
              <w:t xml:space="preserve">Collaborateur qui utilise un système d'IA dans le cadre de ses fonctions professionnelles.</w:t>
            </w:r>
          </w:p>
        </w:tc>
      </w:tr>
      <w:tr>
        <w:tc>
          <w:tcPr>
            <w:tcW w:type="dxa" w:w="3120"/>
            <w:tcBorders>
              <w:top w:val="single" w:color="CCCCCC" w:sz="1"/>
              <w:left w:val="single" w:color="CCCCCC" w:sz="1"/>
              <w:bottom w:val="single" w:color="CCCCCC" w:sz="1"/>
              <w:right w:val="single" w:color="CCCCCC" w:sz="1"/>
            </w:tcBorders>
          </w:tcPr>
          <w:p>
            <w:r>
              <w:rPr>
                <w:b/>
                <w:bCs/>
              </w:rPr>
              <w:t xml:space="preserve">Supervision humaine</w:t>
            </w:r>
          </w:p>
        </w:tc>
        <w:tc>
          <w:tcPr>
            <w:tcW w:type="dxa" w:w="6240"/>
            <w:tcBorders>
              <w:top w:val="single" w:color="CCCCCC" w:sz="1"/>
              <w:left w:val="single" w:color="CCCCCC" w:sz="1"/>
              <w:bottom w:val="single" w:color="CCCCCC" w:sz="1"/>
              <w:right w:val="single" w:color="CCCCCC" w:sz="1"/>
            </w:tcBorders>
          </w:tcPr>
          <w:p>
            <w:r>
              <w:t xml:space="preserve">Capacité d'un être humain à comprendre, surveiller et contrôler le fonctionnement d'un système d'IA, y compris la possibilité d'intervenir ou d'interrompre son fonctionnement.</w:t>
            </w:r>
          </w:p>
        </w:tc>
      </w:tr>
    </w:tbl>
    <w:p>
      <w:r>
        <w:br w:type="page"/>
      </w:r>
    </w:p>
    <w:p>
      <w:pPr>
        <w:pStyle w:val="Heading1"/>
      </w:pPr>
      <w:r>
        <w:t xml:space="preserve">Article 3 - Classification des systèmes d'IA</w:t>
      </w:r>
    </w:p>
    <w:p>
      <w:pPr>
        <w:spacing w:after="200"/>
      </w:pPr>
      <w:r>
        <w:t xml:space="preserve">Conformément à l'AI Act, les systèmes d'IA sont classés selon quatre niveaux de risque. Cette classification détermine les obligations applicables.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1F4E79" w:sz="2"/>
              <w:left w:val="single" w:color="1F4E79" w:sz="2"/>
              <w:bottom w:val="single" w:color="1F4E79" w:sz="2"/>
              <w:right w:val="single" w:color="1F4E79" w:sz="2"/>
            </w:tcBorders>
            <w:shd w:fill="1F4E79" w:val="clear"/>
          </w:tcPr>
          <w:p>
            <w:pPr>
              <w:jc w:val="center"/>
            </w:pPr>
            <w:r>
              <w:rPr>
                <w:b/>
                <w:bCs/>
                <w:color w:val="FFFFFF"/>
              </w:rPr>
              <w:t xml:space="preserve">Niveau</w:t>
            </w:r>
          </w:p>
        </w:tc>
        <w:tc>
          <w:tcPr>
            <w:tcW w:type="dxa" w:w="3510"/>
            <w:tcBorders>
              <w:top w:val="single" w:color="1F4E79" w:sz="2"/>
              <w:left w:val="single" w:color="1F4E79" w:sz="2"/>
              <w:bottom w:val="single" w:color="1F4E79" w:sz="2"/>
              <w:right w:val="single" w:color="1F4E79" w:sz="2"/>
            </w:tcBorders>
            <w:shd w:fill="1F4E79" w:val="clear"/>
          </w:tcPr>
          <w:p>
            <w:pPr>
              <w:jc w:val="center"/>
            </w:pPr>
            <w:r>
              <w:rPr>
                <w:b/>
                <w:bCs/>
                <w:color w:val="FFFFFF"/>
              </w:rPr>
              <w:t xml:space="preserve">Description</w:t>
            </w:r>
          </w:p>
        </w:tc>
        <w:tc>
          <w:tcPr>
            <w:tcW w:type="dxa" w:w="3510"/>
            <w:tcBorders>
              <w:top w:val="single" w:color="1F4E79" w:sz="2"/>
              <w:left w:val="single" w:color="1F4E79" w:sz="2"/>
              <w:bottom w:val="single" w:color="1F4E79" w:sz="2"/>
              <w:right w:val="single" w:color="1F4E79" w:sz="2"/>
            </w:tcBorders>
            <w:shd w:fill="1F4E79" w:val="clear"/>
          </w:tcPr>
          <w:p>
            <w:pPr>
              <w:jc w:val="center"/>
            </w:pPr>
            <w:r>
              <w:rPr>
                <w:b/>
                <w:bCs/>
                <w:color w:val="FFFFFF"/>
              </w:rPr>
              <w:t xml:space="preserve">Exemples</w:t>
            </w:r>
          </w:p>
        </w:tc>
      </w:tr>
      <w:tr>
        <w:tc>
          <w:tcPr>
            <w:tcW w:type="dxa" w:w="2340"/>
            <w:tcBorders>
              <w:top w:val="single" w:color="CCCCCC" w:sz="1"/>
              <w:left w:val="single" w:color="CCCCCC" w:sz="1"/>
              <w:bottom w:val="single" w:color="CCCCCC" w:sz="1"/>
              <w:right w:val="single" w:color="CCCCCC" w:sz="1"/>
            </w:tcBorders>
            <w:shd w:fill="8B0000" w:val="clear"/>
          </w:tcPr>
          <w:p>
            <w:pPr>
              <w:jc w:val="center"/>
            </w:pPr>
            <w:r>
              <w:rPr>
                <w:b/>
                <w:bCs/>
                <w:color w:val="FFFFFF"/>
                <w:sz w:val="18"/>
                <w:szCs w:val="18"/>
              </w:rPr>
              <w:t xml:space="preserve">🚫 INACCEPTABLE</w:t>
            </w:r>
          </w:p>
        </w:tc>
        <w:tc>
          <w:tcPr>
            <w:tcW w:type="dxa" w:w="3510"/>
            <w:tcBorders>
              <w:top w:val="single" w:color="CCCCCC" w:sz="1"/>
              <w:left w:val="single" w:color="CCCCCC" w:sz="1"/>
              <w:bottom w:val="single" w:color="CCCCCC" w:sz="1"/>
              <w:right w:val="single" w:color="CCCCCC" w:sz="1"/>
            </w:tcBorders>
          </w:tcPr>
          <w:p>
            <w:r>
              <w:t xml:space="preserve">Systèmes interdits car contraires aux valeurs européennes</w:t>
            </w:r>
          </w:p>
        </w:tc>
        <w:tc>
          <w:tcPr>
            <w:tcW w:type="dxa" w:w="3510"/>
            <w:tcBorders>
              <w:top w:val="single" w:color="CCCCCC" w:sz="1"/>
              <w:left w:val="single" w:color="CCCCCC" w:sz="1"/>
              <w:bottom w:val="single" w:color="CCCCCC" w:sz="1"/>
              <w:right w:val="single" w:color="CCCCCC" w:sz="1"/>
            </w:tcBorders>
          </w:tcPr>
          <w:p>
            <w:r>
              <w:t xml:space="preserve">Manipulation subliminale, scoring social, biométrie temps réel</w:t>
            </w:r>
          </w:p>
        </w:tc>
      </w:tr>
      <w:tr>
        <w:tc>
          <w:tcPr>
            <w:tcW w:type="dxa" w:w="2340"/>
            <w:tcBorders>
              <w:top w:val="single" w:color="CCCCCC" w:sz="1"/>
              <w:left w:val="single" w:color="CCCCCC" w:sz="1"/>
              <w:bottom w:val="single" w:color="CCCCCC" w:sz="1"/>
              <w:right w:val="single" w:color="CCCCCC" w:sz="1"/>
            </w:tcBorders>
            <w:shd w:fill="FF0000" w:val="clear"/>
          </w:tcPr>
          <w:p>
            <w:pPr>
              <w:jc w:val="center"/>
            </w:pPr>
            <w:r>
              <w:rPr>
                <w:b/>
                <w:bCs/>
                <w:color w:val="FFFFFF"/>
                <w:sz w:val="18"/>
                <w:szCs w:val="18"/>
              </w:rPr>
              <w:t xml:space="preserve">🔴 HAUT RISQUE</w:t>
            </w:r>
          </w:p>
        </w:tc>
        <w:tc>
          <w:tcPr>
            <w:tcW w:type="dxa" w:w="3510"/>
            <w:tcBorders>
              <w:top w:val="single" w:color="CCCCCC" w:sz="1"/>
              <w:left w:val="single" w:color="CCCCCC" w:sz="1"/>
              <w:bottom w:val="single" w:color="CCCCCC" w:sz="1"/>
              <w:right w:val="single" w:color="CCCCCC" w:sz="1"/>
            </w:tcBorders>
          </w:tcPr>
          <w:p>
            <w:r>
              <w:t xml:space="preserve">Systèmes soumis à des obligations strictes de conformité</w:t>
            </w:r>
          </w:p>
        </w:tc>
        <w:tc>
          <w:tcPr>
            <w:tcW w:type="dxa" w:w="3510"/>
            <w:tcBorders>
              <w:top w:val="single" w:color="CCCCCC" w:sz="1"/>
              <w:left w:val="single" w:color="CCCCCC" w:sz="1"/>
              <w:bottom w:val="single" w:color="CCCCCC" w:sz="1"/>
              <w:right w:val="single" w:color="CCCCCC" w:sz="1"/>
            </w:tcBorders>
          </w:tcPr>
          <w:p>
            <w:r>
              <w:t xml:space="preserve">Recrutement IA, scoring crédit, éducation, infrastructures critiques</w:t>
            </w:r>
          </w:p>
        </w:tc>
      </w:tr>
      <w:tr>
        <w:tc>
          <w:tcPr>
            <w:tcW w:type="dxa" w:w="2340"/>
            <w:tcBorders>
              <w:top w:val="single" w:color="CCCCCC" w:sz="1"/>
              <w:left w:val="single" w:color="CCCCCC" w:sz="1"/>
              <w:bottom w:val="single" w:color="CCCCCC" w:sz="1"/>
              <w:right w:val="single" w:color="CCCCCC" w:sz="1"/>
            </w:tcBorders>
            <w:shd w:fill="FFA500" w:val="clear"/>
          </w:tcPr>
          <w:p>
            <w:pPr>
              <w:jc w:val="center"/>
            </w:pPr>
            <w:r>
              <w:rPr>
                <w:b/>
                <w:bCs/>
                <w:color w:val="FFFFFF"/>
                <w:sz w:val="18"/>
                <w:szCs w:val="18"/>
              </w:rPr>
              <w:t xml:space="preserve">🟠 RISQUE LIMITÉ</w:t>
            </w:r>
          </w:p>
        </w:tc>
        <w:tc>
          <w:tcPr>
            <w:tcW w:type="dxa" w:w="3510"/>
            <w:tcBorders>
              <w:top w:val="single" w:color="CCCCCC" w:sz="1"/>
              <w:left w:val="single" w:color="CCCCCC" w:sz="1"/>
              <w:bottom w:val="single" w:color="CCCCCC" w:sz="1"/>
              <w:right w:val="single" w:color="CCCCCC" w:sz="1"/>
            </w:tcBorders>
          </w:tcPr>
          <w:p>
            <w:r>
              <w:t xml:space="preserve">Systèmes avec obligations de transparence</w:t>
            </w:r>
          </w:p>
        </w:tc>
        <w:tc>
          <w:tcPr>
            <w:tcW w:type="dxa" w:w="3510"/>
            <w:tcBorders>
              <w:top w:val="single" w:color="CCCCCC" w:sz="1"/>
              <w:left w:val="single" w:color="CCCCCC" w:sz="1"/>
              <w:bottom w:val="single" w:color="CCCCCC" w:sz="1"/>
              <w:right w:val="single" w:color="CCCCCC" w:sz="1"/>
            </w:tcBorders>
          </w:tcPr>
          <w:p>
            <w:r>
              <w:t xml:space="preserve">Chatbots, génération de contenu, deepfakes</w:t>
            </w:r>
          </w:p>
        </w:tc>
      </w:tr>
      <w:tr>
        <w:tc>
          <w:tcPr>
            <w:tcW w:type="dxa" w:w="2340"/>
            <w:tcBorders>
              <w:top w:val="single" w:color="CCCCCC" w:sz="1"/>
              <w:left w:val="single" w:color="CCCCCC" w:sz="1"/>
              <w:bottom w:val="single" w:color="CCCCCC" w:sz="1"/>
              <w:right w:val="single" w:color="CCCCCC" w:sz="1"/>
            </w:tcBorders>
            <w:shd w:fill="008000" w:val="clear"/>
          </w:tcPr>
          <w:p>
            <w:pPr>
              <w:jc w:val="center"/>
            </w:pPr>
            <w:r>
              <w:rPr>
                <w:b/>
                <w:bCs/>
                <w:color w:val="FFFFFF"/>
                <w:sz w:val="18"/>
                <w:szCs w:val="18"/>
              </w:rPr>
              <w:t xml:space="preserve">🟢 RISQUE MINIMAL</w:t>
            </w:r>
          </w:p>
        </w:tc>
        <w:tc>
          <w:tcPr>
            <w:tcW w:type="dxa" w:w="3510"/>
            <w:tcBorders>
              <w:top w:val="single" w:color="CCCCCC" w:sz="1"/>
              <w:left w:val="single" w:color="CCCCCC" w:sz="1"/>
              <w:bottom w:val="single" w:color="CCCCCC" w:sz="1"/>
              <w:right w:val="single" w:color="CCCCCC" w:sz="1"/>
            </w:tcBorders>
          </w:tcPr>
          <w:p>
            <w:r>
              <w:t xml:space="preserve">Systèmes sans obligations spécifiques</w:t>
            </w:r>
          </w:p>
        </w:tc>
        <w:tc>
          <w:tcPr>
            <w:tcW w:type="dxa" w:w="3510"/>
            <w:tcBorders>
              <w:top w:val="single" w:color="CCCCCC" w:sz="1"/>
              <w:left w:val="single" w:color="CCCCCC" w:sz="1"/>
              <w:bottom w:val="single" w:color="CCCCCC" w:sz="1"/>
              <w:right w:val="single" w:color="CCCCCC" w:sz="1"/>
            </w:tcBorders>
          </w:tcPr>
          <w:p>
            <w:r>
              <w:t xml:space="preserve">Filtres anti-spam, jeux vidéo, outils de productivité</w:t>
            </w:r>
          </w:p>
        </w:tc>
      </w:tr>
    </w:tbl>
    <w:p>
      <w:pPr>
        <w:pStyle w:val="Heading1"/>
      </w:pPr>
      <w:r>
        <w:t xml:space="preserve">Article 4 - Principes directeurs</w:t>
      </w:r>
    </w:p>
    <w:p>
      <w:pPr>
        <w:pStyle w:val="Heading2"/>
      </w:pPr>
      <w:r>
        <w:t xml:space="preserve">4.1 Transparence</w:t>
      </w:r>
    </w:p>
    <w:p>
      <w:pPr>
        <w:pStyle w:val="ListParagraph"/>
        <w:numPr>
          <w:ilvl w:val="0"/>
          <w:numId w:val="2"/>
        </w:numPr>
      </w:pPr>
      <w:r>
        <w:t xml:space="preserve">Les personnes interagissant avec un système d'IA sont systématiquement informées de cette interaction</w:t>
      </w:r>
    </w:p>
    <w:p>
      <w:pPr>
        <w:pStyle w:val="ListParagraph"/>
        <w:numPr>
          <w:ilvl w:val="0"/>
          <w:numId w:val="2"/>
        </w:numPr>
      </w:pPr>
      <w:r>
        <w:t xml:space="preserve">Les contenus générés par IA sont clairement identifiés comme tels</w:t>
      </w:r>
    </w:p>
    <w:p>
      <w:pPr>
        <w:pStyle w:val="ListParagraph"/>
        <w:numPr>
          <w:ilvl w:val="0"/>
          <w:numId w:val="2"/>
        </w:numPr>
      </w:pPr>
      <w:r>
        <w:t xml:space="preserve">Les limitations et risques des systèmes sont communiqués aux utilisateurs</w:t>
      </w:r>
    </w:p>
    <w:p>
      <w:pPr>
        <w:pStyle w:val="Heading2"/>
      </w:pPr>
      <w:r>
        <w:t xml:space="preserve">4.2 Supervision humaine</w:t>
      </w:r>
    </w:p>
    <w:p>
      <w:pPr>
        <w:pStyle w:val="ListParagraph"/>
        <w:numPr>
          <w:ilvl w:val="0"/>
          <w:numId w:val="2"/>
        </w:numPr>
      </w:pPr>
      <w:r>
        <w:t xml:space="preserve">Un contrôle humain approprié est maintenu sur tous les systèmes d'IA</w:t>
      </w:r>
    </w:p>
    <w:p>
      <w:pPr>
        <w:pStyle w:val="ListParagraph"/>
        <w:numPr>
          <w:ilvl w:val="0"/>
          <w:numId w:val="2"/>
        </w:numPr>
      </w:pPr>
      <w:r>
        <w:t xml:space="preserve">Les décisions ayant un impact significatif font l'objet d'une validation humaine</w:t>
      </w:r>
    </w:p>
    <w:p>
      <w:pPr>
        <w:pStyle w:val="ListParagraph"/>
        <w:numPr>
          <w:ilvl w:val="0"/>
          <w:numId w:val="2"/>
        </w:numPr>
      </w:pPr>
      <w:r>
        <w:t xml:space="preserve">Un mécanisme d'intervention et d'arrêt d'urgence est disponible</w:t>
      </w:r>
    </w:p>
    <w:p>
      <w:pPr>
        <w:pStyle w:val="Heading2"/>
      </w:pPr>
      <w:r>
        <w:t xml:space="preserve">4.3 Non-discrimination</w:t>
      </w:r>
    </w:p>
    <w:p>
      <w:pPr>
        <w:pStyle w:val="ListParagraph"/>
        <w:numPr>
          <w:ilvl w:val="0"/>
          <w:numId w:val="2"/>
        </w:numPr>
      </w:pPr>
      <w:r>
        <w:t xml:space="preserve">Les systèmes d'IA sont régulièrement évalués pour détecter les biais discriminatoires</w:t>
      </w:r>
    </w:p>
    <w:p>
      <w:pPr>
        <w:pStyle w:val="ListParagraph"/>
        <w:numPr>
          <w:ilvl w:val="0"/>
          <w:numId w:val="2"/>
        </w:numPr>
      </w:pPr>
      <w:r>
        <w:t xml:space="preserve">Des mesures correctives sont mises en place en cas de biais identifié</w:t>
      </w:r>
    </w:p>
    <w:p>
      <w:pPr>
        <w:pStyle w:val="ListParagraph"/>
        <w:numPr>
          <w:ilvl w:val="0"/>
          <w:numId w:val="2"/>
        </w:numPr>
      </w:pPr>
      <w:r>
        <w:t xml:space="preserve">Les critères de décision des systèmes sont documentés et auditables</w:t>
      </w:r>
    </w:p>
    <w:p>
      <w:pPr>
        <w:pStyle w:val="Heading2"/>
      </w:pPr>
      <w:r>
        <w:t xml:space="preserve">4.4 Protection des données</w:t>
      </w:r>
    </w:p>
    <w:p>
      <w:pPr>
        <w:pStyle w:val="ListParagraph"/>
        <w:numPr>
          <w:ilvl w:val="0"/>
          <w:numId w:val="2"/>
        </w:numPr>
      </w:pPr>
      <w:r>
        <w:t xml:space="preserve">Le traitement des données personnelles respecte le RGPD</w:t>
      </w:r>
    </w:p>
    <w:p>
      <w:pPr>
        <w:pStyle w:val="ListParagraph"/>
        <w:numPr>
          <w:ilvl w:val="0"/>
          <w:numId w:val="2"/>
        </w:numPr>
      </w:pPr>
      <w:r>
        <w:t xml:space="preserve">Les données d'entraînement sont vérifiées et documentées</w:t>
      </w:r>
    </w:p>
    <w:p>
      <w:pPr>
        <w:pStyle w:val="ListParagraph"/>
        <w:numPr>
          <w:ilvl w:val="0"/>
          <w:numId w:val="2"/>
        </w:numPr>
      </w:pPr>
      <w:r>
        <w:t xml:space="preserve">La confidentialité des informations est garantie</w:t>
      </w:r>
    </w:p>
    <w:p>
      <w:r>
        <w:br w:type="page"/>
      </w:r>
    </w:p>
    <w:p>
      <w:pPr>
        <w:pStyle w:val="Heading1"/>
      </w:pPr>
      <w:r>
        <w:t xml:space="preserve">Article 5 - Obligations des utilisateurs</w:t>
      </w:r>
    </w:p>
    <w:p>
      <w:pPr>
        <w:pStyle w:val="Heading2"/>
      </w:pPr>
      <w:r>
        <w:t xml:space="preserve">5.1 Avant utilisation</w:t>
      </w:r>
    </w:p>
    <w:p>
      <w:pPr>
        <w:pStyle w:val="ListParagraph"/>
        <w:numPr>
          <w:ilvl w:val="0"/>
          <w:numId w:val="2"/>
        </w:numPr>
      </w:pPr>
      <w:r>
        <w:t xml:space="preserve">Vérifier que le système est référencé dans le registre IA de l'entreprise</w:t>
      </w:r>
    </w:p>
    <w:p>
      <w:pPr>
        <w:pStyle w:val="ListParagraph"/>
        <w:numPr>
          <w:ilvl w:val="0"/>
          <w:numId w:val="2"/>
        </w:numPr>
      </w:pPr>
      <w:r>
        <w:t xml:space="preserve">S'assurer d'avoir reçu la formation appropriée</w:t>
      </w:r>
    </w:p>
    <w:p>
      <w:pPr>
        <w:pStyle w:val="ListParagraph"/>
        <w:numPr>
          <w:ilvl w:val="0"/>
          <w:numId w:val="2"/>
        </w:numPr>
      </w:pPr>
      <w:r>
        <w:t xml:space="preserve">Prendre connaissance des consignes d'utilisation spécifiques</w:t>
      </w:r>
    </w:p>
    <w:p>
      <w:pPr>
        <w:pStyle w:val="Heading2"/>
      </w:pPr>
      <w:r>
        <w:t xml:space="preserve">5.2 Pendant utilisation</w:t>
      </w:r>
    </w:p>
    <w:p>
      <w:pPr>
        <w:pStyle w:val="ListParagraph"/>
        <w:numPr>
          <w:ilvl w:val="0"/>
          <w:numId w:val="2"/>
        </w:numPr>
      </w:pPr>
      <w:r>
        <w:t xml:space="preserve">Respecter strictement les consignes d'utilisation définies</w:t>
      </w:r>
    </w:p>
    <w:p>
      <w:pPr>
        <w:pStyle w:val="ListParagraph"/>
        <w:numPr>
          <w:ilvl w:val="0"/>
          <w:numId w:val="2"/>
        </w:numPr>
      </w:pPr>
      <w:r>
        <w:t xml:space="preserve">Ne pas contourner les mécanismes de contrôle et de sécurité</w:t>
      </w:r>
    </w:p>
    <w:p>
      <w:pPr>
        <w:pStyle w:val="ListParagraph"/>
        <w:numPr>
          <w:ilvl w:val="0"/>
          <w:numId w:val="2"/>
        </w:numPr>
      </w:pPr>
      <w:r>
        <w:t xml:space="preserve">Exercer un regard critique sur les résultats fournis par l'IA</w:t>
      </w:r>
    </w:p>
    <w:p>
      <w:pPr>
        <w:pStyle w:val="ListParagraph"/>
        <w:numPr>
          <w:ilvl w:val="0"/>
          <w:numId w:val="2"/>
        </w:numPr>
      </w:pPr>
      <w:r>
        <w:t xml:space="preserve">Ne pas utiliser l'IA pour des usages non autorisés</w:t>
      </w:r>
    </w:p>
    <w:p>
      <w:pPr>
        <w:pStyle w:val="Heading2"/>
      </w:pPr>
      <w:r>
        <w:t xml:space="preserve">5.3 En cas de problème</w:t>
      </w:r>
    </w:p>
    <w:p>
      <w:pPr>
        <w:pStyle w:val="ListParagraph"/>
        <w:numPr>
          <w:ilvl w:val="0"/>
          <w:numId w:val="2"/>
        </w:numPr>
      </w:pPr>
      <w:r>
        <w:t xml:space="preserve">Signaler immédiatement tout dysfonctionnement ou résultat anormal</w:t>
      </w:r>
    </w:p>
    <w:p>
      <w:pPr>
        <w:pStyle w:val="ListParagraph"/>
        <w:numPr>
          <w:ilvl w:val="0"/>
          <w:numId w:val="2"/>
        </w:numPr>
      </w:pPr>
      <w:r>
        <w:t xml:space="preserve">Alerter en cas de suspicion de biais ou de discrimination</w:t>
      </w:r>
    </w:p>
    <w:p>
      <w:pPr>
        <w:pStyle w:val="ListParagraph"/>
        <w:numPr>
          <w:ilvl w:val="0"/>
          <w:numId w:val="2"/>
        </w:numPr>
      </w:pPr>
      <w:r>
        <w:t xml:space="preserve">Documenter les incidents rencontrés</w:t>
      </w:r>
    </w:p>
    <w:p>
      <w:pPr>
        <w:pStyle w:val="Heading1"/>
      </w:pPr>
      <w:r>
        <w:t xml:space="preserve">Article 6 - Gouvernance</w:t>
      </w:r>
    </w:p>
    <w:p>
      <w:pPr>
        <w:pStyle w:val="Heading2"/>
      </w:pPr>
      <w:r>
        <w:t xml:space="preserve">6.1 Responsable AI Act</w:t>
      </w:r>
    </w:p>
    <w:p>
      <w:pPr>
        <w:spacing w:after="200"/>
      </w:pPr>
      <w:r>
        <w:t xml:space="preserve">[NOM DU RESPONSABLE / COMITÉ] est désigné(e) comme responsable de la conformité AI Act. Ses missions incluent :</w:t>
      </w:r>
    </w:p>
    <w:p>
      <w:pPr>
        <w:pStyle w:val="ListParagraph"/>
        <w:numPr>
          <w:ilvl w:val="0"/>
          <w:numId w:val="2"/>
        </w:numPr>
      </w:pPr>
      <w:r>
        <w:t xml:space="preserve">Tenir à jour le registre des systèmes d'IA</w:t>
      </w:r>
    </w:p>
    <w:p>
      <w:pPr>
        <w:pStyle w:val="ListParagraph"/>
        <w:numPr>
          <w:ilvl w:val="0"/>
          <w:numId w:val="2"/>
        </w:numPr>
      </w:pPr>
      <w:r>
        <w:t xml:space="preserve">Superviser la conformité de chaque système</w:t>
      </w:r>
    </w:p>
    <w:p>
      <w:pPr>
        <w:pStyle w:val="ListParagraph"/>
        <w:numPr>
          <w:ilvl w:val="0"/>
          <w:numId w:val="2"/>
        </w:numPr>
      </w:pPr>
      <w:r>
        <w:t xml:space="preserve">Coordonner les formations des opérateurs</w:t>
      </w:r>
    </w:p>
    <w:p>
      <w:pPr>
        <w:pStyle w:val="ListParagraph"/>
        <w:numPr>
          <w:ilvl w:val="0"/>
          <w:numId w:val="2"/>
        </w:numPr>
      </w:pPr>
      <w:r>
        <w:t xml:space="preserve">Gérer les incidents et signalements</w:t>
      </w:r>
    </w:p>
    <w:p>
      <w:pPr>
        <w:pStyle w:val="ListParagraph"/>
        <w:numPr>
          <w:ilvl w:val="0"/>
          <w:numId w:val="2"/>
        </w:numPr>
      </w:pPr>
      <w:r>
        <w:t xml:space="preserve">Assurer la veille réglementaire</w:t>
      </w:r>
    </w:p>
    <w:p>
      <w:pPr>
        <w:pStyle w:val="Heading2"/>
      </w:pPr>
      <w:r>
        <w:t xml:space="preserve">6.2 Comité IA (si applicable)</w:t>
      </w:r>
    </w:p>
    <w:p>
      <w:r>
        <w:t xml:space="preserve">Un comité IA peut être constitué pour les décisions stratégiques relatives à l'IA. Sa composition et ses attributions sont définies en annexe.</w:t>
      </w:r>
    </w:p>
    <w:p>
      <w:pPr>
        <w:pStyle w:val="Heading1"/>
      </w:pPr>
      <w:r>
        <w:t xml:space="preserve">Article 7 - Formation (Article 4 AI Act)</w:t>
      </w:r>
    </w:p>
    <w:p>
      <w:pPr>
        <w:spacing w:after="200"/>
      </w:pPr>
      <w:r>
        <w:t xml:space="preserve">Conformément à l'Article 4 de l'AI Act, l'entreprise s'engage à garantir un niveau suffisant de maîtrise de l'IA pour tous les opérateurs.</w:t>
      </w:r>
    </w:p>
    <w:p>
      <w:pPr>
        <w:pStyle w:val="Heading2"/>
      </w:pPr>
      <w:r>
        <w:t xml:space="preserve">7.1 Formation initiale</w:t>
      </w:r>
    </w:p>
    <w:p>
      <w:pPr>
        <w:pStyle w:val="ListParagraph"/>
        <w:numPr>
          <w:ilvl w:val="0"/>
          <w:numId w:val="2"/>
        </w:numPr>
      </w:pPr>
      <w:r>
        <w:t xml:space="preserve">Tout nouvel utilisateur doit suivre une formation avant d'utiliser un système d'IA</w:t>
      </w:r>
    </w:p>
    <w:p>
      <w:pPr>
        <w:pStyle w:val="ListParagraph"/>
        <w:numPr>
          <w:ilvl w:val="0"/>
          <w:numId w:val="2"/>
        </w:numPr>
      </w:pPr>
      <w:r>
        <w:t xml:space="preserve">La formation couvre les principes de l'AI Act et les bonnes pratiques</w:t>
      </w:r>
    </w:p>
    <w:p>
      <w:pPr>
        <w:pStyle w:val="ListParagraph"/>
        <w:numPr>
          <w:ilvl w:val="0"/>
          <w:numId w:val="2"/>
        </w:numPr>
      </w:pPr>
      <w:r>
        <w:t xml:space="preserve">Une attestation de formation est délivrée et conservée</w:t>
      </w:r>
    </w:p>
    <w:p>
      <w:pPr>
        <w:pStyle w:val="Heading2"/>
      </w:pPr>
      <w:r>
        <w:t xml:space="preserve">7.2 Formation continue</w:t>
      </w:r>
    </w:p>
    <w:p>
      <w:pPr>
        <w:pStyle w:val="ListParagraph"/>
        <w:numPr>
          <w:ilvl w:val="0"/>
          <w:numId w:val="2"/>
        </w:numPr>
      </w:pPr>
      <w:r>
        <w:t xml:space="preserve">Des sessions de mise à jour sont organisées régulièrement</w:t>
      </w:r>
    </w:p>
    <w:p>
      <w:pPr>
        <w:pStyle w:val="ListParagraph"/>
        <w:numPr>
          <w:ilvl w:val="0"/>
          <w:numId w:val="2"/>
        </w:numPr>
      </w:pPr>
      <w:r>
        <w:t xml:space="preserve">Les évolutions réglementaires sont communiquées</w:t>
      </w:r>
    </w:p>
    <w:p>
      <w:r>
        <w:br w:type="page"/>
      </w:r>
    </w:p>
    <w:p>
      <w:pPr>
        <w:pStyle w:val="Heading1"/>
      </w:pPr>
      <w:r>
        <w:t xml:space="preserve">Article 8 - Sanctions</w:t>
      </w:r>
    </w:p>
    <w:p>
      <w:pPr>
        <w:spacing w:after="200"/>
      </w:pPr>
      <w:r>
        <w:t xml:space="preserve">Tout manquement à la présente politique pourra faire l'objet de sanctions disciplinaires conformément au règlement intérieur de l'entreprise, sans préjudice des éventuelles poursuites judiciaires.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2"/>
              <w:left w:val="single" w:color="1F4E79" w:sz="2"/>
              <w:bottom w:val="single" w:color="1F4E79" w:sz="2"/>
              <w:right w:val="single" w:color="1F4E79" w:sz="2"/>
            </w:tcBorders>
            <w:shd w:fill="F8D7DA" w:val="clear"/>
          </w:tcPr>
          <w:p>
            <w:pPr>
              <w:spacing w:before="100"/>
            </w:pPr>
            <w:r>
              <w:rPr>
                <w:b/>
                <w:bCs/>
                <w:color w:val="721C24"/>
                <w:sz w:val="24"/>
                <w:szCs w:val="24"/>
              </w:rPr>
              <w:t xml:space="preserve">⚠️ RAPPEL DES SANCTIONS AI ACT</w:t>
            </w:r>
          </w:p>
          <w:p>
            <w:pPr>
              <w:pStyle w:val="ListParagraph"/>
              <w:numPr>
                <w:ilvl w:val="0"/>
                <w:numId w:val="2"/>
              </w:numPr>
            </w:pPr>
            <w:r>
              <w:t xml:space="preserve">Pratiques interdites : jusqu'à 35 millions € ou 7% du CA mondial</w:t>
            </w:r>
          </w:p>
          <w:p>
            <w:pPr>
              <w:pStyle w:val="ListParagraph"/>
              <w:numPr>
                <w:ilvl w:val="0"/>
                <w:numId w:val="2"/>
              </w:numPr>
            </w:pPr>
            <w:r>
              <w:t xml:space="preserve">Non-conformité systèmes haut risque : jusqu'à 15 millions € ou 3% du CA</w:t>
            </w:r>
          </w:p>
          <w:p>
            <w:pPr>
              <w:pStyle w:val="ListParagraph"/>
              <w:numPr>
                <w:ilvl w:val="0"/>
                <w:numId w:val="2"/>
              </w:numPr>
              <w:spacing w:after="100"/>
            </w:pPr>
            <w:r>
              <w:t xml:space="preserve">Informations incorrectes : jusqu'à 7,5 millions € ou 1,5% du CA</w:t>
            </w:r>
          </w:p>
        </w:tc>
      </w:tr>
    </w:tbl>
    <w:p>
      <w:pPr>
        <w:pStyle w:val="Heading1"/>
      </w:pPr>
      <w:r>
        <w:t xml:space="preserve">Article 9 - Entrée en vigueur et révision</w:t>
      </w:r>
    </w:p>
    <w:p>
      <w:pPr>
        <w:spacing w:after="200"/>
      </w:pPr>
      <w:r>
        <w:t xml:space="preserve">La présente politique entre en vigueur le [DATE]. Elle sera révisée annuellement ou lors de modifications substantielles de la réglementation applicable ou de l'environnement technologique de l'entreprise.</w:t>
      </w:r>
    </w:p>
    <w:p>
      <w:r>
        <w:br w:type="page"/>
      </w:r>
    </w:p>
    <w:p>
      <w:pPr>
        <w:pStyle w:val="Heading1"/>
      </w:pPr>
      <w:r>
        <w:t xml:space="preserve">Signatures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tcPr>
          <w:p>
            <w:pPr>
              <w:jc w:val="center"/>
            </w:pPr>
            <w:r>
              <w:rPr>
                <w:b/>
                <w:bCs/>
              </w:rPr>
              <w:t xml:space="preserve">Le Directeur Général</w:t>
            </w:r>
          </w:p>
          <w:p/>
          <w:p>
            <w:pPr>
              <w:jc w:val="center"/>
            </w:pPr>
            <w:r>
              <w:t xml:space="preserve">[NOM]</w:t>
            </w:r>
          </w:p>
          <w:p/>
          <w:p>
            <w:pPr>
              <w:jc w:val="center"/>
            </w:pPr>
            <w:r>
              <w:t xml:space="preserve">Date : _______________</w:t>
            </w:r>
          </w:p>
          <w:p/>
          <w:p>
            <w:pPr>
              <w:jc w:val="center"/>
            </w:pPr>
            <w:r>
              <w:t xml:space="preserve">Signature :</w:t>
            </w:r>
          </w:p>
          <w:p/>
          <w:p/>
        </w:tc>
        <w:tc>
          <w:tcPr>
            <w:tcW w:type="dxa" w:w="4680"/>
            <w:tcBorders>
              <w:top w:val="single" w:color="CCCCCC" w:sz="1"/>
              <w:left w:val="single" w:color="CCCCCC" w:sz="1"/>
              <w:bottom w:val="single" w:color="CCCCCC" w:sz="1"/>
              <w:right w:val="single" w:color="CCCCCC" w:sz="1"/>
            </w:tcBorders>
          </w:tcPr>
          <w:p>
            <w:pPr>
              <w:jc w:val="center"/>
            </w:pPr>
            <w:r>
              <w:rPr>
                <w:b/>
                <w:bCs/>
              </w:rPr>
              <w:t xml:space="preserve">Le Responsable Conformité</w:t>
            </w:r>
          </w:p>
          <w:p/>
          <w:p>
            <w:pPr>
              <w:jc w:val="center"/>
            </w:pPr>
            <w:r>
              <w:t xml:space="preserve">[NOM]</w:t>
            </w:r>
          </w:p>
          <w:p/>
          <w:p>
            <w:pPr>
              <w:jc w:val="center"/>
            </w:pPr>
            <w:r>
              <w:t xml:space="preserve">Date : _______________</w:t>
            </w:r>
          </w:p>
          <w:p/>
          <w:p>
            <w:pPr>
              <w:jc w:val="center"/>
            </w:pPr>
            <w:r>
              <w:t xml:space="preserve">Signature :</w:t>
            </w:r>
          </w:p>
          <w:p/>
          <w:p/>
        </w:tc>
      </w:tr>
    </w:tbl>
    <w:p/>
    <w:p>
      <w:pPr>
        <w:pStyle w:val="Heading2"/>
      </w:pPr>
      <w:r>
        <w:t xml:space="preserve">Historique des versions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60"/>
        <w:gridCol w:w="2340"/>
        <w:gridCol w:w="2340"/>
        <w:gridCol w:w="3120"/>
      </w:tblGrid>
      <w:tr>
        <w:trPr>
          <w:tblHeader/>
        </w:trPr>
        <w:tc>
          <w:tcPr>
            <w:tcW w:type="dxa" w:w="1560"/>
            <w:tcBorders>
              <w:top w:val="single" w:color="1F4E79" w:sz="2"/>
              <w:left w:val="single" w:color="1F4E79" w:sz="2"/>
              <w:bottom w:val="single" w:color="1F4E79" w:sz="2"/>
              <w:right w:val="single" w:color="1F4E79" w:sz="2"/>
            </w:tcBorders>
            <w:shd w:fill="1F4E79" w:val="clear"/>
          </w:tcPr>
          <w:p>
            <w:pPr>
              <w:jc w:val="center"/>
            </w:pPr>
            <w:r>
              <w:rPr>
                <w:b/>
                <w:bCs/>
                <w:color w:val="FFFFFF"/>
              </w:rPr>
              <w:t xml:space="preserve">Version</w:t>
            </w:r>
          </w:p>
        </w:tc>
        <w:tc>
          <w:tcPr>
            <w:tcW w:type="dxa" w:w="2340"/>
            <w:tcBorders>
              <w:top w:val="single" w:color="1F4E79" w:sz="2"/>
              <w:left w:val="single" w:color="1F4E79" w:sz="2"/>
              <w:bottom w:val="single" w:color="1F4E79" w:sz="2"/>
              <w:right w:val="single" w:color="1F4E79" w:sz="2"/>
            </w:tcBorders>
            <w:shd w:fill="1F4E79" w:val="clear"/>
          </w:tcPr>
          <w:p>
            <w:pPr>
              <w:jc w:val="center"/>
            </w:pPr>
            <w:r>
              <w:rPr>
                <w:b/>
                <w:bCs/>
                <w:color w:val="FFFFFF"/>
              </w:rPr>
              <w:t xml:space="preserve">Date</w:t>
            </w:r>
          </w:p>
        </w:tc>
        <w:tc>
          <w:tcPr>
            <w:tcW w:type="dxa" w:w="2340"/>
            <w:tcBorders>
              <w:top w:val="single" w:color="1F4E79" w:sz="2"/>
              <w:left w:val="single" w:color="1F4E79" w:sz="2"/>
              <w:bottom w:val="single" w:color="1F4E79" w:sz="2"/>
              <w:right w:val="single" w:color="1F4E79" w:sz="2"/>
            </w:tcBorders>
            <w:shd w:fill="1F4E79" w:val="clear"/>
          </w:tcPr>
          <w:p>
            <w:pPr>
              <w:jc w:val="center"/>
            </w:pPr>
            <w:r>
              <w:rPr>
                <w:b/>
                <w:bCs/>
                <w:color w:val="FFFFFF"/>
              </w:rPr>
              <w:t xml:space="preserve">Auteur</w:t>
            </w:r>
          </w:p>
        </w:tc>
        <w:tc>
          <w:tcPr>
            <w:tcW w:type="dxa" w:w="3120"/>
            <w:tcBorders>
              <w:top w:val="single" w:color="1F4E79" w:sz="2"/>
              <w:left w:val="single" w:color="1F4E79" w:sz="2"/>
              <w:bottom w:val="single" w:color="1F4E79" w:sz="2"/>
              <w:right w:val="single" w:color="1F4E79" w:sz="2"/>
            </w:tcBorders>
            <w:shd w:fill="1F4E79" w:val="clear"/>
          </w:tcPr>
          <w:p>
            <w:pPr>
              <w:jc w:val="center"/>
            </w:pPr>
            <w:r>
              <w:rPr>
                <w:b/>
                <w:bCs/>
                <w:color w:val="FFFFFF"/>
              </w:rPr>
              <w:t xml:space="preserve">Modifications</w:t>
            </w:r>
          </w:p>
        </w:tc>
      </w:tr>
      <w:tr>
        <w:tc>
          <w:tcPr>
            <w:tcW w:type="dxa" w:w="1560"/>
            <w:tcBorders>
              <w:top w:val="single" w:color="CCCCCC" w:sz="1"/>
              <w:left w:val="single" w:color="CCCCCC" w:sz="1"/>
              <w:bottom w:val="single" w:color="CCCCCC" w:sz="1"/>
              <w:right w:val="single" w:color="CCCCCC" w:sz="1"/>
            </w:tcBorders>
          </w:tcPr>
          <w:p>
            <w:pPr>
              <w:jc w:val="center"/>
            </w:pPr>
            <w:r>
              <w:t xml:space="preserve">1.0</w:t>
            </w:r>
          </w:p>
        </w:tc>
        <w:tc>
          <w:tcPr>
            <w:tcW w:type="dxa" w:w="2340"/>
            <w:tcBorders>
              <w:top w:val="single" w:color="CCCCCC" w:sz="1"/>
              <w:left w:val="single" w:color="CCCCCC" w:sz="1"/>
              <w:bottom w:val="single" w:color="CCCCCC" w:sz="1"/>
              <w:right w:val="single" w:color="CCCCCC" w:sz="1"/>
            </w:tcBorders>
          </w:tcPr>
          <w:p>
            <w:pPr>
              <w:jc w:val="center"/>
            </w:pPr>
            <w:r>
              <w:t xml:space="preserve">[DATE]</w:t>
            </w:r>
          </w:p>
        </w:tc>
        <w:tc>
          <w:tcPr>
            <w:tcW w:type="dxa" w:w="2340"/>
            <w:tcBorders>
              <w:top w:val="single" w:color="CCCCCC" w:sz="1"/>
              <w:left w:val="single" w:color="CCCCCC" w:sz="1"/>
              <w:bottom w:val="single" w:color="CCCCCC" w:sz="1"/>
              <w:right w:val="single" w:color="CCCCCC" w:sz="1"/>
            </w:tcBorders>
          </w:tcPr>
          <w:p>
            <w:pPr>
              <w:jc w:val="center"/>
            </w:pPr>
            <w:r>
              <w:t xml:space="preserve">[NOM]</w:t>
            </w:r>
          </w:p>
        </w:tc>
        <w:tc>
          <w:tcPr>
            <w:tcW w:type="dxa" w:w="3120"/>
            <w:tcBorders>
              <w:top w:val="single" w:color="CCCCCC" w:sz="1"/>
              <w:left w:val="single" w:color="CCCCCC" w:sz="1"/>
              <w:bottom w:val="single" w:color="CCCCCC" w:sz="1"/>
              <w:right w:val="single" w:color="CCCCCC" w:sz="1"/>
            </w:tcBorders>
          </w:tcPr>
          <w:p>
            <w:r>
              <w:t xml:space="preserve">Création du document</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[NOM ENTREPRISE] - Document confidentiel | Page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Politique d'Utilisation de l'Intelligence Artificielle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Article %1 -"/>
      <w:lvlJc w:val="left"/>
      <w:pPr>
        <w:ind w:left="0" w:hanging="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00"/>
      <w:jc w:val="center"/>
    </w:pPr>
    <w:rPr>
      <w:rFonts w:ascii="Arial" w:cs="Arial" w:eastAsia="Arial" w:hAnsi="Arial"/>
      <w:b/>
      <w:bCs/>
      <w:color w:val="1F4E79"/>
      <w:sz w:val="48"/>
      <w:szCs w:val="48"/>
    </w:rPr>
  </w:style>
  <w:style w:type="paragraph" w:styleId="Heading1">
    <w:name w:val="Heading 1"/>
    <w:basedOn w:val="Normal"/>
    <w:next w:val="Normal"/>
    <w:qFormat/>
    <w:pPr>
      <w:spacing w:before="360" w:after="120"/>
      <w:outlineLvl w:val="0"/>
    </w:pPr>
    <w:rPr>
      <w:rFonts w:ascii="Arial" w:cs="Arial" w:eastAsia="Arial" w:hAnsi="Arial"/>
      <w:b/>
      <w:bCs/>
      <w:color w:val="1F4E79"/>
      <w:sz w:val="28"/>
      <w:szCs w:val="28"/>
    </w:rPr>
  </w:style>
  <w:style w:type="paragraph" w:styleId="Heading2">
    <w:name w:val="Heading 2"/>
    <w:basedOn w:val="Normal"/>
    <w:next w:val="Normal"/>
    <w:qFormat/>
    <w:pPr>
      <w:spacing w:before="240" w:after="80"/>
      <w:outlineLvl w:val="1"/>
    </w:pPr>
    <w:rPr>
      <w:rFonts w:ascii="Arial" w:cs="Arial" w:eastAsia="Arial" w:hAnsi="Arial"/>
      <w:b/>
      <w:bCs/>
      <w:color w:val="2E75B6"/>
      <w:sz w:val="24"/>
      <w:szCs w:val="24"/>
    </w:rPr>
  </w:style>
  <w:style w:type="paragraph" w:styleId="Heading3">
    <w:name w:val="Heading 3"/>
    <w:basedOn w:val="Normal"/>
    <w:next w:val="Normal"/>
    <w:qFormat/>
    <w:pPr>
      <w:spacing w:before="200" w:after="6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2025-12-27T12:33:03.258Z</dcterms:created>
  <dcterms:modified xsi:type="dcterms:W3CDTF">2025-12-27T12:33:03.259Z</dcterms:modified>
</cp:coreProperties>
</file>

<file path=docProps/custom.xml><?xml version="1.0" encoding="utf-8"?>
<Properties xmlns="http://schemas.openxmlformats.org/officeDocument/2006/custom-properties" xmlns:vt="http://schemas.openxmlformats.org/officeDocument/2006/docPropsVTypes"/>
</file>