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4.1: Model Performance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Probit</w:t>
            </w:r>
          </w:p>
        </w:tc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Hybrid</w:t>
            </w:r>
          </w:p>
        </w:tc>
      </w:tr>
      <w:tr>
        <w:tc>
          <w:tcPr>
            <w:tcW w:type="dxa" w:w="2160"/>
          </w:tcPr>
          <w:p>
            <w:r>
              <w:t>Mean Accuracy (%)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74.7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  <w:tr>
        <w:tc>
          <w:tcPr>
            <w:tcW w:type="dxa" w:w="2160"/>
          </w:tcPr>
          <w:p>
            <w:r>
              <w:t>F1 Score (Default)</w:t>
            </w:r>
          </w:p>
        </w:tc>
        <w:tc>
          <w:tcPr>
            <w:tcW w:type="dxa" w:w="2160"/>
          </w:tcPr>
          <w:p>
            <w:r>
              <w:t>0.104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0.14</w:t>
            </w:r>
          </w:p>
        </w:tc>
      </w:tr>
      <w:tr>
        <w:tc>
          <w:tcPr>
            <w:tcW w:type="dxa" w:w="2160"/>
          </w:tcPr>
          <w:p>
            <w:r>
              <w:t>Default Recall (%)</w:t>
            </w:r>
          </w:p>
        </w:tc>
        <w:tc>
          <w:tcPr>
            <w:tcW w:type="dxa" w:w="2160"/>
          </w:tcPr>
          <w:p>
            <w:r>
              <w:t>0.3–3</w:t>
            </w:r>
          </w:p>
        </w:tc>
        <w:tc>
          <w:tcPr>
            <w:tcW w:type="dxa" w:w="2160"/>
          </w:tcPr>
          <w:p>
            <w:r>
              <w:t>30–36</w:t>
            </w:r>
          </w:p>
        </w:tc>
        <w:tc>
          <w:tcPr>
            <w:tcW w:type="dxa" w:w="2160"/>
          </w:tcPr>
          <w:p>
            <w:r>
              <w:t>37–42</w:t>
            </w:r>
          </w:p>
        </w:tc>
      </w:tr>
      <w:tr>
        <w:tc>
          <w:tcPr>
            <w:tcW w:type="dxa" w:w="2160"/>
          </w:tcPr>
          <w:p>
            <w:r>
              <w:t>Non-default Recall (%)</w:t>
            </w:r>
          </w:p>
        </w:tc>
        <w:tc>
          <w:tcPr>
            <w:tcW w:type="dxa" w:w="2160"/>
          </w:tcPr>
          <w:p>
            <w:r>
              <w:t>Too low to record</w:t>
            </w:r>
          </w:p>
        </w:tc>
        <w:tc>
          <w:tcPr>
            <w:tcW w:type="dxa" w:w="2160"/>
          </w:tcPr>
          <w:p>
            <w:r>
              <w:t>72–78</w:t>
            </w:r>
          </w:p>
        </w:tc>
        <w:tc>
          <w:tcPr>
            <w:tcW w:type="dxa" w:w="2160"/>
          </w:tcPr>
          <w:p>
            <w:r>
              <w:t>70–79</w:t>
            </w:r>
          </w:p>
        </w:tc>
      </w:tr>
      <w:tr>
        <w:tc>
          <w:tcPr>
            <w:tcW w:type="dxa" w:w="2160"/>
          </w:tcPr>
          <w:p>
            <w:r>
              <w:t>Precision (%)</w:t>
            </w:r>
          </w:p>
        </w:tc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95</w:t>
            </w:r>
          </w:p>
        </w:tc>
      </w:tr>
      <w:tr>
        <w:tc>
          <w:tcPr>
            <w:tcW w:type="dxa" w:w="2160"/>
          </w:tcPr>
          <w:p>
            <w:r>
              <w:t>ROC-AUC</w:t>
            </w:r>
          </w:p>
        </w:tc>
        <w:tc>
          <w:tcPr>
            <w:tcW w:type="dxa" w:w="2160"/>
          </w:tcPr>
          <w:p>
            <w:r>
              <w:t>0.52–0.58</w:t>
            </w:r>
          </w:p>
        </w:tc>
        <w:tc>
          <w:tcPr>
            <w:tcW w:type="dxa" w:w="2160"/>
          </w:tcPr>
          <w:p>
            <w:r>
              <w:t>0.65–0.70</w:t>
            </w:r>
          </w:p>
        </w:tc>
        <w:tc>
          <w:tcPr>
            <w:tcW w:type="dxa" w:w="2160"/>
          </w:tcPr>
          <w:p>
            <w:r>
              <w:t>0.68–0.72</w:t>
            </w:r>
          </w:p>
        </w:tc>
      </w:tr>
      <w:tr>
        <w:tc>
          <w:tcPr>
            <w:tcW w:type="dxa" w:w="2160"/>
          </w:tcPr>
          <w:p>
            <w:r>
              <w:t>Weighted Avg Accuracy (%)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