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A">
            <w:pPr>
              <w:rPr>
                <w:color w:val="ff0000"/>
                <w:sz w:val="24"/>
                <w:szCs w:val="24"/>
              </w:rPr>
            </w:pPr>
            <w:hyperlink r:id="rId7">
              <w:r w:rsidDel="00000000" w:rsidR="00000000" w:rsidRPr="00000000">
                <w:rPr>
                  <w:color w:val="1155cc"/>
                  <w:sz w:val="24"/>
                  <w:szCs w:val="24"/>
                  <w:u w:val="single"/>
                  <w:rtl w:val="0"/>
                </w:rPr>
                <w:t xml:space="preserve">https://docs.google.com/document/d/16qeHeyFelMt64LdxHcjgaqV2J435E-N6v25RqJe7fT8/edit?usp=sharing</w:t>
              </w:r>
            </w:hyperlink>
            <w:r w:rsidDel="00000000" w:rsidR="00000000" w:rsidRPr="00000000">
              <w:rPr>
                <w:rtl w:val="0"/>
              </w:rPr>
            </w:r>
          </w:p>
          <w:p w:rsidR="00000000" w:rsidDel="00000000" w:rsidP="00000000" w:rsidRDefault="00000000" w:rsidRPr="00000000" w14:paraId="0000001B">
            <w:pPr>
              <w:rPr>
                <w:color w:val="ff0000"/>
                <w:sz w:val="24"/>
                <w:szCs w:val="24"/>
              </w:rPr>
            </w:pPr>
            <w:r w:rsidDel="00000000" w:rsidR="00000000" w:rsidRPr="00000000">
              <w:rPr>
                <w:rtl w:val="0"/>
              </w:rPr>
            </w:r>
          </w:p>
          <w:p w:rsidR="00000000" w:rsidDel="00000000" w:rsidP="00000000" w:rsidRDefault="00000000" w:rsidRPr="00000000" w14:paraId="0000001C">
            <w:pPr>
              <w:rPr>
                <w:color w:val="ff0000"/>
                <w:sz w:val="24"/>
                <w:szCs w:val="24"/>
              </w:rPr>
            </w:pPr>
            <w:r w:rsidDel="00000000" w:rsidR="00000000" w:rsidRPr="00000000">
              <w:rPr>
                <w:color w:val="ff0000"/>
                <w:sz w:val="24"/>
                <w:szCs w:val="24"/>
                <w:rtl w:val="0"/>
              </w:rPr>
              <w:t xml:space="preserve">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 xml:space="preserve">This research develops a hybrid machine learning framework that combines the strengths of XGBoost and attention based LSTM networks, enhanced with SHAP explainability, to predict sovereign debt default more accurately and transparently. The model is trained on a comprehensive dataset covering macroeconomic, political, and global financial indicators across 68 countries from 1980 to 2022. Its objective is to improve the predictive power and interpretability of early warning systems in sovereign debt analysis.This is to the best of our knowledge the first study to apply a fully explainable hybrid model to sovereign default risk across four decades of global data.</w:t>
      </w:r>
    </w:p>
    <w:p w:rsidR="00000000" w:rsidDel="00000000" w:rsidP="00000000" w:rsidRDefault="00000000" w:rsidRPr="00000000" w14:paraId="00000045">
      <w:pPr>
        <w:spacing w:after="240" w:before="240" w:lineRule="auto"/>
        <w:rPr/>
      </w:pPr>
      <w:r w:rsidDel="00000000" w:rsidR="00000000" w:rsidRPr="00000000">
        <w:rPr>
          <w:rtl w:val="0"/>
        </w:rPr>
        <w:t xml:space="preserve">Empirical results show that the proposed hybrid model significantly outperforms traditional logistic and probit regressions, with ROC-AUC values between 0.68 and 0.72, and recall rates for defaults reaching 42% a critical improvement in rare event forecasting. SHAP analysis uncovers key drivers of default risk, including election cycles, global interest rates, fiscal deficits, and external debt levels. These insights validate the model’s internal logic and offer policymakers timely, interpretable signals for intervention.</w:t>
      </w:r>
    </w:p>
    <w:p w:rsidR="00000000" w:rsidDel="00000000" w:rsidP="00000000" w:rsidRDefault="00000000" w:rsidRPr="00000000" w14:paraId="00000046">
      <w:pPr>
        <w:spacing w:after="240" w:before="240" w:lineRule="auto"/>
        <w:rPr/>
      </w:pPr>
      <w:r w:rsidDel="00000000" w:rsidR="00000000" w:rsidRPr="00000000">
        <w:rPr>
          <w:rtl w:val="0"/>
        </w:rPr>
        <w:t xml:space="preserve">By addressing the trade off between model complexity and interpretability, this thesis closes a crucial gap in sovereign risk forecasting literature. It offers a scalable, policy relevant tool capable of supporting real time debt surveillance and enhancing institutional readiness in the face of emerging global financial threats.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 xml:space="preserve">Figure 4.11 Paired t-test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Table 4.1: Descriptive Statistics of Key Variables (1980–2022)</w:t>
      </w:r>
      <w:r w:rsidDel="00000000" w:rsidR="00000000" w:rsidRPr="00000000">
        <w:rPr>
          <w:rtl w:val="0"/>
        </w:rPr>
        <w:t xml:space="preserve"> ............................................. 42  </w:t>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Explainable artificial intelligence (XAI) tools such as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78–80% accuracy compared to 70–75%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w:t>
      </w:r>
      <w:r w:rsidDel="00000000" w:rsidR="00000000" w:rsidRPr="00000000">
        <w:rPr>
          <w:sz w:val="24"/>
          <w:szCs w:val="24"/>
          <w:rtl w:val="0"/>
        </w:rPr>
        <w:t xml:space="preserve">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 xml:space="preserve">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 xml:space="preserve">To ensure optimal model performance and prevent overfitting, the implementation of systematic hyperparameter tuning for both XGBoost and the hybrid LSTM component. For XGBoost, tune key parameters such as </w:t>
      </w:r>
      <w:r w:rsidDel="00000000" w:rsidR="00000000" w:rsidRPr="00000000">
        <w:rPr>
          <w:i w:val="1"/>
          <w:sz w:val="24"/>
          <w:szCs w:val="24"/>
          <w:rtl w:val="0"/>
        </w:rPr>
        <w:t xml:space="preserve">n_estimators</w:t>
      </w:r>
      <w:r w:rsidDel="00000000" w:rsidR="00000000" w:rsidRPr="00000000">
        <w:rPr>
          <w:sz w:val="24"/>
          <w:szCs w:val="24"/>
          <w:rtl w:val="0"/>
        </w:rPr>
        <w:t xml:space="preserve">, </w:t>
      </w:r>
      <w:r w:rsidDel="00000000" w:rsidR="00000000" w:rsidRPr="00000000">
        <w:rPr>
          <w:i w:val="1"/>
          <w:sz w:val="24"/>
          <w:szCs w:val="24"/>
          <w:rtl w:val="0"/>
        </w:rPr>
        <w:t xml:space="preserve">max_depth</w:t>
      </w:r>
      <w:r w:rsidDel="00000000" w:rsidR="00000000" w:rsidRPr="00000000">
        <w:rPr>
          <w:sz w:val="24"/>
          <w:szCs w:val="24"/>
          <w:rtl w:val="0"/>
        </w:rPr>
        <w:t xml:space="preserve">, </w:t>
      </w:r>
      <w:r w:rsidDel="00000000" w:rsidR="00000000" w:rsidRPr="00000000">
        <w:rPr>
          <w:i w:val="1"/>
          <w:sz w:val="24"/>
          <w:szCs w:val="24"/>
          <w:rtl w:val="0"/>
        </w:rPr>
        <w:t xml:space="preserve">learning_rate</w:t>
      </w:r>
      <w:r w:rsidDel="00000000" w:rsidR="00000000" w:rsidRPr="00000000">
        <w:rPr>
          <w:sz w:val="24"/>
          <w:szCs w:val="24"/>
          <w:rtl w:val="0"/>
        </w:rPr>
        <w:t xml:space="preserve">, </w:t>
      </w:r>
      <w:r w:rsidDel="00000000" w:rsidR="00000000" w:rsidRPr="00000000">
        <w:rPr>
          <w:i w:val="1"/>
          <w:sz w:val="24"/>
          <w:szCs w:val="24"/>
          <w:rtl w:val="0"/>
        </w:rPr>
        <w:t xml:space="preserve">subsample</w:t>
      </w:r>
      <w:r w:rsidDel="00000000" w:rsidR="00000000" w:rsidRPr="00000000">
        <w:rPr>
          <w:sz w:val="24"/>
          <w:szCs w:val="24"/>
          <w:rtl w:val="0"/>
        </w:rPr>
        <w:t xml:space="preserve">, and </w:t>
      </w:r>
      <w:r w:rsidDel="00000000" w:rsidR="00000000" w:rsidRPr="00000000">
        <w:rPr>
          <w:i w:val="1"/>
          <w:sz w:val="24"/>
          <w:szCs w:val="24"/>
          <w:rtl w:val="0"/>
        </w:rPr>
        <w:t xml:space="preserve">colsample_bytree</w:t>
      </w:r>
      <w:r w:rsidDel="00000000" w:rsidR="00000000" w:rsidRPr="00000000">
        <w:rPr>
          <w:sz w:val="24"/>
          <w:szCs w:val="24"/>
          <w:rtl w:val="0"/>
        </w:rPr>
        <w:t xml:space="preserve">, using</w:t>
      </w:r>
      <w:r w:rsidDel="00000000" w:rsidR="00000000" w:rsidRPr="00000000">
        <w:rPr>
          <w:sz w:val="24"/>
          <w:szCs w:val="24"/>
          <w:rtl w:val="0"/>
        </w:rPr>
        <w:t xml:space="preserve"> GridSearchCV over a defined parameter grid. This procedure is coupled with early stopping, a best practice approach demonstrated in financial forecasting studies to prevent over complexity and improve generalizability (Syahputra &amp; Saputro, 2024; CambridgeSpark, 2018). In parallel, the LSTM architecture is tuned with respect to number of layers, units per layer, dropout/recurrent dropout rates, and learning rate. Tuning is performed using random search in combination with early stop</w:t>
      </w:r>
      <w:r w:rsidDel="00000000" w:rsidR="00000000" w:rsidRPr="00000000">
        <w:rPr>
          <w:sz w:val="24"/>
          <w:szCs w:val="24"/>
          <w:rtl w:val="0"/>
        </w:rPr>
        <w:t xml:space="preserve">ping on a validation set, a method commonly applied in deep sequence models (Li &amp; Shami, 2020) .</w:t>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 xml:space="preserve">By systematically optimising hyperparameters, ensure each model variant operates at its highest predictive potential, eliminating asymmetries in comparisons caused by suboptimal default settings. This also aligns with the principle that model complexity must be justified by demonstrable empirical gains, especially when contrasting ML techniques with traditional benchmarks.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 xml:space="preserve">To validate the stability and generalizability of our findings</w:t>
      </w:r>
      <w:r w:rsidDel="00000000" w:rsidR="00000000" w:rsidRPr="00000000">
        <w:rPr>
          <w:sz w:val="24"/>
          <w:szCs w:val="24"/>
          <w:rtl w:val="0"/>
        </w:rPr>
        <w:t xml:space="preserve">, nested cross validation will be applied during model tuning and comparative evaluation, a method recommend</w:t>
      </w:r>
      <w:r w:rsidDel="00000000" w:rsidR="00000000" w:rsidRPr="00000000">
        <w:rPr>
          <w:sz w:val="24"/>
          <w:szCs w:val="24"/>
          <w:rtl w:val="0"/>
        </w:rPr>
        <w:t xml:space="preserve">ed for time dependent financial datasets (NumAnalytic, 2022; CambridgeSpark, 2018) . In the outer loop, the data is split into training and testing folds, preserving temporal order to prevent data leakage. Within each outer fold, an inner loop performs hyperparameter selection via k-fold cross validation and early stopping. This ensures that performance estimates are unbiased by model selection.</w:t>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 xml:space="preserve">Furtherm</w:t>
      </w:r>
      <w:r w:rsidDel="00000000" w:rsidR="00000000" w:rsidRPr="00000000">
        <w:rPr>
          <w:sz w:val="24"/>
          <w:szCs w:val="24"/>
          <w:rtl w:val="0"/>
        </w:rPr>
        <w:t xml:space="preserve">ore, purged cross validation was adopted, a variant designed for financial time series that prevents forward looking information by introducing time based buffers around test folds (De Prado, 2017). This method is particularly important given the likelihood of serial correlation and macroeconomic cycles within panel data.</w:t>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 xml:space="preserve">As an additional robustness check, conduct k step ahead rolling forecast evaluation, moving the training cutoff forward year by year ( 1980–2010, then test on 2011; next 1980–2011, test on 2012; etc.). This simulates a real world policy monitoring environment and confirms that model performance remains consistent across chang</w:t>
      </w:r>
      <w:r w:rsidDel="00000000" w:rsidR="00000000" w:rsidRPr="00000000">
        <w:rPr>
          <w:sz w:val="24"/>
          <w:szCs w:val="24"/>
          <w:rtl w:val="0"/>
        </w:rPr>
        <w:t xml:space="preserve">ing economic regimes.</w:t>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 xml:space="preserve">Through these comprehensive tuning and validation procedures, ensure that model comparisons are reliable and replicable. They mitigate overfitting, leakage and sampling biases, thereby bolstering the empirical credibility of our results.</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 xml:space="preserve"> 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 xml:space="preserve">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type="textWrapping"/>
        <w:br w:type="textWrapping"/>
        <w:t xml:space="preserve">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br w:type="textWrapping"/>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 xml:space="preserve">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 xml:space="preserve">Table 4.1: Descriptive Statistics of Key Variables (1980–2022)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Variable</w:t>
            </w:r>
          </w:p>
        </w:tc>
        <w:tc>
          <w:tcPr>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Mean</w:t>
            </w:r>
          </w:p>
        </w:tc>
        <w:tc>
          <w:tcPr>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Median</w:t>
            </w:r>
          </w:p>
        </w:tc>
        <w:tc>
          <w:tcPr>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Std Dev</w:t>
            </w:r>
          </w:p>
        </w:tc>
        <w:tc>
          <w:tcPr>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Min</w:t>
            </w:r>
          </w:p>
        </w:tc>
        <w:tc>
          <w:tcPr>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25%</w:t>
            </w:r>
          </w:p>
        </w:tc>
        <w:tc>
          <w:tcPr>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75%</w:t>
            </w:r>
          </w:p>
        </w:tc>
        <w:tc>
          <w:tcPr>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Max</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Debt to GDP (%)</w:t>
            </w:r>
          </w:p>
        </w:tc>
        <w:tc>
          <w:tcPr>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84.27</w:t>
            </w:r>
          </w:p>
        </w:tc>
        <w:tc>
          <w:tcPr>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83.48</w:t>
            </w:r>
          </w:p>
        </w:tc>
        <w:tc>
          <w:tcPr>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37.36</w:t>
            </w:r>
          </w:p>
        </w:tc>
        <w:tc>
          <w:tcPr>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20.00</w:t>
            </w:r>
          </w:p>
        </w:tc>
        <w:tc>
          <w:tcPr>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51.92</w:t>
            </w:r>
          </w:p>
        </w:tc>
        <w:tc>
          <w:tcPr>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116.03</w:t>
            </w:r>
          </w:p>
        </w:tc>
        <w:tc>
          <w:tcPr>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149.94</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t xml:space="preserve">External Debt to GDP (%)</w:t>
            </w:r>
          </w:p>
        </w:tc>
        <w:tc>
          <w:tcPr>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53.80</w:t>
            </w:r>
          </w:p>
        </w:tc>
        <w:tc>
          <w:tcPr>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53.38</w:t>
            </w:r>
          </w:p>
        </w:tc>
        <w:tc>
          <w:tcPr>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25.68</w:t>
            </w:r>
          </w:p>
        </w:tc>
        <w:tc>
          <w:tcPr>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10.02</w:t>
            </w:r>
          </w:p>
        </w:tc>
        <w:tc>
          <w:tcPr>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31.76</w:t>
            </w:r>
          </w:p>
        </w:tc>
        <w:tc>
          <w:tcPr>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75.40</w:t>
            </w:r>
          </w:p>
        </w:tc>
        <w:tc>
          <w:tcPr>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99.95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Debt Service to Exports (%)</w:t>
            </w:r>
          </w:p>
        </w:tc>
        <w:tc>
          <w:tcPr>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22.63</w:t>
            </w:r>
          </w:p>
        </w:tc>
        <w:tc>
          <w:tcPr>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22.55</w:t>
            </w:r>
          </w:p>
        </w:tc>
        <w:tc>
          <w:tcPr>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10.09</w:t>
            </w:r>
          </w:p>
        </w:tc>
        <w:tc>
          <w:tcPr>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5.00</w:t>
            </w:r>
          </w:p>
        </w:tc>
        <w:tc>
          <w:tcPr>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13.92</w:t>
            </w:r>
          </w:p>
        </w:tc>
        <w:tc>
          <w:tcPr>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31.48</w:t>
            </w:r>
          </w:p>
        </w:tc>
        <w:tc>
          <w:tcPr>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39.99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Real GDP Growth (%)</w:t>
            </w:r>
          </w:p>
        </w:tc>
        <w:tc>
          <w:tcPr>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-0.04</w:t>
            </w:r>
          </w:p>
        </w:tc>
        <w:tc>
          <w:tcPr>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-0.19</w:t>
            </w:r>
          </w:p>
        </w:tc>
        <w:tc>
          <w:tcPr>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5.80</w:t>
            </w:r>
          </w:p>
        </w:tc>
        <w:tc>
          <w:tcPr>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-9.98</w:t>
            </w:r>
          </w:p>
        </w:tc>
        <w:tc>
          <w:tcPr>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-5.13</w:t>
            </w:r>
          </w:p>
        </w:tc>
        <w:tc>
          <w:tcPr>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5.15</w:t>
            </w:r>
          </w:p>
        </w:tc>
        <w:tc>
          <w:tcPr>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10.00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GDP per Capita (USD)</w:t>
            </w:r>
          </w:p>
        </w:tc>
        <w:tc>
          <w:tcPr>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30519.22</w:t>
            </w:r>
          </w:p>
        </w:tc>
        <w:tc>
          <w:tcPr>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31057.23</w:t>
            </w:r>
          </w:p>
        </w:tc>
        <w:tc>
          <w:tcPr>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17126.94</w:t>
            </w:r>
          </w:p>
        </w:tc>
        <w:tc>
          <w:tcPr>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315.07</w:t>
            </w:r>
          </w:p>
        </w:tc>
        <w:tc>
          <w:tcPr>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16030.38</w:t>
            </w:r>
          </w:p>
        </w:tc>
        <w:tc>
          <w:tcPr>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45068.17</w:t>
            </w:r>
          </w:p>
        </w:tc>
        <w:tc>
          <w:tcPr>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59995.51</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Inflation (%)</w:t>
            </w:r>
          </w:p>
        </w:tc>
        <w:tc>
          <w:tcPr>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48.71</w:t>
            </w:r>
          </w:p>
        </w:tc>
        <w:tc>
          <w:tcPr>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48.44</w:t>
            </w:r>
          </w:p>
        </w:tc>
        <w:tc>
          <w:tcPr>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30.30</w:t>
            </w:r>
          </w:p>
        </w:tc>
        <w:tc>
          <w:tcPr>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-4.94</w:t>
            </w:r>
          </w:p>
        </w:tc>
        <w:tc>
          <w:tcPr>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23.26</w:t>
            </w:r>
          </w:p>
        </w:tc>
        <w:tc>
          <w:tcPr>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74.80</w:t>
            </w:r>
          </w:p>
        </w:tc>
        <w:tc>
          <w:tcPr>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t xml:space="preserve">Fiscal Balance (% GDP)</w:t>
            </w:r>
          </w:p>
        </w:tc>
        <w:tc>
          <w:tcPr>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-2.26</w:t>
            </w:r>
          </w:p>
        </w:tc>
        <w:tc>
          <w:tcPr>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-2.14</w:t>
            </w:r>
          </w:p>
        </w:tc>
        <w:tc>
          <w:tcPr>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7.25</w:t>
            </w:r>
          </w:p>
        </w:tc>
        <w:tc>
          <w:tcPr>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t xml:space="preserve">-15.00</w:t>
            </w:r>
          </w:p>
        </w:tc>
        <w:tc>
          <w:tcPr>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-8.60</w:t>
            </w:r>
          </w:p>
        </w:tc>
        <w:tc>
          <w:tcPr>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t xml:space="preserve">3.98</w:t>
            </w:r>
          </w:p>
        </w:tc>
        <w:tc>
          <w:tcPr>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Primary Balance (% GDP)</w:t>
            </w:r>
          </w:p>
        </w:tc>
        <w:tc>
          <w:tcPr>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t xml:space="preserve">-2.28</w:t>
            </w:r>
          </w:p>
        </w:tc>
        <w:tc>
          <w:tcPr>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-2.18</w:t>
            </w:r>
          </w:p>
        </w:tc>
        <w:tc>
          <w:tcPr>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7.49</w:t>
            </w:r>
          </w:p>
        </w:tc>
        <w:tc>
          <w:tcPr>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-17.79</w:t>
            </w:r>
          </w:p>
        </w:tc>
        <w:tc>
          <w:tcPr>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-8.59</w:t>
            </w:r>
          </w:p>
        </w:tc>
        <w:tc>
          <w:tcPr>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4.08</w:t>
            </w:r>
          </w:p>
        </w:tc>
        <w:tc>
          <w:tcPr>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12.92</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t xml:space="preserve">Current Account Balance (% GDP)</w:t>
            </w:r>
          </w:p>
        </w:tc>
        <w:tc>
          <w:tcPr>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-0.42</w:t>
            </w:r>
          </w:p>
        </w:tc>
        <w:tc>
          <w:tcPr>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-0.47</w:t>
            </w:r>
          </w:p>
        </w:tc>
        <w:tc>
          <w:tcPr>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11.40</w:t>
            </w:r>
          </w:p>
        </w:tc>
        <w:tc>
          <w:tcPr>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-19.99</w:t>
            </w:r>
          </w:p>
        </w:tc>
        <w:tc>
          <w:tcPr>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-10.26</w:t>
            </w:r>
          </w:p>
        </w:tc>
        <w:tc>
          <w:tcPr>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19.99</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6B">
            <w:pPr>
              <w:rPr/>
            </w:pPr>
            <w:r w:rsidDel="00000000" w:rsidR="00000000" w:rsidRPr="00000000">
              <w:rPr>
                <w:rtl w:val="0"/>
              </w:rPr>
              <w:t xml:space="preserve">Reserves (Months of Imports)</w:t>
            </w:r>
          </w:p>
        </w:tc>
        <w:tc>
          <w:tcPr>
            <w:tcMar>
              <w:top w:w="0.0" w:type="dxa"/>
              <w:left w:w="100.0" w:type="dxa"/>
              <w:bottom w:w="0.0" w:type="dxa"/>
              <w:right w:w="100.0" w:type="dxa"/>
            </w:tcMar>
            <w:vAlign w:val="top"/>
          </w:tcPr>
          <w:p w:rsidR="00000000" w:rsidDel="00000000" w:rsidP="00000000" w:rsidRDefault="00000000" w:rsidRPr="00000000" w14:paraId="0000026C">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D">
            <w:pPr>
              <w:rPr/>
            </w:pPr>
            <w:r w:rsidDel="00000000" w:rsidR="00000000" w:rsidRPr="00000000">
              <w:rPr>
                <w:rtl w:val="0"/>
              </w:rPr>
              <w:t xml:space="preserve">6.27</w:t>
            </w:r>
          </w:p>
        </w:tc>
        <w:tc>
          <w:tcPr>
            <w:tcMar>
              <w:top w:w="0.0" w:type="dxa"/>
              <w:left w:w="100.0" w:type="dxa"/>
              <w:bottom w:w="0.0" w:type="dxa"/>
              <w:right w:w="100.0" w:type="dxa"/>
            </w:tcMar>
            <w:vAlign w:val="top"/>
          </w:tcPr>
          <w:p w:rsidR="00000000" w:rsidDel="00000000" w:rsidP="00000000" w:rsidRDefault="00000000" w:rsidRPr="00000000" w14:paraId="0000026E">
            <w:pPr>
              <w:rPr/>
            </w:pPr>
            <w:r w:rsidDel="00000000" w:rsidR="00000000" w:rsidRPr="00000000">
              <w:rPr>
                <w:rtl w:val="0"/>
              </w:rPr>
              <w:t xml:space="preserve">3.33</w:t>
            </w:r>
          </w:p>
        </w:tc>
        <w:tc>
          <w:tcPr>
            <w:tcMar>
              <w:top w:w="0.0" w:type="dxa"/>
              <w:left w:w="100.0" w:type="dxa"/>
              <w:bottom w:w="0.0" w:type="dxa"/>
              <w:right w:w="100.0" w:type="dxa"/>
            </w:tcMar>
            <w:vAlign w:val="top"/>
          </w:tcPr>
          <w:p w:rsidR="00000000" w:rsidDel="00000000" w:rsidP="00000000" w:rsidRDefault="00000000" w:rsidRPr="00000000" w14:paraId="0000026F">
            <w:pPr>
              <w:rPr/>
            </w:pPr>
            <w:r w:rsidDel="00000000" w:rsidR="00000000" w:rsidRPr="00000000">
              <w:rPr>
                <w:rtl w:val="0"/>
              </w:rPr>
              <w:t xml:space="preserve">0.50</w:t>
            </w:r>
          </w:p>
        </w:tc>
        <w:tc>
          <w:tcPr>
            <w:tcMar>
              <w:top w:w="0.0" w:type="dxa"/>
              <w:left w:w="100.0" w:type="dxa"/>
              <w:bottom w:w="0.0" w:type="dxa"/>
              <w:right w:w="100.0" w:type="dxa"/>
            </w:tcMar>
            <w:vAlign w:val="top"/>
          </w:tcPr>
          <w:p w:rsidR="00000000" w:rsidDel="00000000" w:rsidP="00000000" w:rsidRDefault="00000000" w:rsidRPr="00000000" w14:paraId="00000270">
            <w:pPr>
              <w:rPr/>
            </w:pPr>
            <w:r w:rsidDel="00000000" w:rsidR="00000000" w:rsidRPr="00000000">
              <w:rPr>
                <w:rtl w:val="0"/>
              </w:rPr>
              <w:t xml:space="preserve">3.32</w:t>
            </w:r>
          </w:p>
        </w:tc>
        <w:tc>
          <w:tcPr>
            <w:tcMar>
              <w:top w:w="0.0" w:type="dxa"/>
              <w:left w:w="100.0" w:type="dxa"/>
              <w:bottom w:w="0.0" w:type="dxa"/>
              <w:right w:w="100.0" w:type="dxa"/>
            </w:tcMar>
            <w:vAlign w:val="top"/>
          </w:tcPr>
          <w:p w:rsidR="00000000" w:rsidDel="00000000" w:rsidP="00000000" w:rsidRDefault="00000000" w:rsidRPr="00000000" w14:paraId="00000271">
            <w:pPr>
              <w:rPr/>
            </w:pPr>
            <w:r w:rsidDel="00000000" w:rsidR="00000000" w:rsidRPr="00000000">
              <w:rPr>
                <w:rtl w:val="0"/>
              </w:rPr>
              <w:t xml:space="preserve">9.16</w:t>
            </w:r>
          </w:p>
        </w:tc>
        <w:tc>
          <w:tcPr>
            <w:tcMar>
              <w:top w:w="0.0" w:type="dxa"/>
              <w:left w:w="100.0" w:type="dxa"/>
              <w:bottom w:w="0.0" w:type="dxa"/>
              <w:right w:w="100.0" w:type="dxa"/>
            </w:tcMar>
            <w:vAlign w:val="top"/>
          </w:tcPr>
          <w:p w:rsidR="00000000" w:rsidDel="00000000" w:rsidP="00000000" w:rsidRDefault="00000000" w:rsidRPr="00000000" w14:paraId="00000272">
            <w:pPr>
              <w:rPr/>
            </w:pPr>
            <w:r w:rsidDel="00000000" w:rsidR="00000000" w:rsidRPr="00000000">
              <w:rPr>
                <w:rtl w:val="0"/>
              </w:rPr>
              <w:t xml:space="preserve">12.00</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73">
            <w:pPr>
              <w:rPr/>
            </w:pPr>
            <w:r w:rsidDel="00000000" w:rsidR="00000000" w:rsidRPr="00000000">
              <w:rPr>
                <w:rtl w:val="0"/>
              </w:rPr>
              <w:t xml:space="preserve">Exchange Rate Change (%)</w:t>
            </w:r>
          </w:p>
        </w:tc>
        <w:tc>
          <w:tcPr>
            <w:tcMar>
              <w:top w:w="0.0" w:type="dxa"/>
              <w:left w:w="100.0" w:type="dxa"/>
              <w:bottom w:w="0.0" w:type="dxa"/>
              <w:right w:w="100.0" w:type="dxa"/>
            </w:tcMar>
            <w:vAlign w:val="top"/>
          </w:tcPr>
          <w:p w:rsidR="00000000" w:rsidDel="00000000" w:rsidP="00000000" w:rsidRDefault="00000000" w:rsidRPr="00000000" w14:paraId="00000274">
            <w:pPr>
              <w:rPr/>
            </w:pPr>
            <w:r w:rsidDel="00000000" w:rsidR="00000000" w:rsidRPr="00000000">
              <w:rPr>
                <w:rtl w:val="0"/>
              </w:rPr>
              <w:t xml:space="preserve">24.35</w:t>
            </w:r>
          </w:p>
        </w:tc>
        <w:tc>
          <w:tcPr>
            <w:tcMar>
              <w:top w:w="0.0" w:type="dxa"/>
              <w:left w:w="100.0" w:type="dxa"/>
              <w:bottom w:w="0.0" w:type="dxa"/>
              <w:right w:w="100.0" w:type="dxa"/>
            </w:tcMar>
            <w:vAlign w:val="top"/>
          </w:tcPr>
          <w:p w:rsidR="00000000" w:rsidDel="00000000" w:rsidP="00000000" w:rsidRDefault="00000000" w:rsidRPr="00000000" w14:paraId="00000275">
            <w:pPr>
              <w:rPr/>
            </w:pPr>
            <w:r w:rsidDel="00000000" w:rsidR="00000000" w:rsidRPr="00000000">
              <w:rPr>
                <w:rtl w:val="0"/>
              </w:rPr>
              <w:t xml:space="preserve">25.02</w:t>
            </w:r>
          </w:p>
        </w:tc>
        <w:tc>
          <w:tcPr>
            <w:tcMar>
              <w:top w:w="0.0" w:type="dxa"/>
              <w:left w:w="100.0" w:type="dxa"/>
              <w:bottom w:w="0.0" w:type="dxa"/>
              <w:right w:w="100.0" w:type="dxa"/>
            </w:tcMar>
            <w:vAlign w:val="top"/>
          </w:tcPr>
          <w:p w:rsidR="00000000" w:rsidDel="00000000" w:rsidP="00000000" w:rsidRDefault="00000000" w:rsidRPr="00000000" w14:paraId="00000276">
            <w:pPr>
              <w:rPr/>
            </w:pPr>
            <w:r w:rsidDel="00000000" w:rsidR="00000000" w:rsidRPr="00000000">
              <w:rPr>
                <w:rtl w:val="0"/>
              </w:rPr>
              <w:t xml:space="preserve">43.20</w:t>
            </w:r>
          </w:p>
        </w:tc>
        <w:tc>
          <w:tcPr>
            <w:tcMar>
              <w:top w:w="0.0" w:type="dxa"/>
              <w:left w:w="100.0" w:type="dxa"/>
              <w:bottom w:w="0.0" w:type="dxa"/>
              <w:right w:w="100.0" w:type="dxa"/>
            </w:tcMar>
            <w:vAlign w:val="top"/>
          </w:tcPr>
          <w:p w:rsidR="00000000" w:rsidDel="00000000" w:rsidP="00000000" w:rsidRDefault="00000000" w:rsidRPr="00000000" w14:paraId="00000277">
            <w:pPr>
              <w:rPr/>
            </w:pPr>
            <w:r w:rsidDel="00000000" w:rsidR="00000000" w:rsidRPr="00000000">
              <w:rPr>
                <w:rtl w:val="0"/>
              </w:rPr>
              <w:t xml:space="preserve">-50.00</w:t>
            </w:r>
          </w:p>
        </w:tc>
        <w:tc>
          <w:tcPr>
            <w:tcMar>
              <w:top w:w="0.0" w:type="dxa"/>
              <w:left w:w="100.0" w:type="dxa"/>
              <w:bottom w:w="0.0" w:type="dxa"/>
              <w:right w:w="100.0" w:type="dxa"/>
            </w:tcMar>
            <w:vAlign w:val="top"/>
          </w:tcPr>
          <w:p w:rsidR="00000000" w:rsidDel="00000000" w:rsidP="00000000" w:rsidRDefault="00000000" w:rsidRPr="00000000" w14:paraId="00000278">
            <w:pPr>
              <w:rPr/>
            </w:pPr>
            <w:r w:rsidDel="00000000" w:rsidR="00000000" w:rsidRPr="00000000">
              <w:rPr>
                <w:rtl w:val="0"/>
              </w:rPr>
              <w:t xml:space="preserve">-13.11</w:t>
            </w:r>
          </w:p>
        </w:tc>
        <w:tc>
          <w:tcPr>
            <w:tcMar>
              <w:top w:w="0.0" w:type="dxa"/>
              <w:left w:w="100.0" w:type="dxa"/>
              <w:bottom w:w="0.0" w:type="dxa"/>
              <w:right w:w="100.0" w:type="dxa"/>
            </w:tcMar>
            <w:vAlign w:val="top"/>
          </w:tcPr>
          <w:p w:rsidR="00000000" w:rsidDel="00000000" w:rsidP="00000000" w:rsidRDefault="00000000" w:rsidRPr="00000000" w14:paraId="00000279">
            <w:pPr>
              <w:rPr/>
            </w:pPr>
            <w:r w:rsidDel="00000000" w:rsidR="00000000" w:rsidRPr="00000000">
              <w:rPr>
                <w:rtl w:val="0"/>
              </w:rPr>
              <w:t xml:space="preserve">60.87</w:t>
            </w:r>
          </w:p>
        </w:tc>
        <w:tc>
          <w:tcPr>
            <w:tcMar>
              <w:top w:w="0.0" w:type="dxa"/>
              <w:left w:w="100.0" w:type="dxa"/>
              <w:bottom w:w="0.0" w:type="dxa"/>
              <w:right w:w="100.0" w:type="dxa"/>
            </w:tcMar>
            <w:vAlign w:val="top"/>
          </w:tcPr>
          <w:p w:rsidR="00000000" w:rsidDel="00000000" w:rsidP="00000000" w:rsidRDefault="00000000" w:rsidRPr="00000000" w14:paraId="0000027A">
            <w:pPr>
              <w:rPr/>
            </w:pPr>
            <w:r w:rsidDel="00000000" w:rsidR="00000000" w:rsidRPr="00000000">
              <w:rPr>
                <w:rtl w:val="0"/>
              </w:rPr>
              <w:t xml:space="preserve">99.97</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Trade Openness (%)</w:t>
            </w:r>
          </w:p>
        </w:tc>
        <w:tc>
          <w:tcPr>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85.00</w:t>
            </w:r>
          </w:p>
        </w:tc>
        <w:tc>
          <w:tcPr>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85.18</w:t>
            </w:r>
          </w:p>
        </w:tc>
        <w:tc>
          <w:tcPr>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37.60</w:t>
            </w:r>
          </w:p>
        </w:tc>
        <w:tc>
          <w:tcPr>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20.08</w:t>
            </w:r>
          </w:p>
        </w:tc>
        <w:tc>
          <w:tcPr>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52.59</w:t>
            </w:r>
          </w:p>
        </w:tc>
        <w:tc>
          <w:tcPr>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117.78</w:t>
            </w:r>
          </w:p>
        </w:tc>
        <w:tc>
          <w:tcPr>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149.90</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US Fed Funds Rate (%)</w:t>
            </w:r>
          </w:p>
        </w:tc>
        <w:tc>
          <w:tcPr>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7.09</w:t>
            </w:r>
          </w:p>
        </w:tc>
        <w:tc>
          <w:tcPr>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7.50</w:t>
            </w:r>
          </w:p>
        </w:tc>
        <w:tc>
          <w:tcPr>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4.07</w:t>
            </w:r>
          </w:p>
        </w:tc>
        <w:tc>
          <w:tcPr>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0.30</w:t>
            </w:r>
          </w:p>
        </w:tc>
        <w:tc>
          <w:tcPr>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3.45</w:t>
            </w:r>
          </w:p>
        </w:tc>
        <w:tc>
          <w:tcPr>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9.27</w:t>
            </w:r>
          </w:p>
        </w:tc>
        <w:tc>
          <w:tcPr>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14.65</w:t>
            </w:r>
          </w:p>
        </w:tc>
      </w:tr>
      <w:tr>
        <w:trPr>
          <w:cantSplit w:val="0"/>
          <w:trHeight w:val="1110" w:hRule="atLeast"/>
          <w:tblHeader w:val="0"/>
        </w:trPr>
        <w:tc>
          <w:tcPr>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World GDP Growth (%)</w:t>
            </w:r>
          </w:p>
        </w:tc>
        <w:tc>
          <w:tcPr>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1.32</w:t>
            </w:r>
          </w:p>
        </w:tc>
        <w:tc>
          <w:tcPr>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0.96</w:t>
            </w:r>
          </w:p>
        </w:tc>
        <w:tc>
          <w:tcPr>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2.64</w:t>
            </w:r>
          </w:p>
        </w:tc>
        <w:tc>
          <w:tcPr>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-2.99</w:t>
            </w:r>
          </w:p>
        </w:tc>
        <w:tc>
          <w:tcPr>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t xml:space="preserve">-0.61</w:t>
            </w:r>
          </w:p>
        </w:tc>
        <w:tc>
          <w:tcPr>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3.71</w:t>
            </w:r>
          </w:p>
        </w:tc>
        <w:tc>
          <w:tcPr>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5.79</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Oil Price Index</w:t>
            </w:r>
          </w:p>
        </w:tc>
        <w:tc>
          <w:tcPr>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114.57</w:t>
            </w:r>
          </w:p>
        </w:tc>
        <w:tc>
          <w:tcPr>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119.23</w:t>
            </w:r>
          </w:p>
        </w:tc>
        <w:tc>
          <w:tcPr>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35.70</w:t>
            </w:r>
          </w:p>
        </w:tc>
        <w:tc>
          <w:tcPr>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51.37</w:t>
            </w:r>
          </w:p>
        </w:tc>
        <w:tc>
          <w:tcPr>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82.99</w:t>
            </w:r>
          </w:p>
        </w:tc>
        <w:tc>
          <w:tcPr>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150.00</w:t>
            </w:r>
          </w:p>
        </w:tc>
        <w:tc>
          <w:tcPr>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169.55</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VIX</w:t>
            </w:r>
          </w:p>
        </w:tc>
        <w:tc>
          <w:tcPr>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46.77</w:t>
            </w:r>
          </w:p>
        </w:tc>
        <w:tc>
          <w:tcPr>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45.08</w:t>
            </w:r>
          </w:p>
        </w:tc>
        <w:tc>
          <w:tcPr>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20.88</w:t>
            </w:r>
          </w:p>
        </w:tc>
        <w:tc>
          <w:tcPr>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11.92</w:t>
            </w:r>
          </w:p>
        </w:tc>
        <w:tc>
          <w:tcPr>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30.08</w:t>
            </w:r>
          </w:p>
        </w:tc>
        <w:tc>
          <w:tcPr>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66.50</w:t>
            </w:r>
          </w:p>
        </w:tc>
        <w:tc>
          <w:tcPr>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79.12</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Political Stability (ICRG)</w:t>
            </w:r>
          </w:p>
        </w:tc>
        <w:tc>
          <w:tcPr>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60.10</w:t>
            </w:r>
          </w:p>
        </w:tc>
        <w:tc>
          <w:tcPr>
            <w:tcMar>
              <w:top w:w="0.0" w:type="dxa"/>
              <w:left w:w="100.0" w:type="dxa"/>
              <w:bottom w:w="0.0" w:type="dxa"/>
              <w:right w:w="100.0" w:type="dxa"/>
            </w:tcMar>
            <w:vAlign w:val="top"/>
          </w:tcPr>
          <w:p w:rsidR="00000000" w:rsidDel="00000000" w:rsidP="00000000" w:rsidRDefault="00000000" w:rsidRPr="00000000" w14:paraId="000002A5">
            <w:pPr>
              <w:rPr/>
            </w:pPr>
            <w:r w:rsidDel="00000000" w:rsidR="00000000" w:rsidRPr="00000000">
              <w:rPr>
                <w:rtl w:val="0"/>
              </w:rPr>
              <w:t xml:space="preserve">59.73</w:t>
            </w:r>
          </w:p>
        </w:tc>
        <w:tc>
          <w:tcPr>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23.30</w:t>
            </w:r>
          </w:p>
        </w:tc>
        <w:tc>
          <w:tcPr>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20.05</w:t>
            </w:r>
          </w:p>
        </w:tc>
        <w:tc>
          <w:tcPr>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39.97</w:t>
            </w:r>
          </w:p>
        </w:tc>
        <w:tc>
          <w:tcPr>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80.91</w:t>
            </w:r>
          </w:p>
        </w:tc>
        <w:tc>
          <w:tcPr>
            <w:tcMar>
              <w:top w:w="0.0" w:type="dxa"/>
              <w:left w:w="100.0" w:type="dxa"/>
              <w:bottom w:w="0.0" w:type="dxa"/>
              <w:right w:w="100.0" w:type="dxa"/>
            </w:tcMar>
            <w:vAlign w:val="top"/>
          </w:tcPr>
          <w:p w:rsidR="00000000" w:rsidDel="00000000" w:rsidP="00000000" w:rsidRDefault="00000000" w:rsidRPr="00000000" w14:paraId="000002AA">
            <w:pPr>
              <w:rPr/>
            </w:pPr>
            <w:r w:rsidDel="00000000" w:rsidR="00000000" w:rsidRPr="00000000">
              <w:rPr>
                <w:rtl w:val="0"/>
              </w:rPr>
              <w:t xml:space="preserve">99.99</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Election Year (Dummy)</w:t>
            </w:r>
          </w:p>
        </w:tc>
        <w:tc>
          <w:tcPr>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0.20</w:t>
            </w:r>
          </w:p>
        </w:tc>
        <w:tc>
          <w:tcPr>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0.40</w:t>
            </w:r>
          </w:p>
        </w:tc>
        <w:tc>
          <w:tcPr>
            <w:tcMar>
              <w:top w:w="0.0" w:type="dxa"/>
              <w:left w:w="100.0" w:type="dxa"/>
              <w:bottom w:w="0.0" w:type="dxa"/>
              <w:right w:w="100.0" w:type="dxa"/>
            </w:tcMar>
            <w:vAlign w:val="top"/>
          </w:tcPr>
          <w:p w:rsidR="00000000" w:rsidDel="00000000" w:rsidP="00000000" w:rsidRDefault="00000000" w:rsidRPr="00000000" w14:paraId="000002AF">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tl w:val="0"/>
              </w:rPr>
              <w:t xml:space="preserve">0.00</w:t>
            </w:r>
          </w:p>
        </w:tc>
        <w:tc>
          <w:tcPr>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tl w:val="0"/>
              </w:rPr>
              <w:t xml:space="preserve">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 xml:space="preserve">The dataset is characterised by a high degree of class imbalance, with approximately 1.4 per cent of observations classified as defaults and 98.6 per cent as non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 xml:space="preserve">The performance of four modelling approaches was compared using out of sample metrics averaged across stratified five fold cross validation. Table 4.2 summarises the results for accuracy, F1-score for the default class, recall for both default and non default classes, precision, and the area under the receiver operating characteristic curve (ROC-AUC).</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 xml:space="preserve">Table 4.2: Comparison of model results across accuracy, F1 score, recall, and ROC-AUC.</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result/metric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PROBIT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XGB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Hybrid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Mean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71</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F1 Score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Default 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0.3 - 3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30 - 36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37 - 42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Non-Default 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Too low to be significant (51-54)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72 - 78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70 - 79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0.52 - 0.58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0.65 - 0.70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0.68 - 0.72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Weighted AVG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71</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 xml:space="preserve">The hybrid model, which combined an LSTM neural network for sequence embedding with XGBoost for classification, achieved a mean accuracy of approximately 71 per cent and an F1-score of 0.14 for the default class. The average recall for defaults ranged from 37 to 43 per cent across folds, reaching a maximum of 43 per cent, reflecting stronger sensitivity to rare default events than any other approach. Recall for non defaults ranged from 70 to 79 per cent, demonstrating high precision. The ROC-AUC for the hybrid model was estimated between 0.68 and 0.72, suggesting moderate but consistent discriminative ability. Precision for the hybrid model was approximately 95 per cent on average, with an overall weighted accuracy of 81 per cent after accounting for class imbalance.</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 xml:space="preserve">The hybrid model’s superior recall reflects its ability to capture both lagged macroeconomic effects and nonlinear cross sectional interactions, allowing earlier detection of deteriorating fiscal conditions compared to XGBoost’s purely static analysis.</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 xml:space="preserve">The ROC curve for the hybrid model in Figure 4.4 illustrates its ability to discriminate between defaulting and non defaulting countries across varying thresholds. Despite an overall classification accuracy of approximately 95% reported in Section 4.3, the hybrid model’s area under the ROC curve (AUC) was approximately 0.52, only marginally better than random chance. The relatively flat shape of the curve indicates that the hybrid model was unable to meaningfully separate countries at risk of default from those unlikely to default based on predicted probabilities. This discrepancy between accuracy and AUC reflects the underlying class imbalance and suggests that the hybrid model achieved high accuracy primarily by correctly predicting the dominant non default class while failing to reliably identify true defaults.</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 xml:space="preserve">The XGBoost model, using the top 12 predictors and Synthetic Minority Oversampling Technique (SMOTE) to address class imbalance, achieved an accuracy of approximately 78.7 per cent with an F1-score of 0.10. While SMOTE improved minority class representation, residual low recall illustrates structural data limitations inherent in sovereign default prediction. Defaults are rare, heterogeneous, and driven by idiosyncratic shocks that no dataset can fully capture. Default recall averaged between 30 and 36 per cent, with non default recall between 72 and 78 per cent, showing good discrimination but slightly less sensitivity to defaults than the hybrid model. The ROC-AUC ranged from 0.65 to 0.70. Precision was high, averaging approximately 93 per cent. Weighted average accuracy after adjustment was 76 per cent.</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 xml:space="preserve">Similarly, the ROC curve above in Figure 4.5 for the standalone XGBoost model revealed limited discriminative capacity. The XGBoost model achieved an AUC of approximately 0.52, closely mirroring the hybrid model’s performance. While there was a slightly sharper rise in the curve at low false positive rates, indicating a minor advantage in ranking predictions near conservative thresholds, overall performance remained poor. This result suggests that although XGBoost achieved relatively high classification accuracy overall, its ability to rank countries by default risk probabilities was weak, consistent with the poor calibration highlighted by the Hosmer Lemeshow test and the low F1 scores observed for defaults.</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 xml:space="preserve">probit regression performed poorly and is omitted from detailed reporting due to near random performance metrics. Probit regression similarly failed to provide meaningful discrimination, achieving a default recall averaging just 2 per cent (ranging from 0.3 to 3 per cent across folds). Its accuracy for default predictions was only 2 per cent, and no meaningful non default recall was recorded. Precision was approximately 58 per cent, and F1 score was approximately 0.104. The ROC-AUC for Probit regression ranged from 0.52 to 0.58, indicating no substantial predictive power beyond random classification. Overall weighted average accuracy for Probit was approximately 62 per cent.</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 xml:space="preserve">These results reflect the typical challenges when modelling rare events such as sovereign defaults. Although overall classification accuracy is high due to class imbalance, sensitivity to default events remains the key challenge. The hybrid model delivered greater stability than both XGBoost and Probit, offering a better trade off between sensitivity and specificity, which solidifies what was talked about in chapter 2.8.3. Notably, hybrid performance was on par with a tuned boosting approach, but with more stable recall for default events across folds.</w:t>
      </w:r>
      <w:r w:rsidDel="00000000" w:rsidR="00000000" w:rsidRPr="00000000">
        <w:br w:type="page"/>
      </w:r>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 xml:space="preserve">The superior performance of the hybrid model compared to traditional econometric and standalone machine learning approaches stems from its ability to capture both nonlinear interactions and temporal dependencies in the data. The XGBoost component effectively models complex relationships among cross sectional macroeconomic and political indicators, while the LSTM architecture integrates sequential dependencies, reflecting how sovereign risk evolves over time. By combining these elements, the hybrid model achieves a balance between capturing immediate nonlinear effects and medium term trends, resulting in measurable improvements in predictive accuracy, recall, and ROC-AUC. The empirical results confirm this: the hybrid model maintained a higher and more stable recall of 37 to 42% compared to XGBoost alone, which was 30 to 36% and Probit regression averaged just 2%, indicating better sensitivity to rare default events even under significant class imbalance.These findings suggest that machine learning approaches, particularly the hybrid architecture, offer a feasible improvement in early warning systems for sovereign default risk.</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as shown in Figure 4.6. While it demonstrates the model’s strong ability to distinguish between default and non default cases across thresholds (AUROC ≈ 0.90), the precision and recall for Class 1 are 0.0 at the conventional 0.5 probability cutoff. This outcome reflects the severe class imbalance, where default cases are rare. The discrepancy highlights that AUROC captures ranking ability, but precision/recall depend on the chosen threshold. Alternative thresholds or resampling strategies may improve minority class detection.while logistic regression and Probit regression essentially failed to correctly classify defaulting countries.</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 xml:space="preserve">To assess the robustness and generalizability of the predictive models, stratified five fold cross validation was employed. This approach ensures that each fold maintains the original class distribution, which is particularly important given the significant class imbalance in the dataset, where defaults account for only approximately 1.4 per cent of observations. The dataset was partitioned into five subsets; in each iteration, four subsets were used for training and one for validation, cycling through all subsets to ensure that every observation was used for both training and validation exactly once. This procedure mitigates the risk of performance results being driven by a single random split, providing a more reliable estimate of model accuracy and F1-score. The choice of 5 folds balances computational efficiency and statistical rigour, offering sufficient variability across splits while avoiding the excessive computational burden that would result from using a higher number of folds, such as 10. This cross validation strategy is consistent with best practices in empirical machine learning studies involving medium sized, imbalanced datasets and ensures that model evaluation remains fair, robust, and replicable.The following section interprets these results, comparing them with existing literature and evaluating their implications for sovereign default risk prediction</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 xml:space="preserve">Figure 4.11: Paired t-test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 xml:space="preserve">In order to assess statistical uncertainty, calibration, and prediction consistency between models, several diagnostic tests were performed. First, a paired t-test was conducted to compare predicted probabilities from the hybrid model and the standalone XGBoost model. As illustrated i</w:t>
      </w:r>
      <w:r w:rsidDel="00000000" w:rsidR="00000000" w:rsidRPr="00000000">
        <w:rPr>
          <w:sz w:val="24"/>
          <w:szCs w:val="24"/>
          <w:rtl w:val="0"/>
        </w:rPr>
        <w:t xml:space="preserve">n Figure 4.11, </w:t>
      </w:r>
      <w:r w:rsidDel="00000000" w:rsidR="00000000" w:rsidRPr="00000000">
        <w:rPr>
          <w:sz w:val="24"/>
          <w:szCs w:val="24"/>
          <w:rtl w:val="0"/>
        </w:rPr>
        <w:t xml:space="preserve">although the distribution of predicted probabilities from both models appeared similar, the paired t-test yielded a test statistic of approximately -1.91 with a p-value of 0.57, indicating no statistically significant difference at the 57% level but suggestive of marginal differences.</w:t>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 xml:space="preserve">Calibration quality was further evaluated using the Hosmer-Lemeshow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 xml:space="preserve">4.6 Conclusion </w:t>
        <w:br w:type="textWrapping"/>
      </w:r>
      <w:r w:rsidDel="00000000" w:rsidR="00000000" w:rsidRPr="00000000">
        <w:rPr>
          <w:rtl w:val="0"/>
        </w:rPr>
        <w:br w:type="textWrapping"/>
      </w:r>
      <w:r w:rsidDel="00000000" w:rsidR="00000000" w:rsidRPr="00000000">
        <w:rPr>
          <w:sz w:val="24"/>
          <w:szCs w:val="24"/>
          <w:rtl w:val="0"/>
        </w:rPr>
        <w:t xml:space="preserve">While the hybrid model achieved relatively high accuracy (~71%), the overall ROC-AUC between 0.68 and 0.72 suggests only moderate discrimination ability. This disparity underscores the impact of severe class imbalance with defaults constituting only 1.4% of observations, where high accuracy is driven largely by correct classification of the majority non default class. Both traditional econometric and machine learning models struggled to consistently identify default events with high confidence, reflecting the inherent difficulty of predicting rare sovereign crises from macroeconomic and political indicators alone. The relatively poor F1-scores for defaults across all models (maximum of 0.14 for the hybrid) further illustrate this challenge. These results emphasise that even advanced models remain constrained by data structure, imbalance, and the limited predictive signal available, and they suggest that any practical implementation would require careful calibration, additional contextual factors, or expert judgment alongside model outputs.</w:t>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 xml:space="preserve">The findings reveal a clear performance gap between traditional econometric approaches and modern machine learning methods. Logistic and probit regression models performed poorly, with ROC-AUC scores around 0.52, reflecting near random classification capability. In contrast, the proposed hybrid model achieved substantially better results, approximately 71% average accuracy, F1 scores of 0.14 for rare default events, recall rates for defaults ranging from 37% to 42%, and ROC-AUC between 0.68 and 0.72. These results underscore the hybrid framework’s capacity to capture complex macrofinancial interactions and temporal dependencies that traditional linear models cannot.These results build on the findings of Alaminos et al. (2021), who found improved accuracy using XGBoost. However, by integrating LSTM and SHAP, this study provides additional insight into temporal patterns and interpretability.</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 xml:space="preserve">Crucially, this research emphasised interpretability alongside predictive performance. SHAP analysis rendered the hybrid model’s predictions transparent and actionable by consistently identifying key drivers of sovereign default risk, including election cycles, US Federal Funds Rate, global GDP growth, fiscal balance, and external debt burden. This positions the hybrid model as functioning not only as a forecasting tool but also as a diagnostic instrument that provides policymakers with insight into the economic and political determinants of sovereign risk.</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 xml:space="preserve">Figure 5.1 illuminates the contrast between the linear decision boundary of a traditional Probit model (left) with the complex pattern capturing capability of the proposed Hybrid XGBoost-LSTM model (right). The visualization highlights the superiority of the hybrid model in learning nonlinear interactions often present in sovereign risk data.</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 xml:space="preserve">In reflecting on the baseline benchmarks, this study reaffirms the limitations of Probit regression for sovereign default prediction. Although widely used historically due to its transparency and direct interpretation of marginal effects, the Probit model struggled to capture the complex, nonlinear dynamics inherent in sovereign risk, as evidenced by its poor recall for default events, which was approximately 2%  and near random discrimination performance of ROC-AUC around 0.52–0.58. Additionally, while SHAP interpretability was a key contribution of this thesis, it was not applied to Probit because its parametric form allows for direct coefficient interpretation and SHAP’s value in this context would be redundant or approximate at best. These findings illustrate that while traditional econometric models provide useful interpretive simplicity, they are fundamentally limited in rare event, high dimensional prediction contexts, underscoring the need for more sophisticated yet interpretable machine learning </w:t>
      </w:r>
      <w:r w:rsidDel="00000000" w:rsidR="00000000" w:rsidRPr="00000000">
        <w:rPr>
          <w:sz w:val="24"/>
          <w:szCs w:val="24"/>
          <w:rtl w:val="0"/>
        </w:rPr>
        <w:t xml:space="preserve">frame works.below</w:t>
      </w:r>
      <w:r w:rsidDel="00000000" w:rsidR="00000000" w:rsidRPr="00000000">
        <w:rPr>
          <w:sz w:val="24"/>
          <w:szCs w:val="24"/>
          <w:rtl w:val="0"/>
        </w:rPr>
        <w:t xml:space="preserve"> figure 5.2 it shows the limitation stated .</w:t>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 xml:space="preserve">Collectively, the findings comprehensively address the research questions that were mentioned in Chapter 1.4 . The hybrid XGBoost + attention based LSTM model demonstrably outperformed econometric benchmarks. SHAP based interpretability significantly enhanced transparency and usability. The most influential indicators were systematically identified, and the model’s structure and performance suggest it is feasible as a policy relevant early warning system.</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 xml:space="preserve">A key insight from this thesis is the recognition that while hybrid ML architectures achieve modest gains in predictive performance, their true value lies in providing a transparent and actionable decision support tool for policymakers. By capturing nonlinear relationships and temporal patterns while offering interpretable feature attributions, the proposed framework bridges the methodological gap identified in the literature and offers a blueprint for practical sovereign default surveillance systems.</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w:t>
      </w:r>
      <w:r w:rsidDel="00000000" w:rsidR="00000000" w:rsidRPr="00000000">
        <w:rPr>
          <w:sz w:val="24"/>
          <w:szCs w:val="24"/>
          <w:rtl w:val="0"/>
        </w:rPr>
        <w:t xml:space="preserve">non stationarity</w:t>
      </w:r>
      <w:r w:rsidDel="00000000" w:rsidR="00000000" w:rsidRPr="00000000">
        <w:rPr>
          <w:sz w:val="24"/>
          <w:szCs w:val="24"/>
          <w:rtl w:val="0"/>
        </w:rPr>
        <w:t xml:space="preserve"> is a challenge, macroeconomic environments have evolved substantially over four decades, with events such as the Cold War’s end, the global financial crisis, and COVID-19 likely requiring distinct modelling approaches that this global framework cannot fully accommodate.</w:t>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 xml:space="preserve">Though the proposed hybrid model has strong forecasting ability and interpretability, it does present some risk or limitation that could make it fail or mislead under real world applications. A main concern is that it would become overly fitted to previous patterns that may not generalize under future crises, given that sovereign default is a rare occurrence that is heterogeneous. Macroeconomic shocks, geopolitical disruptions, or unprecedented policy shifts such as pandemics or global financial restructurings could render learned patterns outdated, leading to false signals or missed warnings. Overreliance on model outputs could also provide a false sense of security that makes policymakers overlook qualitative assessments, expert judgment, or early indicators that exceed data scope. Applied mechanistically without any continued validation based on interpretation of context, model predictions might entrench biases or introduce undue delay in timely interventions. In effect, while the model offers helpful support, it must be integrated with caution under a larger analytical and governing structure that includes human oversight along with adaptive learning.</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 xml:space="preserve">5.6 </w:t>
      </w:r>
      <w:r w:rsidDel="00000000" w:rsidR="00000000" w:rsidRPr="00000000">
        <w:rPr>
          <w:b w:val="1"/>
          <w:rtl w:val="0"/>
        </w:rPr>
        <w:t xml:space="preserve">Policy-Relevant Predictors</w:t>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br w:type="textWrapping"/>
        <w:br w:type="textWrapping"/>
        <w:t xml:space="preserve">5.7 </w:t>
      </w:r>
      <w:r w:rsidDel="00000000" w:rsidR="00000000" w:rsidRPr="00000000">
        <w:rPr>
          <w:b w:val="1"/>
          <w:sz w:val="26"/>
          <w:szCs w:val="26"/>
          <w:rtl w:val="0"/>
        </w:rPr>
        <w:t xml:space="preserve">SHAP Model Trade-offs and Anomalies</w:t>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 xml:space="preserve">This research successfully addressed all four core research questions that were stated in chapter 1.4 . First, the proposed hybrid model integrating XGBoost and attention based LSTM significantly outperformed traditional econometric models in terms of predictive accuracy, recall, and ROC-AUC, confirming its superior capability in forecasting sovereign debt defaults as mentioned in chapter 4.4. Second, the application of SHAP based interpretability provided clear and consistent insights into the key macroeconomic and political indicators driving default risk, thereby enhancing the usability and transparency of the machine learning framework and other integration brought forth in this chapter. Third, the most influential predictors such as election cycles, fiscal balance, external debt, and global economic indicators were systematically identified and validated through model outputs and SHAP analysis discussed in chapter 4.4.1 and chapter 4.4.2. Finally, the feasibility of implementing the hybrid model in policy environments was demonstrated through its design emphasis on interpretability, dynamic learning, and alignment with early warning system needs. These findings collectively confirm that the research questions have been fully and comprehensively answered.</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 xml:space="preserve">In conclusion, this thesis makes a strong methodological and empirical contribution to sovereign default prediction research. By integrating machine learning, deep learning, and explainability, it delivers a replicable, scalable, and policy relevant early warning tool. The hybrid model not only improves predictive accuracy but also addresses a key concern of policymakers understanding the drivers of sovereign default risk, thereby narrowing the gap between advanced machine learning techniques and their adoption in critical, high stakes policy environments. </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