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attention-based LSTM sequence encoding and SHAP explainability to predict sovereign debt default. The model is trained on macroeconomic, political, and global financial indicators for 68 countries from 1980 to 2022 using leakage-aware country hold-out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minority-class detection when evaluation prioritises recall, F1 score, and PR-AUC rather than accuracy. On a country hold-out test set (54 training countries, 14 test countries), XGBoost achieved the highest default-class F1 score (0.134), logistic regression achieved the highest recall (88.6%), and the attention-LSTM + XGBoost hybrid reached 43.8% recall with F1 of 0.096. ROC-AUC values remained modest (approximately 0.41–0.56), reflecting the difficulty of rare-event sovereign default prediction. SHAP analysis identifies election cycles, global interest rates, fiscal balances, and external debt as influential predictors.</w:t>
      </w:r>
    </w:p>
    <w:p w:rsidR="00000000" w:rsidDel="00000000" w:rsidP="00000000" w:rsidRDefault="00000000" w:rsidRPr="00000000" w14:paraId="00000046">
      <w:pPr>
        <w:spacing w:after="240" w:before="240" w:lineRule="auto"/>
        <w:rPr/>
      </w:pPr>
      <w:r w:rsidDel="00000000" w:rsidR="00000000" w:rsidRPr="00000000">
        <w:rPr>
          <w:rtl w:val="0"/>
        </w:rPr>
        <w:t>By addressing the trade-off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out-of-sample designs that avoid panel leakage: (1) a country hold-out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default-class recall, F1 score, and PR-AUC. Accuracy is reported only as a secondary metric because defaults represent approximately 5.5% of the hold-out sample and less than 5% globally, making accuracy misleading for rare-event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Variable</w:t>
            </w:r>
          </w:p>
        </w:tc>
        <w:tc>
          <w:tcP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Mean</w:t>
            </w:r>
          </w:p>
        </w:tc>
        <w:tc>
          <w:tcPr>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Median</w:t>
            </w:r>
          </w:p>
        </w:tc>
        <w:tc>
          <w:tcPr>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Std Dev</w:t>
            </w:r>
          </w:p>
        </w:tc>
        <w:tc>
          <w:tcPr>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Min</w:t>
            </w:r>
          </w:p>
        </w:tc>
        <w:tc>
          <w:tcP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25%</w:t>
            </w:r>
          </w:p>
        </w:tc>
        <w:tc>
          <w:tcPr>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75%</w:t>
            </w:r>
          </w:p>
        </w:tc>
        <w:tc>
          <w:tcPr>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Max</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Debt to GDP (%)</w:t>
            </w:r>
          </w:p>
        </w:tc>
        <w:tc>
          <w:tcP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84.27</w:t>
            </w:r>
          </w:p>
        </w:tc>
        <w:tc>
          <w:tcP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83.48</w:t>
            </w:r>
          </w:p>
        </w:tc>
        <w:tc>
          <w:tcP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37.36</w:t>
            </w:r>
          </w:p>
        </w:tc>
        <w:tc>
          <w:tcP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20.00</w:t>
            </w:r>
          </w:p>
        </w:tc>
        <w:tc>
          <w:tcP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51.92</w:t>
            </w:r>
          </w:p>
        </w:tc>
        <w:tc>
          <w:tcPr>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116.03</w:t>
            </w:r>
          </w:p>
        </w:tc>
        <w:tc>
          <w:tcP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149.94</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External Debt to GDP (%)</w:t>
            </w:r>
          </w:p>
        </w:tc>
        <w:tc>
          <w:tcP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53.80</w:t>
            </w:r>
          </w:p>
        </w:tc>
        <w:tc>
          <w:tcP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53.38</w:t>
            </w:r>
          </w:p>
        </w:tc>
        <w:tc>
          <w:tcPr>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25.68</w:t>
            </w:r>
          </w:p>
        </w:tc>
        <w:tc>
          <w:tcPr>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10.02</w:t>
            </w:r>
          </w:p>
        </w:tc>
        <w:tc>
          <w:tcP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31.76</w:t>
            </w:r>
          </w:p>
        </w:tc>
        <w:tc>
          <w:tcPr>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75.40</w:t>
            </w:r>
          </w:p>
        </w:tc>
        <w:tc>
          <w:tcPr>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99.95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Debt Service to Exports (%)</w:t>
            </w:r>
          </w:p>
        </w:tc>
        <w:tc>
          <w:tcP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22.63</w:t>
            </w:r>
          </w:p>
        </w:tc>
        <w:tc>
          <w:tcP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22.55</w:t>
            </w:r>
          </w:p>
        </w:tc>
        <w:tc>
          <w:tcPr>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10.09</w:t>
            </w:r>
          </w:p>
        </w:tc>
        <w:tc>
          <w:tcPr>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5.00</w:t>
            </w:r>
          </w:p>
        </w:tc>
        <w:tc>
          <w:tcPr>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13.92</w:t>
            </w:r>
          </w:p>
        </w:tc>
        <w:tc>
          <w:tcP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31.48</w:t>
            </w:r>
          </w:p>
        </w:tc>
        <w:tc>
          <w:tcP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39.99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Real GDP Growth (%)</w:t>
            </w:r>
          </w:p>
        </w:tc>
        <w:tc>
          <w:tcP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-0.04</w:t>
            </w:r>
          </w:p>
        </w:tc>
        <w:tc>
          <w:tcP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-0.19</w:t>
            </w:r>
          </w:p>
        </w:tc>
        <w:tc>
          <w:tcPr>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5.80</w:t>
            </w:r>
          </w:p>
        </w:tc>
        <w:tc>
          <w:tcP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-9.98</w:t>
            </w:r>
          </w:p>
        </w:tc>
        <w:tc>
          <w:tcP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-5.13</w:t>
            </w:r>
          </w:p>
        </w:tc>
        <w:tc>
          <w:tcPr>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5.15</w:t>
            </w:r>
          </w:p>
        </w:tc>
        <w:tc>
          <w:tcP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10.00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GDP per Capita (USD)</w:t>
            </w:r>
          </w:p>
        </w:tc>
        <w:tc>
          <w:tcP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30519.22</w:t>
            </w:r>
          </w:p>
        </w:tc>
        <w:tc>
          <w:tcPr>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31057.23</w:t>
            </w:r>
          </w:p>
        </w:tc>
        <w:tc>
          <w:tcPr>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17126.94</w:t>
            </w:r>
          </w:p>
        </w:tc>
        <w:tc>
          <w:tcPr>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315.07</w:t>
            </w:r>
          </w:p>
        </w:tc>
        <w:tc>
          <w:tcPr>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16030.38</w:t>
            </w:r>
          </w:p>
        </w:tc>
        <w:tc>
          <w:tcPr>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45068.17</w:t>
            </w:r>
          </w:p>
        </w:tc>
        <w:tc>
          <w:tcPr>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59995.51</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Inflation (%)</w:t>
            </w:r>
          </w:p>
        </w:tc>
        <w:tc>
          <w:tcPr>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48.71</w:t>
            </w:r>
          </w:p>
        </w:tc>
        <w:tc>
          <w:tcP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48.44</w:t>
            </w:r>
          </w:p>
        </w:tc>
        <w:tc>
          <w:tcPr>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30.30</w:t>
            </w:r>
          </w:p>
        </w:tc>
        <w:tc>
          <w:tcPr>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-4.94</w:t>
            </w:r>
          </w:p>
        </w:tc>
        <w:tc>
          <w:tcP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23.26</w:t>
            </w:r>
          </w:p>
        </w:tc>
        <w:tc>
          <w:tcP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74.80</w:t>
            </w:r>
          </w:p>
        </w:tc>
        <w:tc>
          <w:tcP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Fiscal Balance (% GDP)</w:t>
            </w:r>
          </w:p>
        </w:tc>
        <w:tc>
          <w:tcPr>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-2.26</w:t>
            </w:r>
          </w:p>
        </w:tc>
        <w:tc>
          <w:tcPr>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-2.14</w:t>
            </w:r>
          </w:p>
        </w:tc>
        <w:tc>
          <w:tcPr>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7.25</w:t>
            </w:r>
          </w:p>
        </w:tc>
        <w:tc>
          <w:tcPr>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-15.00</w:t>
            </w:r>
          </w:p>
        </w:tc>
        <w:tc>
          <w:tcP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-8.60</w:t>
            </w:r>
          </w:p>
        </w:tc>
        <w:tc>
          <w:tcP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3.98</w:t>
            </w:r>
          </w:p>
        </w:tc>
        <w:tc>
          <w:tcP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Primary Balance (% GDP)</w:t>
            </w:r>
          </w:p>
        </w:tc>
        <w:tc>
          <w:tcPr>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-2.28</w:t>
            </w:r>
          </w:p>
        </w:tc>
        <w:tc>
          <w:tcPr>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-2.18</w:t>
            </w:r>
          </w:p>
        </w:tc>
        <w:tc>
          <w:tcPr>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7.49</w:t>
            </w:r>
          </w:p>
        </w:tc>
        <w:tc>
          <w:tcP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-17.79</w:t>
            </w:r>
          </w:p>
        </w:tc>
        <w:tc>
          <w:tcP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-8.59</w:t>
            </w:r>
          </w:p>
        </w:tc>
        <w:tc>
          <w:tcP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4.08</w:t>
            </w:r>
          </w:p>
        </w:tc>
        <w:tc>
          <w:tcP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12.92</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Current Account Balance (% GDP)</w:t>
            </w:r>
          </w:p>
        </w:tc>
        <w:tc>
          <w:tcPr>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-0.42</w:t>
            </w:r>
          </w:p>
        </w:tc>
        <w:tc>
          <w:tcPr>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-0.47</w:t>
            </w:r>
          </w:p>
        </w:tc>
        <w:tc>
          <w:tcP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11.40</w:t>
            </w:r>
          </w:p>
        </w:tc>
        <w:tc>
          <w:tcPr>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-19.99</w:t>
            </w:r>
          </w:p>
        </w:tc>
        <w:tc>
          <w:tcPr>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-10.26</w:t>
            </w:r>
          </w:p>
        </w:tc>
        <w:tc>
          <w:tcPr>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19.99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Reserves (Months of Imports)</w:t>
            </w:r>
          </w:p>
        </w:tc>
        <w:tc>
          <w:tcP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3.33</w:t>
            </w:r>
          </w:p>
        </w:tc>
        <w:tc>
          <w:tcP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0.50</w:t>
            </w:r>
          </w:p>
        </w:tc>
        <w:tc>
          <w:tcP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3.32</w:t>
            </w:r>
          </w:p>
        </w:tc>
        <w:tc>
          <w:tcP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12.00</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Exchange Rate Change (%)</w:t>
            </w:r>
          </w:p>
        </w:tc>
        <w:tc>
          <w:tcPr>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24.35</w:t>
            </w:r>
          </w:p>
        </w:tc>
        <w:tc>
          <w:tcPr>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25.02</w:t>
            </w:r>
          </w:p>
        </w:tc>
        <w:tc>
          <w:tcPr>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43.20</w:t>
            </w:r>
          </w:p>
        </w:tc>
        <w:tc>
          <w:tcP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-50.00</w:t>
            </w:r>
          </w:p>
        </w:tc>
        <w:tc>
          <w:tcPr>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-13.11</w:t>
            </w:r>
          </w:p>
        </w:tc>
        <w:tc>
          <w:tcPr>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60.87</w:t>
            </w:r>
          </w:p>
        </w:tc>
        <w:tc>
          <w:tcPr>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99.97</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Trade Openness (%)</w:t>
            </w:r>
          </w:p>
        </w:tc>
        <w:tc>
          <w:tcPr>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85.00</w:t>
            </w:r>
          </w:p>
        </w:tc>
        <w:tc>
          <w:tcP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85.18</w:t>
            </w:r>
          </w:p>
        </w:tc>
        <w:tc>
          <w:tcPr>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37.60</w:t>
            </w:r>
          </w:p>
        </w:tc>
        <w:tc>
          <w:tcP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20.08</w:t>
            </w:r>
          </w:p>
        </w:tc>
        <w:tc>
          <w:tcP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52.59</w:t>
            </w:r>
          </w:p>
        </w:tc>
        <w:tc>
          <w:tcP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117.78</w:t>
            </w:r>
          </w:p>
        </w:tc>
        <w:tc>
          <w:tcPr>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149.90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US Fed Funds Rate (%)</w:t>
            </w:r>
          </w:p>
        </w:tc>
        <w:tc>
          <w:tcP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7.09</w:t>
            </w:r>
          </w:p>
        </w:tc>
        <w:tc>
          <w:tcPr>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7.50</w:t>
            </w:r>
          </w:p>
        </w:tc>
        <w:tc>
          <w:tcP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4.07</w:t>
            </w:r>
          </w:p>
        </w:tc>
        <w:tc>
          <w:tcP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0.30</w:t>
            </w:r>
          </w:p>
        </w:tc>
        <w:tc>
          <w:tcPr>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3.45</w:t>
            </w:r>
          </w:p>
        </w:tc>
        <w:tc>
          <w:tcPr>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9.27</w:t>
            </w:r>
          </w:p>
        </w:tc>
        <w:tc>
          <w:tcP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14.65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World GDP Growth (%)</w:t>
            </w:r>
          </w:p>
        </w:tc>
        <w:tc>
          <w:tcP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1.32</w:t>
            </w:r>
          </w:p>
        </w:tc>
        <w:tc>
          <w:tcP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0.96</w:t>
            </w:r>
          </w:p>
        </w:tc>
        <w:tc>
          <w:tcP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2.64</w:t>
            </w:r>
          </w:p>
        </w:tc>
        <w:tc>
          <w:tcP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-2.99</w:t>
            </w:r>
          </w:p>
        </w:tc>
        <w:tc>
          <w:tcPr>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-0.61</w:t>
            </w:r>
          </w:p>
        </w:tc>
        <w:tc>
          <w:tcPr>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3.71</w:t>
            </w:r>
          </w:p>
        </w:tc>
        <w:tc>
          <w:tcPr>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5.79</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Oil Price Index</w:t>
            </w:r>
          </w:p>
        </w:tc>
        <w:tc>
          <w:tcPr>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114.57</w:t>
            </w:r>
          </w:p>
        </w:tc>
        <w:tc>
          <w:tcPr>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119.23</w:t>
            </w:r>
          </w:p>
        </w:tc>
        <w:tc>
          <w:tcP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35.70</w:t>
            </w:r>
          </w:p>
        </w:tc>
        <w:tc>
          <w:tcPr>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51.37</w:t>
            </w:r>
          </w:p>
        </w:tc>
        <w:tc>
          <w:tcP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82.99</w:t>
            </w:r>
          </w:p>
        </w:tc>
        <w:tc>
          <w:tcP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150.00</w:t>
            </w:r>
          </w:p>
        </w:tc>
        <w:tc>
          <w:tcP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169.55</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VIX</w:t>
            </w:r>
          </w:p>
        </w:tc>
        <w:tc>
          <w:tcP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46.77</w:t>
            </w:r>
          </w:p>
        </w:tc>
        <w:tc>
          <w:tcPr>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45.08</w:t>
            </w:r>
          </w:p>
        </w:tc>
        <w:tc>
          <w:tcPr>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20.88</w:t>
            </w:r>
          </w:p>
        </w:tc>
        <w:tc>
          <w:tcPr>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11.92</w:t>
            </w:r>
          </w:p>
        </w:tc>
        <w:tc>
          <w:tcP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30.08</w:t>
            </w:r>
          </w:p>
        </w:tc>
        <w:tc>
          <w:tcPr>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66.50</w:t>
            </w:r>
          </w:p>
        </w:tc>
        <w:tc>
          <w:tcP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79.12</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Political Stability (ICRG)</w:t>
            </w:r>
          </w:p>
        </w:tc>
        <w:tc>
          <w:tcP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60.10</w:t>
            </w:r>
          </w:p>
        </w:tc>
        <w:tc>
          <w:tcPr>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59.73</w:t>
            </w:r>
          </w:p>
        </w:tc>
        <w:tc>
          <w:tcP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23.30</w:t>
            </w:r>
          </w:p>
        </w:tc>
        <w:tc>
          <w:tcP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20.05</w:t>
            </w:r>
          </w:p>
        </w:tc>
        <w:tc>
          <w:tcP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39.97</w:t>
            </w:r>
          </w:p>
        </w:tc>
        <w:tc>
          <w:tcP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80.91</w:t>
            </w:r>
          </w:p>
        </w:tc>
        <w:tc>
          <w:tcP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Election Year (Dummy)</w:t>
            </w:r>
          </w:p>
        </w:tc>
        <w:tc>
          <w:tcPr>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0.20</w:t>
            </w:r>
          </w:p>
        </w:tc>
        <w:tc>
          <w:tcPr>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0.40</w:t>
            </w:r>
          </w:p>
        </w:tc>
        <w:tc>
          <w:tcPr>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The dataset is characterised by a high degree of class imbalance, with approximately 1.4 per cent of observations classified as defaults and 98.6 per cent as non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hold-out test set and on a temporal test set (train ≤ 2010, test &gt; 2010). Table 4.2 reports the primary country hold-out results. Evaluation prioritises default-class F1 score, recall, and PR-AUC;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(Att-LSTM+XGB)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0.096</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43.8%</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5.4%</w:t>
            </w:r>
          </w:p>
        </w:tc>
      </w:tr>
      <w:tr>
        <w:trPr>
          <w:cantSplit w:val="0"/>
          <w:tblHeader w:val="0"/>
        </w:trPr>
        <w:tc>
          <w:tcPr>
            <w:shd w:fill="auto" w:val="clear"/>
            <w:tcMar>
              <w:top w:w="100.0" w:type="dxa"/>
              <w:left w:w="100.0" w:type="dxa"/>
              <w:bottom w:w="100.0" w:type="dxa"/>
              <w:right w:w="100.0" w:type="dxa"/>
            </w:tcMar>
            <w:vAlign w:val="top"/>
          </w:tcPr>
          <w:p>
            <w:r>
              <w:t>PR-AUC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0.409</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50.4%</w:t>
            </w:r>
          </w:p>
        </w:tc>
      </w:tr>
      <w:tr>
        <w:trPr>
          <w:cantSplit w:val="0"/>
          <w:tblHeader w:val="0"/>
        </w:trPr>
        <w:tc>
          <w:tcPr>
            <w:shd w:fill="auto" w:val="clear"/>
            <w:tcMar>
              <w:top w:w="100.0" w:type="dxa"/>
              <w:left w:w="100.0" w:type="dxa"/>
              <w:bottom w:w="100.0" w:type="dxa"/>
              <w:right w:w="100.0" w:type="dxa"/>
            </w:tcMar>
            <w:vAlign w:val="top"/>
          </w:tcPr>
          <w:p>
            <w:r>
              <w:t>Pseudo R² / LLR p-value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default-class F1 score (0.134), followed by logistic regression (0.131), Probit (0.121), and the attention-LSTM + XGBoost hybrid (0.096). Logistic regression achieved the highest recall (88.6%), indicating greater sensitivity but lower precision (7.1%). The hybrid model detected 43.8% of defaults with 5.4% precision. These results confirm that machine learning models improve sensitivity relative to Probit, but none achieves high precision simultaneously.</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ROC-AUC values remained modest across models (0.41–0.56 on the country hold-out set), indicating limited global ranking ability despite threshold tuning. PR-AUC values were similarly low (0.06–0.07),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hold-out test set. The curve is consistent with the tabulated ROC-AUC of approximately 0.41 and confirms that the hybrid model does not substantially outperform random ranking on probability scores alone. This  aligns with the low PR-AUC and underscores the need to evaluate recall and F1 rather than accuracy or visual impressions from ROC plots in isolation.</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PR-AUC of 0.059. SMOTE on the training set improved minority-class representation, but precision remained below 8%. The model therefore offers a better recall–F1 trade-off than Probit while remaining far from perfect.</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ROC-AUC of approximately 0.51 on the country hold-out split. The model's value lies primarily in nonlinear feature interactions and interpretable SHAP attributions rather than in strong probability ranking.</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hold-out set it achieved F1 of 0.121, recall of 65.7%, and ROC-AUC of 0.563, with pseudo R² of 0.009 and an LLR p-value of 0.725 (joint significance not achieved). Probit therefore remains interpretable but statistically and predictively limited for this imbalanced panel.</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attention-LSTM + XGBoost hybrid adds temporal weighting over five-year country sequences before gradient boosting. It improved default recall relative to static Probit estimation but did not outperform tuned XGBoost on F1 in the primary country hold-out evaluation. Its main contribution is therefore architectural—combining sequence learning with explainable tree outputs—rather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F1-optimal thresholds reported in Table 4.2, all models exhibit low precision for defaults because false positives are costly under severe imbalance. The figure reinforces that threshold choice materially affects recall and precision and that AUROC alone can obscure poor minority-class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 2010, test &gt; 2010) in addition to the primary country hold-out design. On the temporal split, Probit achieved the highest F1 (0.148), followed by logistic regression (0.135), the hybrid (0.123), and XGBoost (0.113). This confirms that ranking across models is not stable across evaluation designs—a further reason to avoid overclaiming universal superiority.</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hold-out F1 score was 0.134 (XGBoost). Maximum recall reached 88.6% (logistic regression) at the cost of precision below 8%. ROC-AUC and PR-AUC remained modest for all models. Practical use requires threshold selection aligned to policy tolerance for false alarms and continued expert oversight.</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The findings reveal a nuanced performance landscape rather than uniform hybrid dominance. Probit and logistic models provide interpretable baselines with weak global fit (Probit pseudo R² ≈ 0.009; LLR p = 0.725). Machine learning models improve default recall and F1 relative to this baseline, but ROC-AUC (0.41–0.56) and PR-AUC (≈0.06–0.07) remain modest on the country hold-out split. XGBoost achieved the highest F1 (0.134); logistic regression achieved the highest recall (88.6%); the attention-LSTM + XGBoost hybrid reached 43.8% recall with F1 of 0.096.</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hold-out split but low precision and failed joint significance testing (pseudo R² ≈ 0.009; LLR p = 0.725). SHAP was not applied to Probit because coefficient interpretation is the appropriate transparency tool for parametric binary choice models.</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attention-LSTM encoding with XGBoost and SHAP was implemented and evaluated with leakage-aware splits, but it did not outperform XGBoost on F1 in the primary country hold-out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rare-event sovereign risk monitoring that reports honest trade-offs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attention-LSTM + XGBoost pipeline with SHAP explainability and leakage-aware evaluation for sovereign default prediction. The results demonstrate incremental gains in sensitivity over Probit, material trade-offs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