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XGBoost achieved the highest default class F1 score (0.134), logistic regression achieved the highest recall (88.6%), and the attention LSTM + XGBoost hybrid reached 62.5% recall with F1 of 0.107. ROC AUC values remained modest (approximately 0.46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 class F1 score (0.134), followed by logistic regression (0.131), Probit (0.121), and the attention LSTM + XGBoost hybrid (0.107). Logistic regression achieved the highest recall (88.6%), indicating greater sensitivity but lower precision (7.1%). The hybrid model detected 62.5% of defaults with 5.8%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(0.46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 AUC of 0.059.</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0.51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Probit (0.148), Logistic Regression (0.135), XGBoost (0.113), Hybrid (Attention-LSTM + XGBoost) (0.107). Probit achieved the highest F1 (0.148).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0.134 (XGBoost). Maximum recall reached 88.6%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Probit, but ROC AUC (0.46 to 0.56) and PR AUC remain modest on the country hold out split. XGBoost achieved the highest F1 (0.134); logistic regression achieved the highest recall (88.6%); the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