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
              <w:t>https://docs.google.com/document/d/16qeHeyFelMt64LdxHcjgaqV2J435E-N6v25RqJe7fT8/edit?usp=sharing</w:t>
              <w:br/>
              <w:br/>
              <w:t>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 based LSTM sequence encoding and SHAP explainability to predict sovereign debt default. The model is trained on macroeconomic, political, and global financial indicators for 68 countries from 1980 to 2022 using leakage aware country hold 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 class detection when evaluation prioritises recall, F1 score, and PR AUC rather than accuracy. On a country hold out test set (54 training countries, 14 test countries), XGBoost achieved the highest default class F1 score (0.100), logistic regression achieved the highest recall (100.0%), and the attention LSTM + XGBoost hybrid reached 9.4% recall with F1 of 0.076. ROC AUC values remained modest (approximately 0.46 to 0.56), reflecting the difficulty of rare event sovereign default prediction.</w:t>
      </w:r>
    </w:p>
    <w:p w:rsidR="00000000" w:rsidDel="00000000" w:rsidP="00000000" w:rsidRDefault="00000000" w:rsidRPr="00000000" w14:paraId="00000046">
      <w:pPr>
        <w:spacing w:after="240" w:before="240" w:lineRule="auto"/>
        <w:rPr/>
      </w:pPr>
      <w:r w:rsidDel="00000000" w:rsidR="00000000" w:rsidRPr="00000000">
        <w:rPr>
          <w:rtl w:val="0"/>
        </w:rPr>
        <w:t>By addressing the trade off between predictive performance and interpretability, this thesis contributes a reproducible hybrid framework for sovereign risk surveillance. The findings emphasise that no model delivers uniformly strong performance: tree 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Figure 4.11 Paired t 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Table 4.1: Descriptive Statistics of Key Variables (1980 to 2022) ............................................. 42</w: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Explainable artificial intelligence (XAI) tools such as SHapley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 to 80% accuracy compared to 70 to 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r w:rsidDel="00000000" w:rsidR="00000000" w:rsidRPr="00000000">
        <w:rPr>
          <w:sz w:val="24"/>
          <w:szCs w:val="24"/>
          <w:rtl w:val="0"/>
        </w:rPr>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SHAP values are often adopted in financial risk modelling because they decompose predictions into feature contributions, offering a level of transparency absent in most black 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 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 of sample designs that avoid panel leakage: (1) a country hold 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 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 class recall, F1 score, and PR AUC. Accuracy is reported only as a secondary metric because defaults represent approximately 5.5% of the hold out sample and less than 5% globally, making accuracy misleading for rare 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 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br/>
        <w:t>All models were implemented in Python (version 3.11.13) using libraries including Scikit 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Table 4.1: Descriptive Statistics of Key Variables (1980 to 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
              <w:t>Variable</w:t>
            </w:r>
          </w:p>
        </w:tc>
        <w:tc>
          <w:tcPr>
            <w:tcMar>
              <w:top w:w="0.0" w:type="dxa"/>
              <w:left w:w="100.0" w:type="dxa"/>
              <w:bottom w:w="0.0" w:type="dxa"/>
              <w:right w:w="100.0" w:type="dxa"/>
            </w:tcMar>
            <w:vAlign w:val="top"/>
          </w:tcPr>
          <w:p>
            <w:r>
              <w:t>Mean</w:t>
            </w:r>
          </w:p>
        </w:tc>
        <w:tc>
          <w:tcPr>
            <w:tcMar>
              <w:top w:w="0.0" w:type="dxa"/>
              <w:left w:w="100.0" w:type="dxa"/>
              <w:bottom w:w="0.0" w:type="dxa"/>
              <w:right w:w="100.0" w:type="dxa"/>
            </w:tcMar>
            <w:vAlign w:val="top"/>
          </w:tcPr>
          <w:p>
            <w:r>
              <w:t>Median</w:t>
            </w:r>
          </w:p>
        </w:tc>
        <w:tc>
          <w:tcPr>
            <w:tcMar>
              <w:top w:w="0.0" w:type="dxa"/>
              <w:left w:w="100.0" w:type="dxa"/>
              <w:bottom w:w="0.0" w:type="dxa"/>
              <w:right w:w="100.0" w:type="dxa"/>
            </w:tcMar>
            <w:vAlign w:val="top"/>
          </w:tcPr>
          <w:p>
            <w:r>
              <w:t>Std Dev</w:t>
            </w:r>
          </w:p>
        </w:tc>
        <w:tc>
          <w:tcPr>
            <w:tcMar>
              <w:top w:w="0.0" w:type="dxa"/>
              <w:left w:w="100.0" w:type="dxa"/>
              <w:bottom w:w="0.0" w:type="dxa"/>
              <w:right w:w="100.0" w:type="dxa"/>
            </w:tcMar>
            <w:vAlign w:val="top"/>
          </w:tcPr>
          <w:p>
            <w:r>
              <w:t>Min</w:t>
            </w:r>
          </w:p>
        </w:tc>
        <w:tc>
          <w:tcPr>
            <w:tcMar>
              <w:top w:w="0.0" w:type="dxa"/>
              <w:left w:w="100.0" w:type="dxa"/>
              <w:bottom w:w="0.0" w:type="dxa"/>
              <w:right w:w="100.0" w:type="dxa"/>
            </w:tcMar>
            <w:vAlign w:val="top"/>
          </w:tcPr>
          <w:p>
            <w:r>
              <w:t>25%</w:t>
            </w:r>
          </w:p>
        </w:tc>
        <w:tc>
          <w:tcPr>
            <w:tcMar>
              <w:top w:w="0.0" w:type="dxa"/>
              <w:left w:w="100.0" w:type="dxa"/>
              <w:bottom w:w="0.0" w:type="dxa"/>
              <w:right w:w="100.0" w:type="dxa"/>
            </w:tcMar>
            <w:vAlign w:val="top"/>
          </w:tcPr>
          <w:p>
            <w:r>
              <w:t>75%</w:t>
            </w:r>
          </w:p>
        </w:tc>
        <w:tc>
          <w:tcPr>
            <w:tcMar>
              <w:top w:w="0.0" w:type="dxa"/>
              <w:left w:w="100.0" w:type="dxa"/>
              <w:bottom w:w="0.0" w:type="dxa"/>
              <w:right w:w="100.0" w:type="dxa"/>
            </w:tcMar>
            <w:vAlign w:val="top"/>
          </w:tcPr>
          <w:p>
            <w:r>
              <w:t>Max</w:t>
            </w:r>
          </w:p>
        </w:tc>
      </w:tr>
      <w:tr>
        <w:trPr>
          <w:cantSplit w:val="0"/>
          <w:trHeight w:val="555" w:hRule="atLeast"/>
          <w:tblHeader w:val="0"/>
        </w:trPr>
        <w:tc>
          <w:tcPr>
            <w:tcMar>
              <w:top w:w="0.0" w:type="dxa"/>
              <w:left w:w="100.0" w:type="dxa"/>
              <w:bottom w:w="0.0" w:type="dxa"/>
              <w:right w:w="100.0" w:type="dxa"/>
            </w:tcMar>
            <w:vAlign w:val="top"/>
          </w:tcPr>
          <w:p>
            <w:r>
              <w:t>Debt to GDP (%)</w:t>
            </w:r>
          </w:p>
        </w:tc>
        <w:tc>
          <w:tcPr>
            <w:tcMar>
              <w:top w:w="0.0" w:type="dxa"/>
              <w:left w:w="100.0" w:type="dxa"/>
              <w:bottom w:w="0.0" w:type="dxa"/>
              <w:right w:w="100.0" w:type="dxa"/>
            </w:tcMar>
            <w:vAlign w:val="top"/>
          </w:tcPr>
          <w:p>
            <w:r>
              <w:t>84.27</w:t>
            </w:r>
          </w:p>
        </w:tc>
        <w:tc>
          <w:tcPr>
            <w:tcMar>
              <w:top w:w="0.0" w:type="dxa"/>
              <w:left w:w="100.0" w:type="dxa"/>
              <w:bottom w:w="0.0" w:type="dxa"/>
              <w:right w:w="100.0" w:type="dxa"/>
            </w:tcMar>
            <w:vAlign w:val="top"/>
          </w:tcPr>
          <w:p>
            <w:r>
              <w:t>83.48</w:t>
            </w:r>
          </w:p>
        </w:tc>
        <w:tc>
          <w:tcPr>
            <w:tcMar>
              <w:top w:w="0.0" w:type="dxa"/>
              <w:left w:w="100.0" w:type="dxa"/>
              <w:bottom w:w="0.0" w:type="dxa"/>
              <w:right w:w="100.0" w:type="dxa"/>
            </w:tcMar>
            <w:vAlign w:val="top"/>
          </w:tcPr>
          <w:p>
            <w:r>
              <w:t>37.36</w:t>
            </w:r>
          </w:p>
        </w:tc>
        <w:tc>
          <w:tcPr>
            <w:tcMar>
              <w:top w:w="0.0" w:type="dxa"/>
              <w:left w:w="100.0" w:type="dxa"/>
              <w:bottom w:w="0.0" w:type="dxa"/>
              <w:right w:w="100.0" w:type="dxa"/>
            </w:tcMar>
            <w:vAlign w:val="top"/>
          </w:tcPr>
          <w:p>
            <w:r>
              <w:t>20.00</w:t>
            </w:r>
          </w:p>
        </w:tc>
        <w:tc>
          <w:tcPr>
            <w:tcMar>
              <w:top w:w="0.0" w:type="dxa"/>
              <w:left w:w="100.0" w:type="dxa"/>
              <w:bottom w:w="0.0" w:type="dxa"/>
              <w:right w:w="100.0" w:type="dxa"/>
            </w:tcMar>
            <w:vAlign w:val="top"/>
          </w:tcPr>
          <w:p>
            <w:r>
              <w:t>51.92</w:t>
            </w:r>
          </w:p>
        </w:tc>
        <w:tc>
          <w:tcPr>
            <w:tcMar>
              <w:top w:w="0.0" w:type="dxa"/>
              <w:left w:w="100.0" w:type="dxa"/>
              <w:bottom w:w="0.0" w:type="dxa"/>
              <w:right w:w="100.0" w:type="dxa"/>
            </w:tcMar>
            <w:vAlign w:val="top"/>
          </w:tcPr>
          <w:p>
            <w:r>
              <w:t>116.03</w:t>
            </w:r>
          </w:p>
        </w:tc>
        <w:tc>
          <w:tcPr>
            <w:tcMar>
              <w:top w:w="0.0" w:type="dxa"/>
              <w:left w:w="100.0" w:type="dxa"/>
              <w:bottom w:w="0.0" w:type="dxa"/>
              <w:right w:w="100.0" w:type="dxa"/>
            </w:tcMar>
            <w:vAlign w:val="top"/>
          </w:tcPr>
          <w:p>
            <w:r>
              <w:t>149.94</w:t>
            </w:r>
          </w:p>
        </w:tc>
      </w:tr>
      <w:tr>
        <w:trPr>
          <w:cantSplit w:val="0"/>
          <w:trHeight w:val="825" w:hRule="atLeast"/>
          <w:tblHeader w:val="0"/>
        </w:trPr>
        <w:tc>
          <w:tcPr>
            <w:tcMar>
              <w:top w:w="0.0" w:type="dxa"/>
              <w:left w:w="100.0" w:type="dxa"/>
              <w:bottom w:w="0.0" w:type="dxa"/>
              <w:right w:w="100.0" w:type="dxa"/>
            </w:tcMar>
            <w:vAlign w:val="top"/>
          </w:tcPr>
          <w:p>
            <w:r>
              <w:t>External Debt to GDP (%)</w:t>
            </w:r>
          </w:p>
        </w:tc>
        <w:tc>
          <w:tcPr>
            <w:tcMar>
              <w:top w:w="0.0" w:type="dxa"/>
              <w:left w:w="100.0" w:type="dxa"/>
              <w:bottom w:w="0.0" w:type="dxa"/>
              <w:right w:w="100.0" w:type="dxa"/>
            </w:tcMar>
            <w:vAlign w:val="top"/>
          </w:tcPr>
          <w:p>
            <w:r>
              <w:t>53.80</w:t>
            </w:r>
          </w:p>
        </w:tc>
        <w:tc>
          <w:tcPr>
            <w:tcMar>
              <w:top w:w="0.0" w:type="dxa"/>
              <w:left w:w="100.0" w:type="dxa"/>
              <w:bottom w:w="0.0" w:type="dxa"/>
              <w:right w:w="100.0" w:type="dxa"/>
            </w:tcMar>
            <w:vAlign w:val="top"/>
          </w:tcPr>
          <w:p>
            <w:r>
              <w:t>53.38</w:t>
            </w:r>
          </w:p>
        </w:tc>
        <w:tc>
          <w:tcPr>
            <w:tcMar>
              <w:top w:w="0.0" w:type="dxa"/>
              <w:left w:w="100.0" w:type="dxa"/>
              <w:bottom w:w="0.0" w:type="dxa"/>
              <w:right w:w="100.0" w:type="dxa"/>
            </w:tcMar>
            <w:vAlign w:val="top"/>
          </w:tcPr>
          <w:p>
            <w:r>
              <w:t>25.68</w:t>
            </w:r>
          </w:p>
        </w:tc>
        <w:tc>
          <w:tcPr>
            <w:tcMar>
              <w:top w:w="0.0" w:type="dxa"/>
              <w:left w:w="100.0" w:type="dxa"/>
              <w:bottom w:w="0.0" w:type="dxa"/>
              <w:right w:w="100.0" w:type="dxa"/>
            </w:tcMar>
            <w:vAlign w:val="top"/>
          </w:tcPr>
          <w:p>
            <w:r>
              <w:t>10.02</w:t>
            </w:r>
          </w:p>
        </w:tc>
        <w:tc>
          <w:tcPr>
            <w:tcMar>
              <w:top w:w="0.0" w:type="dxa"/>
              <w:left w:w="100.0" w:type="dxa"/>
              <w:bottom w:w="0.0" w:type="dxa"/>
              <w:right w:w="100.0" w:type="dxa"/>
            </w:tcMar>
            <w:vAlign w:val="top"/>
          </w:tcPr>
          <w:p>
            <w:r>
              <w:t>31.76</w:t>
            </w:r>
          </w:p>
        </w:tc>
        <w:tc>
          <w:tcPr>
            <w:tcMar>
              <w:top w:w="0.0" w:type="dxa"/>
              <w:left w:w="100.0" w:type="dxa"/>
              <w:bottom w:w="0.0" w:type="dxa"/>
              <w:right w:w="100.0" w:type="dxa"/>
            </w:tcMar>
            <w:vAlign w:val="top"/>
          </w:tcPr>
          <w:p>
            <w:r>
              <w:t>75.40</w:t>
            </w:r>
          </w:p>
        </w:tc>
        <w:tc>
          <w:tcPr>
            <w:tcMar>
              <w:top w:w="0.0" w:type="dxa"/>
              <w:left w:w="100.0" w:type="dxa"/>
              <w:bottom w:w="0.0" w:type="dxa"/>
              <w:right w:w="100.0" w:type="dxa"/>
            </w:tcMar>
            <w:vAlign w:val="top"/>
          </w:tcPr>
          <w:p>
            <w:r>
              <w:t>99.95</w:t>
            </w:r>
          </w:p>
        </w:tc>
      </w:tr>
      <w:tr>
        <w:trPr>
          <w:cantSplit w:val="0"/>
          <w:trHeight w:val="1110" w:hRule="atLeast"/>
          <w:tblHeader w:val="0"/>
        </w:trPr>
        <w:tc>
          <w:tcPr>
            <w:tcMar>
              <w:top w:w="0.0" w:type="dxa"/>
              <w:left w:w="100.0" w:type="dxa"/>
              <w:bottom w:w="0.0" w:type="dxa"/>
              <w:right w:w="100.0" w:type="dxa"/>
            </w:tcMar>
            <w:vAlign w:val="top"/>
          </w:tcPr>
          <w:p>
            <w:r>
              <w:t>Debt Service to Exports (%)</w:t>
            </w:r>
          </w:p>
        </w:tc>
        <w:tc>
          <w:tcPr>
            <w:tcMar>
              <w:top w:w="0.0" w:type="dxa"/>
              <w:left w:w="100.0" w:type="dxa"/>
              <w:bottom w:w="0.0" w:type="dxa"/>
              <w:right w:w="100.0" w:type="dxa"/>
            </w:tcMar>
            <w:vAlign w:val="top"/>
          </w:tcPr>
          <w:p>
            <w:r>
              <w:t>22.63</w:t>
            </w:r>
          </w:p>
        </w:tc>
        <w:tc>
          <w:tcPr>
            <w:tcMar>
              <w:top w:w="0.0" w:type="dxa"/>
              <w:left w:w="100.0" w:type="dxa"/>
              <w:bottom w:w="0.0" w:type="dxa"/>
              <w:right w:w="100.0" w:type="dxa"/>
            </w:tcMar>
            <w:vAlign w:val="top"/>
          </w:tcPr>
          <w:p>
            <w:r>
              <w:t>22.55</w:t>
            </w:r>
          </w:p>
        </w:tc>
        <w:tc>
          <w:tcPr>
            <w:tcMar>
              <w:top w:w="0.0" w:type="dxa"/>
              <w:left w:w="100.0" w:type="dxa"/>
              <w:bottom w:w="0.0" w:type="dxa"/>
              <w:right w:w="100.0" w:type="dxa"/>
            </w:tcMar>
            <w:vAlign w:val="top"/>
          </w:tcPr>
          <w:p>
            <w:r>
              <w:t>10.09</w:t>
            </w:r>
          </w:p>
        </w:tc>
        <w:tc>
          <w:tcPr>
            <w:tcMar>
              <w:top w:w="0.0" w:type="dxa"/>
              <w:left w:w="100.0" w:type="dxa"/>
              <w:bottom w:w="0.0" w:type="dxa"/>
              <w:right w:w="100.0" w:type="dxa"/>
            </w:tcMar>
            <w:vAlign w:val="top"/>
          </w:tcPr>
          <w:p>
            <w:r>
              <w:t>5.00</w:t>
            </w:r>
          </w:p>
        </w:tc>
        <w:tc>
          <w:tcPr>
            <w:tcMar>
              <w:top w:w="0.0" w:type="dxa"/>
              <w:left w:w="100.0" w:type="dxa"/>
              <w:bottom w:w="0.0" w:type="dxa"/>
              <w:right w:w="100.0" w:type="dxa"/>
            </w:tcMar>
            <w:vAlign w:val="top"/>
          </w:tcPr>
          <w:p>
            <w:r>
              <w:t>13.92</w:t>
            </w:r>
          </w:p>
        </w:tc>
        <w:tc>
          <w:tcPr>
            <w:tcMar>
              <w:top w:w="0.0" w:type="dxa"/>
              <w:left w:w="100.0" w:type="dxa"/>
              <w:bottom w:w="0.0" w:type="dxa"/>
              <w:right w:w="100.0" w:type="dxa"/>
            </w:tcMar>
            <w:vAlign w:val="top"/>
          </w:tcPr>
          <w:p>
            <w:r>
              <w:t>31.48</w:t>
            </w:r>
          </w:p>
        </w:tc>
        <w:tc>
          <w:tcPr>
            <w:tcMar>
              <w:top w:w="0.0" w:type="dxa"/>
              <w:left w:w="100.0" w:type="dxa"/>
              <w:bottom w:w="0.0" w:type="dxa"/>
              <w:right w:w="100.0" w:type="dxa"/>
            </w:tcMar>
            <w:vAlign w:val="top"/>
          </w:tcPr>
          <w:p>
            <w:r>
              <w:t>39.99</w:t>
            </w:r>
          </w:p>
        </w:tc>
      </w:tr>
      <w:tr>
        <w:trPr>
          <w:cantSplit w:val="0"/>
          <w:trHeight w:val="1110" w:hRule="atLeast"/>
          <w:tblHeader w:val="0"/>
        </w:trPr>
        <w:tc>
          <w:tcPr>
            <w:tcMar>
              <w:top w:w="0.0" w:type="dxa"/>
              <w:left w:w="100.0" w:type="dxa"/>
              <w:bottom w:w="0.0" w:type="dxa"/>
              <w:right w:w="100.0" w:type="dxa"/>
            </w:tcMar>
            <w:vAlign w:val="top"/>
          </w:tcPr>
          <w:p>
            <w:r>
              <w:t>Real GDP Growth (%)</w:t>
            </w:r>
          </w:p>
        </w:tc>
        <w:tc>
          <w:tcPr>
            <w:tcMar>
              <w:top w:w="0.0" w:type="dxa"/>
              <w:left w:w="100.0" w:type="dxa"/>
              <w:bottom w:w="0.0" w:type="dxa"/>
              <w:right w:w="100.0" w:type="dxa"/>
            </w:tcMar>
            <w:vAlign w:val="top"/>
          </w:tcPr>
          <w:p>
            <w:r>
              <w:t>-0.04</w:t>
            </w:r>
          </w:p>
        </w:tc>
        <w:tc>
          <w:tcPr>
            <w:tcMar>
              <w:top w:w="0.0" w:type="dxa"/>
              <w:left w:w="100.0" w:type="dxa"/>
              <w:bottom w:w="0.0" w:type="dxa"/>
              <w:right w:w="100.0" w:type="dxa"/>
            </w:tcMar>
            <w:vAlign w:val="top"/>
          </w:tcPr>
          <w:p>
            <w:r>
              <w:t>-0.19</w:t>
            </w:r>
          </w:p>
        </w:tc>
        <w:tc>
          <w:tcPr>
            <w:tcMar>
              <w:top w:w="0.0" w:type="dxa"/>
              <w:left w:w="100.0" w:type="dxa"/>
              <w:bottom w:w="0.0" w:type="dxa"/>
              <w:right w:w="100.0" w:type="dxa"/>
            </w:tcMar>
            <w:vAlign w:val="top"/>
          </w:tcPr>
          <w:p>
            <w:r>
              <w:t>5.80</w:t>
            </w:r>
          </w:p>
        </w:tc>
        <w:tc>
          <w:tcPr>
            <w:tcMar>
              <w:top w:w="0.0" w:type="dxa"/>
              <w:left w:w="100.0" w:type="dxa"/>
              <w:bottom w:w="0.0" w:type="dxa"/>
              <w:right w:w="100.0" w:type="dxa"/>
            </w:tcMar>
            <w:vAlign w:val="top"/>
          </w:tcPr>
          <w:p>
            <w:r>
              <w:t>-9.98</w:t>
            </w:r>
          </w:p>
        </w:tc>
        <w:tc>
          <w:tcPr>
            <w:tcMar>
              <w:top w:w="0.0" w:type="dxa"/>
              <w:left w:w="100.0" w:type="dxa"/>
              <w:bottom w:w="0.0" w:type="dxa"/>
              <w:right w:w="100.0" w:type="dxa"/>
            </w:tcMar>
            <w:vAlign w:val="top"/>
          </w:tcPr>
          <w:p>
            <w:r>
              <w:t>-5.13</w:t>
            </w:r>
          </w:p>
        </w:tc>
        <w:tc>
          <w:tcPr>
            <w:tcMar>
              <w:top w:w="0.0" w:type="dxa"/>
              <w:left w:w="100.0" w:type="dxa"/>
              <w:bottom w:w="0.0" w:type="dxa"/>
              <w:right w:w="100.0" w:type="dxa"/>
            </w:tcMar>
            <w:vAlign w:val="top"/>
          </w:tcPr>
          <w:p>
            <w:r>
              <w:t>5.15</w:t>
            </w:r>
          </w:p>
        </w:tc>
        <w:tc>
          <w:tcPr>
            <w:tcMar>
              <w:top w:w="0.0" w:type="dxa"/>
              <w:left w:w="100.0" w:type="dxa"/>
              <w:bottom w:w="0.0" w:type="dxa"/>
              <w:right w:w="100.0" w:type="dxa"/>
            </w:tcMar>
            <w:vAlign w:val="top"/>
          </w:tcPr>
          <w:p>
            <w:r>
              <w:t>10.00</w:t>
            </w:r>
          </w:p>
        </w:tc>
      </w:tr>
      <w:tr>
        <w:trPr>
          <w:cantSplit w:val="0"/>
          <w:trHeight w:val="825" w:hRule="atLeast"/>
          <w:tblHeader w:val="0"/>
        </w:trPr>
        <w:tc>
          <w:tcPr>
            <w:tcMar>
              <w:top w:w="0.0" w:type="dxa"/>
              <w:left w:w="100.0" w:type="dxa"/>
              <w:bottom w:w="0.0" w:type="dxa"/>
              <w:right w:w="100.0" w:type="dxa"/>
            </w:tcMar>
            <w:vAlign w:val="top"/>
          </w:tcPr>
          <w:p>
            <w:r>
              <w:t>GDP per Capita (USD)</w:t>
            </w:r>
          </w:p>
        </w:tc>
        <w:tc>
          <w:tcPr>
            <w:tcMar>
              <w:top w:w="0.0" w:type="dxa"/>
              <w:left w:w="100.0" w:type="dxa"/>
              <w:bottom w:w="0.0" w:type="dxa"/>
              <w:right w:w="100.0" w:type="dxa"/>
            </w:tcMar>
            <w:vAlign w:val="top"/>
          </w:tcPr>
          <w:p>
            <w:r>
              <w:t>30519.22</w:t>
            </w:r>
          </w:p>
        </w:tc>
        <w:tc>
          <w:tcPr>
            <w:tcMar>
              <w:top w:w="0.0" w:type="dxa"/>
              <w:left w:w="100.0" w:type="dxa"/>
              <w:bottom w:w="0.0" w:type="dxa"/>
              <w:right w:w="100.0" w:type="dxa"/>
            </w:tcMar>
            <w:vAlign w:val="top"/>
          </w:tcPr>
          <w:p>
            <w:r>
              <w:t>31057.23</w:t>
            </w:r>
          </w:p>
        </w:tc>
        <w:tc>
          <w:tcPr>
            <w:tcMar>
              <w:top w:w="0.0" w:type="dxa"/>
              <w:left w:w="100.0" w:type="dxa"/>
              <w:bottom w:w="0.0" w:type="dxa"/>
              <w:right w:w="100.0" w:type="dxa"/>
            </w:tcMar>
            <w:vAlign w:val="top"/>
          </w:tcPr>
          <w:p>
            <w:r>
              <w:t>17126.94</w:t>
            </w:r>
          </w:p>
        </w:tc>
        <w:tc>
          <w:tcPr>
            <w:tcMar>
              <w:top w:w="0.0" w:type="dxa"/>
              <w:left w:w="100.0" w:type="dxa"/>
              <w:bottom w:w="0.0" w:type="dxa"/>
              <w:right w:w="100.0" w:type="dxa"/>
            </w:tcMar>
            <w:vAlign w:val="top"/>
          </w:tcPr>
          <w:p>
            <w:r>
              <w:t>315.07</w:t>
            </w:r>
          </w:p>
        </w:tc>
        <w:tc>
          <w:tcPr>
            <w:tcMar>
              <w:top w:w="0.0" w:type="dxa"/>
              <w:left w:w="100.0" w:type="dxa"/>
              <w:bottom w:w="0.0" w:type="dxa"/>
              <w:right w:w="100.0" w:type="dxa"/>
            </w:tcMar>
            <w:vAlign w:val="top"/>
          </w:tcPr>
          <w:p>
            <w:r>
              <w:t>16030.38</w:t>
            </w:r>
          </w:p>
        </w:tc>
        <w:tc>
          <w:tcPr>
            <w:tcMar>
              <w:top w:w="0.0" w:type="dxa"/>
              <w:left w:w="100.0" w:type="dxa"/>
              <w:bottom w:w="0.0" w:type="dxa"/>
              <w:right w:w="100.0" w:type="dxa"/>
            </w:tcMar>
            <w:vAlign w:val="top"/>
          </w:tcPr>
          <w:p>
            <w:r>
              <w:t>45068.17</w:t>
            </w:r>
          </w:p>
        </w:tc>
        <w:tc>
          <w:tcPr>
            <w:tcMar>
              <w:top w:w="0.0" w:type="dxa"/>
              <w:left w:w="100.0" w:type="dxa"/>
              <w:bottom w:w="0.0" w:type="dxa"/>
              <w:right w:w="100.0" w:type="dxa"/>
            </w:tcMar>
            <w:vAlign w:val="top"/>
          </w:tcPr>
          <w:p>
            <w:r>
              <w:t>59995.51</w:t>
            </w:r>
          </w:p>
        </w:tc>
      </w:tr>
      <w:tr>
        <w:trPr>
          <w:cantSplit w:val="0"/>
          <w:trHeight w:val="555" w:hRule="atLeast"/>
          <w:tblHeader w:val="0"/>
        </w:trPr>
        <w:tc>
          <w:tcPr>
            <w:tcMar>
              <w:top w:w="0.0" w:type="dxa"/>
              <w:left w:w="100.0" w:type="dxa"/>
              <w:bottom w:w="0.0" w:type="dxa"/>
              <w:right w:w="100.0" w:type="dxa"/>
            </w:tcMar>
            <w:vAlign w:val="top"/>
          </w:tcPr>
          <w:p>
            <w:r>
              <w:t>Inflation (%)</w:t>
            </w:r>
          </w:p>
        </w:tc>
        <w:tc>
          <w:tcPr>
            <w:tcMar>
              <w:top w:w="0.0" w:type="dxa"/>
              <w:left w:w="100.0" w:type="dxa"/>
              <w:bottom w:w="0.0" w:type="dxa"/>
              <w:right w:w="100.0" w:type="dxa"/>
            </w:tcMar>
            <w:vAlign w:val="top"/>
          </w:tcPr>
          <w:p>
            <w:r>
              <w:t>48.71</w:t>
            </w:r>
          </w:p>
        </w:tc>
        <w:tc>
          <w:tcPr>
            <w:tcMar>
              <w:top w:w="0.0" w:type="dxa"/>
              <w:left w:w="100.0" w:type="dxa"/>
              <w:bottom w:w="0.0" w:type="dxa"/>
              <w:right w:w="100.0" w:type="dxa"/>
            </w:tcMar>
            <w:vAlign w:val="top"/>
          </w:tcPr>
          <w:p>
            <w:r>
              <w:t>48.44</w:t>
            </w:r>
          </w:p>
        </w:tc>
        <w:tc>
          <w:tcPr>
            <w:tcMar>
              <w:top w:w="0.0" w:type="dxa"/>
              <w:left w:w="100.0" w:type="dxa"/>
              <w:bottom w:w="0.0" w:type="dxa"/>
              <w:right w:w="100.0" w:type="dxa"/>
            </w:tcMar>
            <w:vAlign w:val="top"/>
          </w:tcPr>
          <w:p>
            <w:r>
              <w:t>30.30</w:t>
            </w:r>
          </w:p>
        </w:tc>
        <w:tc>
          <w:tcPr>
            <w:tcMar>
              <w:top w:w="0.0" w:type="dxa"/>
              <w:left w:w="100.0" w:type="dxa"/>
              <w:bottom w:w="0.0" w:type="dxa"/>
              <w:right w:w="100.0" w:type="dxa"/>
            </w:tcMar>
            <w:vAlign w:val="top"/>
          </w:tcPr>
          <w:p>
            <w:r>
              <w:t>-4.94</w:t>
            </w:r>
          </w:p>
        </w:tc>
        <w:tc>
          <w:tcPr>
            <w:tcMar>
              <w:top w:w="0.0" w:type="dxa"/>
              <w:left w:w="100.0" w:type="dxa"/>
              <w:bottom w:w="0.0" w:type="dxa"/>
              <w:right w:w="100.0" w:type="dxa"/>
            </w:tcMar>
            <w:vAlign w:val="top"/>
          </w:tcPr>
          <w:p>
            <w:r>
              <w:t>23.26</w:t>
            </w:r>
          </w:p>
        </w:tc>
        <w:tc>
          <w:tcPr>
            <w:tcMar>
              <w:top w:w="0.0" w:type="dxa"/>
              <w:left w:w="100.0" w:type="dxa"/>
              <w:bottom w:w="0.0" w:type="dxa"/>
              <w:right w:w="100.0" w:type="dxa"/>
            </w:tcMar>
            <w:vAlign w:val="top"/>
          </w:tcPr>
          <w:p>
            <w:r>
              <w:t>74.80</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Fiscal Balance (% GDP)</w:t>
            </w:r>
          </w:p>
        </w:tc>
        <w:tc>
          <w:tcPr>
            <w:tcMar>
              <w:top w:w="0.0" w:type="dxa"/>
              <w:left w:w="100.0" w:type="dxa"/>
              <w:bottom w:w="0.0" w:type="dxa"/>
              <w:right w:w="100.0" w:type="dxa"/>
            </w:tcMar>
            <w:vAlign w:val="top"/>
          </w:tcPr>
          <w:p>
            <w:r>
              <w:t>-2.26</w:t>
            </w:r>
          </w:p>
        </w:tc>
        <w:tc>
          <w:tcPr>
            <w:tcMar>
              <w:top w:w="0.0" w:type="dxa"/>
              <w:left w:w="100.0" w:type="dxa"/>
              <w:bottom w:w="0.0" w:type="dxa"/>
              <w:right w:w="100.0" w:type="dxa"/>
            </w:tcMar>
            <w:vAlign w:val="top"/>
          </w:tcPr>
          <w:p>
            <w:r>
              <w:t>-2.14</w:t>
            </w:r>
          </w:p>
        </w:tc>
        <w:tc>
          <w:tcPr>
            <w:tcMar>
              <w:top w:w="0.0" w:type="dxa"/>
              <w:left w:w="100.0" w:type="dxa"/>
              <w:bottom w:w="0.0" w:type="dxa"/>
              <w:right w:w="100.0" w:type="dxa"/>
            </w:tcMar>
            <w:vAlign w:val="top"/>
          </w:tcPr>
          <w:p>
            <w:r>
              <w:t>7.25</w:t>
            </w:r>
          </w:p>
        </w:tc>
        <w:tc>
          <w:tcPr>
            <w:tcMar>
              <w:top w:w="0.0" w:type="dxa"/>
              <w:left w:w="100.0" w:type="dxa"/>
              <w:bottom w:w="0.0" w:type="dxa"/>
              <w:right w:w="100.0" w:type="dxa"/>
            </w:tcMar>
            <w:vAlign w:val="top"/>
          </w:tcPr>
          <w:p>
            <w:r>
              <w:t>-15.00</w:t>
            </w:r>
          </w:p>
        </w:tc>
        <w:tc>
          <w:tcPr>
            <w:tcMar>
              <w:top w:w="0.0" w:type="dxa"/>
              <w:left w:w="100.0" w:type="dxa"/>
              <w:bottom w:w="0.0" w:type="dxa"/>
              <w:right w:w="100.0" w:type="dxa"/>
            </w:tcMar>
            <w:vAlign w:val="top"/>
          </w:tcPr>
          <w:p>
            <w:r>
              <w:t>-8.60</w:t>
            </w:r>
          </w:p>
        </w:tc>
        <w:tc>
          <w:tcPr>
            <w:tcMar>
              <w:top w:w="0.0" w:type="dxa"/>
              <w:left w:w="100.0" w:type="dxa"/>
              <w:bottom w:w="0.0" w:type="dxa"/>
              <w:right w:w="100.0" w:type="dxa"/>
            </w:tcMar>
            <w:vAlign w:val="top"/>
          </w:tcPr>
          <w:p>
            <w:r>
              <w:t>3.98</w:t>
            </w:r>
          </w:p>
        </w:tc>
        <w:tc>
          <w:tcPr>
            <w:tcMar>
              <w:top w:w="0.0" w:type="dxa"/>
              <w:left w:w="100.0" w:type="dxa"/>
              <w:bottom w:w="0.0" w:type="dxa"/>
              <w:right w:w="100.0" w:type="dxa"/>
            </w:tcMar>
            <w:vAlign w:val="top"/>
          </w:tcPr>
          <w:p>
            <w:r>
              <w:t>9.99</w:t>
            </w:r>
          </w:p>
        </w:tc>
      </w:tr>
      <w:tr>
        <w:trPr>
          <w:cantSplit w:val="0"/>
          <w:trHeight w:val="825" w:hRule="atLeast"/>
          <w:tblHeader w:val="0"/>
        </w:trPr>
        <w:tc>
          <w:tcPr>
            <w:tcMar>
              <w:top w:w="0.0" w:type="dxa"/>
              <w:left w:w="100.0" w:type="dxa"/>
              <w:bottom w:w="0.0" w:type="dxa"/>
              <w:right w:w="100.0" w:type="dxa"/>
            </w:tcMar>
            <w:vAlign w:val="top"/>
          </w:tcPr>
          <w:p>
            <w:r>
              <w:t>Primary Balance (% GDP)</w:t>
            </w:r>
          </w:p>
        </w:tc>
        <w:tc>
          <w:tcPr>
            <w:tcMar>
              <w:top w:w="0.0" w:type="dxa"/>
              <w:left w:w="100.0" w:type="dxa"/>
              <w:bottom w:w="0.0" w:type="dxa"/>
              <w:right w:w="100.0" w:type="dxa"/>
            </w:tcMar>
            <w:vAlign w:val="top"/>
          </w:tcPr>
          <w:p>
            <w:r>
              <w:t>-2.28</w:t>
            </w:r>
          </w:p>
        </w:tc>
        <w:tc>
          <w:tcPr>
            <w:tcMar>
              <w:top w:w="0.0" w:type="dxa"/>
              <w:left w:w="100.0" w:type="dxa"/>
              <w:bottom w:w="0.0" w:type="dxa"/>
              <w:right w:w="100.0" w:type="dxa"/>
            </w:tcMar>
            <w:vAlign w:val="top"/>
          </w:tcPr>
          <w:p>
            <w:r>
              <w:t>-2.18</w:t>
            </w:r>
          </w:p>
        </w:tc>
        <w:tc>
          <w:tcPr>
            <w:tcMar>
              <w:top w:w="0.0" w:type="dxa"/>
              <w:left w:w="100.0" w:type="dxa"/>
              <w:bottom w:w="0.0" w:type="dxa"/>
              <w:right w:w="100.0" w:type="dxa"/>
            </w:tcMar>
            <w:vAlign w:val="top"/>
          </w:tcPr>
          <w:p>
            <w:r>
              <w:t>7.49</w:t>
            </w:r>
          </w:p>
        </w:tc>
        <w:tc>
          <w:tcPr>
            <w:tcMar>
              <w:top w:w="0.0" w:type="dxa"/>
              <w:left w:w="100.0" w:type="dxa"/>
              <w:bottom w:w="0.0" w:type="dxa"/>
              <w:right w:w="100.0" w:type="dxa"/>
            </w:tcMar>
            <w:vAlign w:val="top"/>
          </w:tcPr>
          <w:p>
            <w:r>
              <w:t>-17.79</w:t>
            </w:r>
          </w:p>
        </w:tc>
        <w:tc>
          <w:tcPr>
            <w:tcMar>
              <w:top w:w="0.0" w:type="dxa"/>
              <w:left w:w="100.0" w:type="dxa"/>
              <w:bottom w:w="0.0" w:type="dxa"/>
              <w:right w:w="100.0" w:type="dxa"/>
            </w:tcMar>
            <w:vAlign w:val="top"/>
          </w:tcPr>
          <w:p>
            <w:r>
              <w:t>-8.59</w:t>
            </w:r>
          </w:p>
        </w:tc>
        <w:tc>
          <w:tcPr>
            <w:tcMar>
              <w:top w:w="0.0" w:type="dxa"/>
              <w:left w:w="100.0" w:type="dxa"/>
              <w:bottom w:w="0.0" w:type="dxa"/>
              <w:right w:w="100.0" w:type="dxa"/>
            </w:tcMar>
            <w:vAlign w:val="top"/>
          </w:tcPr>
          <w:p>
            <w:r>
              <w:t>4.08</w:t>
            </w:r>
          </w:p>
        </w:tc>
        <w:tc>
          <w:tcPr>
            <w:tcMar>
              <w:top w:w="0.0" w:type="dxa"/>
              <w:left w:w="100.0" w:type="dxa"/>
              <w:bottom w:w="0.0" w:type="dxa"/>
              <w:right w:w="100.0" w:type="dxa"/>
            </w:tcMar>
            <w:vAlign w:val="top"/>
          </w:tcPr>
          <w:p>
            <w:r>
              <w:t>12.92</w:t>
            </w:r>
          </w:p>
        </w:tc>
      </w:tr>
      <w:tr>
        <w:trPr>
          <w:cantSplit w:val="0"/>
          <w:trHeight w:val="1110" w:hRule="atLeast"/>
          <w:tblHeader w:val="0"/>
        </w:trPr>
        <w:tc>
          <w:tcPr>
            <w:tcMar>
              <w:top w:w="0.0" w:type="dxa"/>
              <w:left w:w="100.0" w:type="dxa"/>
              <w:bottom w:w="0.0" w:type="dxa"/>
              <w:right w:w="100.0" w:type="dxa"/>
            </w:tcMar>
            <w:vAlign w:val="top"/>
          </w:tcPr>
          <w:p>
            <w:r>
              <w:t>Current Account Balance (% GDP)</w:t>
            </w:r>
          </w:p>
        </w:tc>
        <w:tc>
          <w:tcPr>
            <w:tcMar>
              <w:top w:w="0.0" w:type="dxa"/>
              <w:left w:w="100.0" w:type="dxa"/>
              <w:bottom w:w="0.0" w:type="dxa"/>
              <w:right w:w="100.0" w:type="dxa"/>
            </w:tcMar>
            <w:vAlign w:val="top"/>
          </w:tcPr>
          <w:p>
            <w:r>
              <w:t>-0.42</w:t>
            </w:r>
          </w:p>
        </w:tc>
        <w:tc>
          <w:tcPr>
            <w:tcMar>
              <w:top w:w="0.0" w:type="dxa"/>
              <w:left w:w="100.0" w:type="dxa"/>
              <w:bottom w:w="0.0" w:type="dxa"/>
              <w:right w:w="100.0" w:type="dxa"/>
            </w:tcMar>
            <w:vAlign w:val="top"/>
          </w:tcPr>
          <w:p>
            <w:r>
              <w:t>-0.47</w:t>
            </w:r>
          </w:p>
        </w:tc>
        <w:tc>
          <w:tcPr>
            <w:tcMar>
              <w:top w:w="0.0" w:type="dxa"/>
              <w:left w:w="100.0" w:type="dxa"/>
              <w:bottom w:w="0.0" w:type="dxa"/>
              <w:right w:w="100.0" w:type="dxa"/>
            </w:tcMar>
            <w:vAlign w:val="top"/>
          </w:tcPr>
          <w:p>
            <w:r>
              <w:t>11.40</w:t>
            </w:r>
          </w:p>
        </w:tc>
        <w:tc>
          <w:tcPr>
            <w:tcMar>
              <w:top w:w="0.0" w:type="dxa"/>
              <w:left w:w="100.0" w:type="dxa"/>
              <w:bottom w:w="0.0" w:type="dxa"/>
              <w:right w:w="100.0" w:type="dxa"/>
            </w:tcMar>
            <w:vAlign w:val="top"/>
          </w:tcPr>
          <w:p>
            <w:r>
              <w:t>-19.99</w:t>
            </w:r>
          </w:p>
        </w:tc>
        <w:tc>
          <w:tcPr>
            <w:tcMar>
              <w:top w:w="0.0" w:type="dxa"/>
              <w:left w:w="100.0" w:type="dxa"/>
              <w:bottom w:w="0.0" w:type="dxa"/>
              <w:right w:w="100.0" w:type="dxa"/>
            </w:tcMar>
            <w:vAlign w:val="top"/>
          </w:tcPr>
          <w:p>
            <w:r>
              <w:t>-10.26</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19.99</w:t>
            </w:r>
          </w:p>
        </w:tc>
      </w:tr>
      <w:tr>
        <w:trPr>
          <w:cantSplit w:val="0"/>
          <w:trHeight w:val="1110" w:hRule="atLeast"/>
          <w:tblHeader w:val="0"/>
        </w:trPr>
        <w:tc>
          <w:tcPr>
            <w:tcMar>
              <w:top w:w="0.0" w:type="dxa"/>
              <w:left w:w="100.0" w:type="dxa"/>
              <w:bottom w:w="0.0" w:type="dxa"/>
              <w:right w:w="100.0" w:type="dxa"/>
            </w:tcMar>
            <w:vAlign w:val="top"/>
          </w:tcPr>
          <w:p>
            <w:r>
              <w:t>Reserves (Months of Imports)</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3.33</w:t>
            </w:r>
          </w:p>
        </w:tc>
        <w:tc>
          <w:tcPr>
            <w:tcMar>
              <w:top w:w="0.0" w:type="dxa"/>
              <w:left w:w="100.0" w:type="dxa"/>
              <w:bottom w:w="0.0" w:type="dxa"/>
              <w:right w:w="100.0" w:type="dxa"/>
            </w:tcMar>
            <w:vAlign w:val="top"/>
          </w:tcPr>
          <w:p>
            <w:r>
              <w:t>0.50</w:t>
            </w:r>
          </w:p>
        </w:tc>
        <w:tc>
          <w:tcPr>
            <w:tcMar>
              <w:top w:w="0.0" w:type="dxa"/>
              <w:left w:w="100.0" w:type="dxa"/>
              <w:bottom w:w="0.0" w:type="dxa"/>
              <w:right w:w="100.0" w:type="dxa"/>
            </w:tcMar>
            <w:vAlign w:val="top"/>
          </w:tcPr>
          <w:p>
            <w:r>
              <w:t>3.32</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12.00</w:t>
            </w:r>
          </w:p>
        </w:tc>
      </w:tr>
      <w:tr>
        <w:trPr>
          <w:cantSplit w:val="0"/>
          <w:trHeight w:val="1110" w:hRule="atLeast"/>
          <w:tblHeader w:val="0"/>
        </w:trPr>
        <w:tc>
          <w:tcPr>
            <w:tcMar>
              <w:top w:w="0.0" w:type="dxa"/>
              <w:left w:w="100.0" w:type="dxa"/>
              <w:bottom w:w="0.0" w:type="dxa"/>
              <w:right w:w="100.0" w:type="dxa"/>
            </w:tcMar>
            <w:vAlign w:val="top"/>
          </w:tcPr>
          <w:p>
            <w:r>
              <w:t>Exchange Rate Change (%)</w:t>
            </w:r>
          </w:p>
        </w:tc>
        <w:tc>
          <w:tcPr>
            <w:tcMar>
              <w:top w:w="0.0" w:type="dxa"/>
              <w:left w:w="100.0" w:type="dxa"/>
              <w:bottom w:w="0.0" w:type="dxa"/>
              <w:right w:w="100.0" w:type="dxa"/>
            </w:tcMar>
            <w:vAlign w:val="top"/>
          </w:tcPr>
          <w:p>
            <w:r>
              <w:t>24.35</w:t>
            </w:r>
          </w:p>
        </w:tc>
        <w:tc>
          <w:tcPr>
            <w:tcMar>
              <w:top w:w="0.0" w:type="dxa"/>
              <w:left w:w="100.0" w:type="dxa"/>
              <w:bottom w:w="0.0" w:type="dxa"/>
              <w:right w:w="100.0" w:type="dxa"/>
            </w:tcMar>
            <w:vAlign w:val="top"/>
          </w:tcPr>
          <w:p>
            <w:r>
              <w:t>25.02</w:t>
            </w:r>
          </w:p>
        </w:tc>
        <w:tc>
          <w:tcPr>
            <w:tcMar>
              <w:top w:w="0.0" w:type="dxa"/>
              <w:left w:w="100.0" w:type="dxa"/>
              <w:bottom w:w="0.0" w:type="dxa"/>
              <w:right w:w="100.0" w:type="dxa"/>
            </w:tcMar>
            <w:vAlign w:val="top"/>
          </w:tcPr>
          <w:p>
            <w:r>
              <w:t>43.20</w:t>
            </w:r>
          </w:p>
        </w:tc>
        <w:tc>
          <w:tcPr>
            <w:tcMar>
              <w:top w:w="0.0" w:type="dxa"/>
              <w:left w:w="100.0" w:type="dxa"/>
              <w:bottom w:w="0.0" w:type="dxa"/>
              <w:right w:w="100.0" w:type="dxa"/>
            </w:tcMar>
            <w:vAlign w:val="top"/>
          </w:tcPr>
          <w:p>
            <w:r>
              <w:t>-50.00</w:t>
            </w:r>
          </w:p>
        </w:tc>
        <w:tc>
          <w:tcPr>
            <w:tcMar>
              <w:top w:w="0.0" w:type="dxa"/>
              <w:left w:w="100.0" w:type="dxa"/>
              <w:bottom w:w="0.0" w:type="dxa"/>
              <w:right w:w="100.0" w:type="dxa"/>
            </w:tcMar>
            <w:vAlign w:val="top"/>
          </w:tcPr>
          <w:p>
            <w:r>
              <w:t>-13.11</w:t>
            </w:r>
          </w:p>
        </w:tc>
        <w:tc>
          <w:tcPr>
            <w:tcMar>
              <w:top w:w="0.0" w:type="dxa"/>
              <w:left w:w="100.0" w:type="dxa"/>
              <w:bottom w:w="0.0" w:type="dxa"/>
              <w:right w:w="100.0" w:type="dxa"/>
            </w:tcMar>
            <w:vAlign w:val="top"/>
          </w:tcPr>
          <w:p>
            <w:r>
              <w:t>60.87</w:t>
            </w:r>
          </w:p>
        </w:tc>
        <w:tc>
          <w:tcPr>
            <w:tcMar>
              <w:top w:w="0.0" w:type="dxa"/>
              <w:left w:w="100.0" w:type="dxa"/>
              <w:bottom w:w="0.0" w:type="dxa"/>
              <w:right w:w="100.0" w:type="dxa"/>
            </w:tcMar>
            <w:vAlign w:val="top"/>
          </w:tcPr>
          <w:p>
            <w:r>
              <w:t>99.97</w:t>
            </w:r>
          </w:p>
        </w:tc>
      </w:tr>
      <w:tr>
        <w:trPr>
          <w:cantSplit w:val="0"/>
          <w:trHeight w:val="825" w:hRule="atLeast"/>
          <w:tblHeader w:val="0"/>
        </w:trPr>
        <w:tc>
          <w:tcPr>
            <w:tcMar>
              <w:top w:w="0.0" w:type="dxa"/>
              <w:left w:w="100.0" w:type="dxa"/>
              <w:bottom w:w="0.0" w:type="dxa"/>
              <w:right w:w="100.0" w:type="dxa"/>
            </w:tcMar>
            <w:vAlign w:val="top"/>
          </w:tcPr>
          <w:p>
            <w:r>
              <w:t>Trade Openness (%)</w:t>
            </w:r>
          </w:p>
        </w:tc>
        <w:tc>
          <w:tcPr>
            <w:tcMar>
              <w:top w:w="0.0" w:type="dxa"/>
              <w:left w:w="100.0" w:type="dxa"/>
              <w:bottom w:w="0.0" w:type="dxa"/>
              <w:right w:w="100.0" w:type="dxa"/>
            </w:tcMar>
            <w:vAlign w:val="top"/>
          </w:tcPr>
          <w:p>
            <w:r>
              <w:t>85.00</w:t>
            </w:r>
          </w:p>
        </w:tc>
        <w:tc>
          <w:tcPr>
            <w:tcMar>
              <w:top w:w="0.0" w:type="dxa"/>
              <w:left w:w="100.0" w:type="dxa"/>
              <w:bottom w:w="0.0" w:type="dxa"/>
              <w:right w:w="100.0" w:type="dxa"/>
            </w:tcMar>
            <w:vAlign w:val="top"/>
          </w:tcPr>
          <w:p>
            <w:r>
              <w:t>85.18</w:t>
            </w:r>
          </w:p>
        </w:tc>
        <w:tc>
          <w:tcPr>
            <w:tcMar>
              <w:top w:w="0.0" w:type="dxa"/>
              <w:left w:w="100.0" w:type="dxa"/>
              <w:bottom w:w="0.0" w:type="dxa"/>
              <w:right w:w="100.0" w:type="dxa"/>
            </w:tcMar>
            <w:vAlign w:val="top"/>
          </w:tcPr>
          <w:p>
            <w:r>
              <w:t>37.60</w:t>
            </w:r>
          </w:p>
        </w:tc>
        <w:tc>
          <w:tcPr>
            <w:tcMar>
              <w:top w:w="0.0" w:type="dxa"/>
              <w:left w:w="100.0" w:type="dxa"/>
              <w:bottom w:w="0.0" w:type="dxa"/>
              <w:right w:w="100.0" w:type="dxa"/>
            </w:tcMar>
            <w:vAlign w:val="top"/>
          </w:tcPr>
          <w:p>
            <w:r>
              <w:t>20.08</w:t>
            </w:r>
          </w:p>
        </w:tc>
        <w:tc>
          <w:tcPr>
            <w:tcMar>
              <w:top w:w="0.0" w:type="dxa"/>
              <w:left w:w="100.0" w:type="dxa"/>
              <w:bottom w:w="0.0" w:type="dxa"/>
              <w:right w:w="100.0" w:type="dxa"/>
            </w:tcMar>
            <w:vAlign w:val="top"/>
          </w:tcPr>
          <w:p>
            <w:r>
              <w:t>52.59</w:t>
            </w:r>
          </w:p>
        </w:tc>
        <w:tc>
          <w:tcPr>
            <w:tcMar>
              <w:top w:w="0.0" w:type="dxa"/>
              <w:left w:w="100.0" w:type="dxa"/>
              <w:bottom w:w="0.0" w:type="dxa"/>
              <w:right w:w="100.0" w:type="dxa"/>
            </w:tcMar>
            <w:vAlign w:val="top"/>
          </w:tcPr>
          <w:p>
            <w:r>
              <w:t>117.78</w:t>
            </w:r>
          </w:p>
        </w:tc>
        <w:tc>
          <w:tcPr>
            <w:tcMar>
              <w:top w:w="0.0" w:type="dxa"/>
              <w:left w:w="100.0" w:type="dxa"/>
              <w:bottom w:w="0.0" w:type="dxa"/>
              <w:right w:w="100.0" w:type="dxa"/>
            </w:tcMar>
            <w:vAlign w:val="top"/>
          </w:tcPr>
          <w:p>
            <w:r>
              <w:t>149.90</w:t>
            </w:r>
          </w:p>
        </w:tc>
      </w:tr>
      <w:tr>
        <w:trPr>
          <w:cantSplit w:val="0"/>
          <w:trHeight w:val="825" w:hRule="atLeast"/>
          <w:tblHeader w:val="0"/>
        </w:trPr>
        <w:tc>
          <w:tcPr>
            <w:tcMar>
              <w:top w:w="0.0" w:type="dxa"/>
              <w:left w:w="100.0" w:type="dxa"/>
              <w:bottom w:w="0.0" w:type="dxa"/>
              <w:right w:w="100.0" w:type="dxa"/>
            </w:tcMar>
            <w:vAlign w:val="top"/>
          </w:tcPr>
          <w:p>
            <w:r>
              <w:t>US Fed Funds Rate (%)</w:t>
            </w:r>
          </w:p>
        </w:tc>
        <w:tc>
          <w:tcPr>
            <w:tcMar>
              <w:top w:w="0.0" w:type="dxa"/>
              <w:left w:w="100.0" w:type="dxa"/>
              <w:bottom w:w="0.0" w:type="dxa"/>
              <w:right w:w="100.0" w:type="dxa"/>
            </w:tcMar>
            <w:vAlign w:val="top"/>
          </w:tcPr>
          <w:p>
            <w:r>
              <w:t>7.09</w:t>
            </w:r>
          </w:p>
        </w:tc>
        <w:tc>
          <w:tcPr>
            <w:tcMar>
              <w:top w:w="0.0" w:type="dxa"/>
              <w:left w:w="100.0" w:type="dxa"/>
              <w:bottom w:w="0.0" w:type="dxa"/>
              <w:right w:w="100.0" w:type="dxa"/>
            </w:tcMar>
            <w:vAlign w:val="top"/>
          </w:tcPr>
          <w:p>
            <w:r>
              <w:t>7.50</w:t>
            </w:r>
          </w:p>
        </w:tc>
        <w:tc>
          <w:tcPr>
            <w:tcMar>
              <w:top w:w="0.0" w:type="dxa"/>
              <w:left w:w="100.0" w:type="dxa"/>
              <w:bottom w:w="0.0" w:type="dxa"/>
              <w:right w:w="100.0" w:type="dxa"/>
            </w:tcMar>
            <w:vAlign w:val="top"/>
          </w:tcPr>
          <w:p>
            <w:r>
              <w:t>4.07</w:t>
            </w:r>
          </w:p>
        </w:tc>
        <w:tc>
          <w:tcPr>
            <w:tcMar>
              <w:top w:w="0.0" w:type="dxa"/>
              <w:left w:w="100.0" w:type="dxa"/>
              <w:bottom w:w="0.0" w:type="dxa"/>
              <w:right w:w="100.0" w:type="dxa"/>
            </w:tcMar>
            <w:vAlign w:val="top"/>
          </w:tcPr>
          <w:p>
            <w:r>
              <w:t>0.30</w:t>
            </w:r>
          </w:p>
        </w:tc>
        <w:tc>
          <w:tcPr>
            <w:tcMar>
              <w:top w:w="0.0" w:type="dxa"/>
              <w:left w:w="100.0" w:type="dxa"/>
              <w:bottom w:w="0.0" w:type="dxa"/>
              <w:right w:w="100.0" w:type="dxa"/>
            </w:tcMar>
            <w:vAlign w:val="top"/>
          </w:tcPr>
          <w:p>
            <w:r>
              <w:t>3.45</w:t>
            </w:r>
          </w:p>
        </w:tc>
        <w:tc>
          <w:tcPr>
            <w:tcMar>
              <w:top w:w="0.0" w:type="dxa"/>
              <w:left w:w="100.0" w:type="dxa"/>
              <w:bottom w:w="0.0" w:type="dxa"/>
              <w:right w:w="100.0" w:type="dxa"/>
            </w:tcMar>
            <w:vAlign w:val="top"/>
          </w:tcPr>
          <w:p>
            <w:r>
              <w:t>9.27</w:t>
            </w:r>
          </w:p>
        </w:tc>
        <w:tc>
          <w:tcPr>
            <w:tcMar>
              <w:top w:w="0.0" w:type="dxa"/>
              <w:left w:w="100.0" w:type="dxa"/>
              <w:bottom w:w="0.0" w:type="dxa"/>
              <w:right w:w="100.0" w:type="dxa"/>
            </w:tcMar>
            <w:vAlign w:val="top"/>
          </w:tcPr>
          <w:p>
            <w:r>
              <w:t>14.65</w:t>
            </w:r>
          </w:p>
        </w:tc>
      </w:tr>
      <w:tr>
        <w:trPr>
          <w:cantSplit w:val="0"/>
          <w:trHeight w:val="1110" w:hRule="atLeast"/>
          <w:tblHeader w:val="0"/>
        </w:trPr>
        <w:tc>
          <w:tcPr>
            <w:tcMar>
              <w:top w:w="0.0" w:type="dxa"/>
              <w:left w:w="100.0" w:type="dxa"/>
              <w:bottom w:w="0.0" w:type="dxa"/>
              <w:right w:w="100.0" w:type="dxa"/>
            </w:tcMar>
            <w:vAlign w:val="top"/>
          </w:tcPr>
          <w:p>
            <w:r>
              <w:t>World GDP Growth (%)</w:t>
            </w:r>
          </w:p>
        </w:tc>
        <w:tc>
          <w:tcPr>
            <w:tcMar>
              <w:top w:w="0.0" w:type="dxa"/>
              <w:left w:w="100.0" w:type="dxa"/>
              <w:bottom w:w="0.0" w:type="dxa"/>
              <w:right w:w="100.0" w:type="dxa"/>
            </w:tcMar>
            <w:vAlign w:val="top"/>
          </w:tcPr>
          <w:p>
            <w:r>
              <w:t>1.32</w:t>
            </w:r>
          </w:p>
        </w:tc>
        <w:tc>
          <w:tcPr>
            <w:tcMar>
              <w:top w:w="0.0" w:type="dxa"/>
              <w:left w:w="100.0" w:type="dxa"/>
              <w:bottom w:w="0.0" w:type="dxa"/>
              <w:right w:w="100.0" w:type="dxa"/>
            </w:tcMar>
            <w:vAlign w:val="top"/>
          </w:tcPr>
          <w:p>
            <w:r>
              <w:t>0.96</w:t>
            </w:r>
          </w:p>
        </w:tc>
        <w:tc>
          <w:tcPr>
            <w:tcMar>
              <w:top w:w="0.0" w:type="dxa"/>
              <w:left w:w="100.0" w:type="dxa"/>
              <w:bottom w:w="0.0" w:type="dxa"/>
              <w:right w:w="100.0" w:type="dxa"/>
            </w:tcMar>
            <w:vAlign w:val="top"/>
          </w:tcPr>
          <w:p>
            <w:r>
              <w:t>2.64</w:t>
            </w:r>
          </w:p>
        </w:tc>
        <w:tc>
          <w:tcPr>
            <w:tcMar>
              <w:top w:w="0.0" w:type="dxa"/>
              <w:left w:w="100.0" w:type="dxa"/>
              <w:bottom w:w="0.0" w:type="dxa"/>
              <w:right w:w="100.0" w:type="dxa"/>
            </w:tcMar>
            <w:vAlign w:val="top"/>
          </w:tcPr>
          <w:p>
            <w:r>
              <w:t>-2.99</w:t>
            </w:r>
          </w:p>
        </w:tc>
        <w:tc>
          <w:tcPr>
            <w:tcMar>
              <w:top w:w="0.0" w:type="dxa"/>
              <w:left w:w="100.0" w:type="dxa"/>
              <w:bottom w:w="0.0" w:type="dxa"/>
              <w:right w:w="100.0" w:type="dxa"/>
            </w:tcMar>
            <w:vAlign w:val="top"/>
          </w:tcPr>
          <w:p>
            <w:r>
              <w:t>-0.61</w:t>
            </w:r>
          </w:p>
        </w:tc>
        <w:tc>
          <w:tcPr>
            <w:tcMar>
              <w:top w:w="0.0" w:type="dxa"/>
              <w:left w:w="100.0" w:type="dxa"/>
              <w:bottom w:w="0.0" w:type="dxa"/>
              <w:right w:w="100.0" w:type="dxa"/>
            </w:tcMar>
            <w:vAlign w:val="top"/>
          </w:tcPr>
          <w:p>
            <w:r>
              <w:t>3.71</w:t>
            </w:r>
          </w:p>
        </w:tc>
        <w:tc>
          <w:tcPr>
            <w:tcMar>
              <w:top w:w="0.0" w:type="dxa"/>
              <w:left w:w="100.0" w:type="dxa"/>
              <w:bottom w:w="0.0" w:type="dxa"/>
              <w:right w:w="100.0" w:type="dxa"/>
            </w:tcMar>
            <w:vAlign w:val="top"/>
          </w:tcPr>
          <w:p>
            <w:r>
              <w:t>5.79</w:t>
            </w:r>
          </w:p>
        </w:tc>
      </w:tr>
      <w:tr>
        <w:trPr>
          <w:cantSplit w:val="0"/>
          <w:trHeight w:val="555" w:hRule="atLeast"/>
          <w:tblHeader w:val="0"/>
        </w:trPr>
        <w:tc>
          <w:tcPr>
            <w:tcMar>
              <w:top w:w="0.0" w:type="dxa"/>
              <w:left w:w="100.0" w:type="dxa"/>
              <w:bottom w:w="0.0" w:type="dxa"/>
              <w:right w:w="100.0" w:type="dxa"/>
            </w:tcMar>
            <w:vAlign w:val="top"/>
          </w:tcPr>
          <w:p>
            <w:r>
              <w:t>Oil Price Index</w:t>
            </w:r>
          </w:p>
        </w:tc>
        <w:tc>
          <w:tcPr>
            <w:tcMar>
              <w:top w:w="0.0" w:type="dxa"/>
              <w:left w:w="100.0" w:type="dxa"/>
              <w:bottom w:w="0.0" w:type="dxa"/>
              <w:right w:w="100.0" w:type="dxa"/>
            </w:tcMar>
            <w:vAlign w:val="top"/>
          </w:tcPr>
          <w:p>
            <w:r>
              <w:t>114.57</w:t>
            </w:r>
          </w:p>
        </w:tc>
        <w:tc>
          <w:tcPr>
            <w:tcMar>
              <w:top w:w="0.0" w:type="dxa"/>
              <w:left w:w="100.0" w:type="dxa"/>
              <w:bottom w:w="0.0" w:type="dxa"/>
              <w:right w:w="100.0" w:type="dxa"/>
            </w:tcMar>
            <w:vAlign w:val="top"/>
          </w:tcPr>
          <w:p>
            <w:r>
              <w:t>119.23</w:t>
            </w:r>
          </w:p>
        </w:tc>
        <w:tc>
          <w:tcPr>
            <w:tcMar>
              <w:top w:w="0.0" w:type="dxa"/>
              <w:left w:w="100.0" w:type="dxa"/>
              <w:bottom w:w="0.0" w:type="dxa"/>
              <w:right w:w="100.0" w:type="dxa"/>
            </w:tcMar>
            <w:vAlign w:val="top"/>
          </w:tcPr>
          <w:p>
            <w:r>
              <w:t>35.70</w:t>
            </w:r>
          </w:p>
        </w:tc>
        <w:tc>
          <w:tcPr>
            <w:tcMar>
              <w:top w:w="0.0" w:type="dxa"/>
              <w:left w:w="100.0" w:type="dxa"/>
              <w:bottom w:w="0.0" w:type="dxa"/>
              <w:right w:w="100.0" w:type="dxa"/>
            </w:tcMar>
            <w:vAlign w:val="top"/>
          </w:tcPr>
          <w:p>
            <w:r>
              <w:t>51.37</w:t>
            </w:r>
          </w:p>
        </w:tc>
        <w:tc>
          <w:tcPr>
            <w:tcMar>
              <w:top w:w="0.0" w:type="dxa"/>
              <w:left w:w="100.0" w:type="dxa"/>
              <w:bottom w:w="0.0" w:type="dxa"/>
              <w:right w:w="100.0" w:type="dxa"/>
            </w:tcMar>
            <w:vAlign w:val="top"/>
          </w:tcPr>
          <w:p>
            <w:r>
              <w:t>82.99</w:t>
            </w:r>
          </w:p>
        </w:tc>
        <w:tc>
          <w:tcPr>
            <w:tcMar>
              <w:top w:w="0.0" w:type="dxa"/>
              <w:left w:w="100.0" w:type="dxa"/>
              <w:bottom w:w="0.0" w:type="dxa"/>
              <w:right w:w="100.0" w:type="dxa"/>
            </w:tcMar>
            <w:vAlign w:val="top"/>
          </w:tcPr>
          <w:p>
            <w:r>
              <w:t>150.00</w:t>
            </w:r>
          </w:p>
        </w:tc>
        <w:tc>
          <w:tcPr>
            <w:tcMar>
              <w:top w:w="0.0" w:type="dxa"/>
              <w:left w:w="100.0" w:type="dxa"/>
              <w:bottom w:w="0.0" w:type="dxa"/>
              <w:right w:w="100.0" w:type="dxa"/>
            </w:tcMar>
            <w:vAlign w:val="top"/>
          </w:tcPr>
          <w:p>
            <w:r>
              <w:t>169.55</w:t>
            </w:r>
          </w:p>
        </w:tc>
      </w:tr>
      <w:tr>
        <w:trPr>
          <w:cantSplit w:val="0"/>
          <w:trHeight w:val="270" w:hRule="atLeast"/>
          <w:tblHeader w:val="0"/>
        </w:trPr>
        <w:tc>
          <w:tcPr>
            <w:tcMar>
              <w:top w:w="0.0" w:type="dxa"/>
              <w:left w:w="100.0" w:type="dxa"/>
              <w:bottom w:w="0.0" w:type="dxa"/>
              <w:right w:w="100.0" w:type="dxa"/>
            </w:tcMar>
            <w:vAlign w:val="top"/>
          </w:tcPr>
          <w:p>
            <w:r>
              <w:t>VIX</w:t>
            </w:r>
          </w:p>
        </w:tc>
        <w:tc>
          <w:tcPr>
            <w:tcMar>
              <w:top w:w="0.0" w:type="dxa"/>
              <w:left w:w="100.0" w:type="dxa"/>
              <w:bottom w:w="0.0" w:type="dxa"/>
              <w:right w:w="100.0" w:type="dxa"/>
            </w:tcMar>
            <w:vAlign w:val="top"/>
          </w:tcPr>
          <w:p>
            <w:r>
              <w:t>46.77</w:t>
            </w:r>
          </w:p>
        </w:tc>
        <w:tc>
          <w:tcPr>
            <w:tcMar>
              <w:top w:w="0.0" w:type="dxa"/>
              <w:left w:w="100.0" w:type="dxa"/>
              <w:bottom w:w="0.0" w:type="dxa"/>
              <w:right w:w="100.0" w:type="dxa"/>
            </w:tcMar>
            <w:vAlign w:val="top"/>
          </w:tcPr>
          <w:p>
            <w:r>
              <w:t>45.08</w:t>
            </w:r>
          </w:p>
        </w:tc>
        <w:tc>
          <w:tcPr>
            <w:tcMar>
              <w:top w:w="0.0" w:type="dxa"/>
              <w:left w:w="100.0" w:type="dxa"/>
              <w:bottom w:w="0.0" w:type="dxa"/>
              <w:right w:w="100.0" w:type="dxa"/>
            </w:tcMar>
            <w:vAlign w:val="top"/>
          </w:tcPr>
          <w:p>
            <w:r>
              <w:t>20.88</w:t>
            </w:r>
          </w:p>
        </w:tc>
        <w:tc>
          <w:tcPr>
            <w:tcMar>
              <w:top w:w="0.0" w:type="dxa"/>
              <w:left w:w="100.0" w:type="dxa"/>
              <w:bottom w:w="0.0" w:type="dxa"/>
              <w:right w:w="100.0" w:type="dxa"/>
            </w:tcMar>
            <w:vAlign w:val="top"/>
          </w:tcPr>
          <w:p>
            <w:r>
              <w:t>11.92</w:t>
            </w:r>
          </w:p>
        </w:tc>
        <w:tc>
          <w:tcPr>
            <w:tcMar>
              <w:top w:w="0.0" w:type="dxa"/>
              <w:left w:w="100.0" w:type="dxa"/>
              <w:bottom w:w="0.0" w:type="dxa"/>
              <w:right w:w="100.0" w:type="dxa"/>
            </w:tcMar>
            <w:vAlign w:val="top"/>
          </w:tcPr>
          <w:p>
            <w:r>
              <w:t>30.08</w:t>
            </w:r>
          </w:p>
        </w:tc>
        <w:tc>
          <w:tcPr>
            <w:tcMar>
              <w:top w:w="0.0" w:type="dxa"/>
              <w:left w:w="100.0" w:type="dxa"/>
              <w:bottom w:w="0.0" w:type="dxa"/>
              <w:right w:w="100.0" w:type="dxa"/>
            </w:tcMar>
            <w:vAlign w:val="top"/>
          </w:tcPr>
          <w:p>
            <w:r>
              <w:t>66.50</w:t>
            </w:r>
          </w:p>
        </w:tc>
        <w:tc>
          <w:tcPr>
            <w:tcMar>
              <w:top w:w="0.0" w:type="dxa"/>
              <w:left w:w="100.0" w:type="dxa"/>
              <w:bottom w:w="0.0" w:type="dxa"/>
              <w:right w:w="100.0" w:type="dxa"/>
            </w:tcMar>
            <w:vAlign w:val="top"/>
          </w:tcPr>
          <w:p>
            <w:r>
              <w:t>79.12</w:t>
            </w:r>
          </w:p>
        </w:tc>
      </w:tr>
      <w:tr>
        <w:trPr>
          <w:cantSplit w:val="0"/>
          <w:trHeight w:val="825" w:hRule="atLeast"/>
          <w:tblHeader w:val="0"/>
        </w:trPr>
        <w:tc>
          <w:tcPr>
            <w:tcMar>
              <w:top w:w="0.0" w:type="dxa"/>
              <w:left w:w="100.0" w:type="dxa"/>
              <w:bottom w:w="0.0" w:type="dxa"/>
              <w:right w:w="100.0" w:type="dxa"/>
            </w:tcMar>
            <w:vAlign w:val="top"/>
          </w:tcPr>
          <w:p>
            <w:r>
              <w:t>Political Stability (ICRG)</w:t>
            </w:r>
          </w:p>
        </w:tc>
        <w:tc>
          <w:tcPr>
            <w:tcMar>
              <w:top w:w="0.0" w:type="dxa"/>
              <w:left w:w="100.0" w:type="dxa"/>
              <w:bottom w:w="0.0" w:type="dxa"/>
              <w:right w:w="100.0" w:type="dxa"/>
            </w:tcMar>
            <w:vAlign w:val="top"/>
          </w:tcPr>
          <w:p>
            <w:r>
              <w:t>60.10</w:t>
            </w:r>
          </w:p>
        </w:tc>
        <w:tc>
          <w:tcPr>
            <w:tcMar>
              <w:top w:w="0.0" w:type="dxa"/>
              <w:left w:w="100.0" w:type="dxa"/>
              <w:bottom w:w="0.0" w:type="dxa"/>
              <w:right w:w="100.0" w:type="dxa"/>
            </w:tcMar>
            <w:vAlign w:val="top"/>
          </w:tcPr>
          <w:p>
            <w:r>
              <w:t>59.73</w:t>
            </w:r>
          </w:p>
        </w:tc>
        <w:tc>
          <w:tcPr>
            <w:tcMar>
              <w:top w:w="0.0" w:type="dxa"/>
              <w:left w:w="100.0" w:type="dxa"/>
              <w:bottom w:w="0.0" w:type="dxa"/>
              <w:right w:w="100.0" w:type="dxa"/>
            </w:tcMar>
            <w:vAlign w:val="top"/>
          </w:tcPr>
          <w:p>
            <w:r>
              <w:t>23.30</w:t>
            </w:r>
          </w:p>
        </w:tc>
        <w:tc>
          <w:tcPr>
            <w:tcMar>
              <w:top w:w="0.0" w:type="dxa"/>
              <w:left w:w="100.0" w:type="dxa"/>
              <w:bottom w:w="0.0" w:type="dxa"/>
              <w:right w:w="100.0" w:type="dxa"/>
            </w:tcMar>
            <w:vAlign w:val="top"/>
          </w:tcPr>
          <w:p>
            <w:r>
              <w:t>20.05</w:t>
            </w:r>
          </w:p>
        </w:tc>
        <w:tc>
          <w:tcPr>
            <w:tcMar>
              <w:top w:w="0.0" w:type="dxa"/>
              <w:left w:w="100.0" w:type="dxa"/>
              <w:bottom w:w="0.0" w:type="dxa"/>
              <w:right w:w="100.0" w:type="dxa"/>
            </w:tcMar>
            <w:vAlign w:val="top"/>
          </w:tcPr>
          <w:p>
            <w:r>
              <w:t>39.97</w:t>
            </w:r>
          </w:p>
        </w:tc>
        <w:tc>
          <w:tcPr>
            <w:tcMar>
              <w:top w:w="0.0" w:type="dxa"/>
              <w:left w:w="100.0" w:type="dxa"/>
              <w:bottom w:w="0.0" w:type="dxa"/>
              <w:right w:w="100.0" w:type="dxa"/>
            </w:tcMar>
            <w:vAlign w:val="top"/>
          </w:tcPr>
          <w:p>
            <w:r>
              <w:t>80.91</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Election Year (Dummy)</w:t>
            </w:r>
          </w:p>
        </w:tc>
        <w:tc>
          <w:tcPr>
            <w:tcMar>
              <w:top w:w="0.0" w:type="dxa"/>
              <w:left w:w="100.0" w:type="dxa"/>
              <w:bottom w:w="0.0" w:type="dxa"/>
              <w:right w:w="100.0" w:type="dxa"/>
            </w:tcMar>
            <w:vAlign w:val="top"/>
          </w:tcPr>
          <w:p>
            <w:r>
              <w:t>0.20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0.40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The dataset is characterised by a high degree of class imbalance, with approximately 5.5 per cent of observations classified as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 out test set and on a temporal test set (train up to 2010, test after 2010). Table 4.2 reports the primary country hold out results. Evaluation prioritises default class F1 score, recall, and PR 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 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 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 LSTM + 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0.110</w:t>
            </w:r>
          </w:p>
        </w:tc>
        <w:tc>
          <w:tcPr>
            <w:shd w:fill="auto" w:val="clear"/>
            <w:tcMar>
              <w:top w:w="100.0" w:type="dxa"/>
              <w:left w:w="100.0" w:type="dxa"/>
              <w:bottom w:w="100.0" w:type="dxa"/>
              <w:right w:w="100.0" w:type="dxa"/>
            </w:tcMar>
            <w:vAlign w:val="top"/>
          </w:tcPr>
          <w:p>
            <w:r>
              <w:t>0.100</w:t>
            </w:r>
          </w:p>
        </w:tc>
        <w:tc>
          <w:tcPr>
            <w:shd w:fill="auto" w:val="clear"/>
            <w:tcMar>
              <w:top w:w="100.0" w:type="dxa"/>
              <w:left w:w="100.0" w:type="dxa"/>
              <w:bottom w:w="100.0" w:type="dxa"/>
              <w:right w:w="100.0" w:type="dxa"/>
            </w:tcMar>
            <w:vAlign w:val="top"/>
          </w:tcPr>
          <w:p>
            <w:r>
              <w:t>0.076</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100.0%</w:t>
            </w:r>
          </w:p>
        </w:tc>
        <w:tc>
          <w:tcPr>
            <w:shd w:fill="auto" w:val="clear"/>
            <w:tcMar>
              <w:top w:w="100.0" w:type="dxa"/>
              <w:left w:w="100.0" w:type="dxa"/>
              <w:bottom w:w="100.0" w:type="dxa"/>
              <w:right w:w="100.0" w:type="dxa"/>
            </w:tcMar>
            <w:vAlign w:val="top"/>
          </w:tcPr>
          <w:p>
            <w:r>
              <w:t>57.1%</w:t>
            </w:r>
          </w:p>
        </w:tc>
        <w:tc>
          <w:tcPr>
            <w:shd w:fill="auto" w:val="clear"/>
            <w:tcMar>
              <w:top w:w="100.0" w:type="dxa"/>
              <w:left w:w="100.0" w:type="dxa"/>
              <w:bottom w:w="100.0" w:type="dxa"/>
              <w:right w:w="100.0" w:type="dxa"/>
            </w:tcMar>
            <w:vAlign w:val="top"/>
          </w:tcPr>
          <w:p>
            <w:r>
              <w:t>9.4%</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5.8%</w:t>
            </w:r>
          </w:p>
        </w:tc>
        <w:tc>
          <w:tcPr>
            <w:shd w:fill="auto" w:val="clear"/>
            <w:tcMar>
              <w:top w:w="100.0" w:type="dxa"/>
              <w:left w:w="100.0" w:type="dxa"/>
              <w:bottom w:w="100.0" w:type="dxa"/>
              <w:right w:w="100.0" w:type="dxa"/>
            </w:tcMar>
            <w:vAlign w:val="top"/>
          </w:tcPr>
          <w:p>
            <w:r>
              <w:t>5.5%</w:t>
            </w:r>
          </w:p>
        </w:tc>
        <w:tc>
          <w:tcPr>
            <w:shd w:fill="auto" w:val="clear"/>
            <w:tcMar>
              <w:top w:w="100.0" w:type="dxa"/>
              <w:left w:w="100.0" w:type="dxa"/>
              <w:bottom w:w="100.0" w:type="dxa"/>
              <w:right w:w="100.0" w:type="dxa"/>
            </w:tcMar>
            <w:vAlign w:val="top"/>
          </w:tcPr>
          <w:p>
            <w:r>
              <w:t>6.4%</w:t>
            </w:r>
          </w:p>
        </w:tc>
      </w:tr>
      <w:tr>
        <w:trPr>
          <w:cantSplit w:val="0"/>
          <w:tblHeader w:val="0"/>
        </w:trPr>
        <w:tc>
          <w:tcPr>
            <w:shd w:fill="auto" w:val="clear"/>
            <w:tcMar>
              <w:top w:w="100.0" w:type="dxa"/>
              <w:left w:w="100.0" w:type="dxa"/>
              <w:bottom w:w="100.0" w:type="dxa"/>
              <w:right w:w="100.0" w:type="dxa"/>
            </w:tcMar>
            <w:vAlign w:val="top"/>
          </w:tcPr>
          <w:p>
            <w:r>
              <w:t>PR 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0.057</w:t>
            </w:r>
          </w:p>
        </w:tc>
      </w:tr>
      <w:tr>
        <w:trPr>
          <w:cantSplit w:val="0"/>
          <w:tblHeader w:val="0"/>
        </w:trPr>
        <w:tc>
          <w:tcPr>
            <w:shd w:fill="auto" w:val="clear"/>
            <w:tcMar>
              <w:top w:w="100.0" w:type="dxa"/>
              <w:left w:w="100.0" w:type="dxa"/>
              <w:bottom w:w="100.0" w:type="dxa"/>
              <w:right w:w="100.0" w:type="dxa"/>
            </w:tcMar>
            <w:vAlign w:val="top"/>
          </w:tcPr>
          <w:p>
            <w:r>
              <w:t>ROC 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0.494</w:t>
            </w:r>
          </w:p>
        </w:tc>
        <w:tc>
          <w:tcPr>
            <w:shd w:fill="auto" w:val="clear"/>
            <w:tcMar>
              <w:top w:w="100.0" w:type="dxa"/>
              <w:left w:w="100.0" w:type="dxa"/>
              <w:bottom w:w="100.0" w:type="dxa"/>
              <w:right w:w="100.0" w:type="dxa"/>
            </w:tcMar>
            <w:vAlign w:val="top"/>
          </w:tcPr>
          <w:p>
            <w:r>
              <w:t>0.460</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5.8%</w:t>
            </w:r>
          </w:p>
        </w:tc>
        <w:tc>
          <w:tcPr>
            <w:shd w:fill="auto" w:val="clear"/>
            <w:tcMar>
              <w:top w:w="100.0" w:type="dxa"/>
              <w:left w:w="100.0" w:type="dxa"/>
              <w:bottom w:w="100.0" w:type="dxa"/>
              <w:right w:w="100.0" w:type="dxa"/>
            </w:tcMar>
            <w:vAlign w:val="top"/>
          </w:tcPr>
          <w:p>
            <w:r>
              <w:t>39.9%</w:t>
            </w:r>
          </w:p>
        </w:tc>
        <w:tc>
          <w:tcPr>
            <w:shd w:fill="auto" w:val="clear"/>
            <w:tcMar>
              <w:top w:w="100.0" w:type="dxa"/>
              <w:left w:w="100.0" w:type="dxa"/>
              <w:bottom w:w="100.0" w:type="dxa"/>
              <w:right w:w="100.0" w:type="dxa"/>
            </w:tcMar>
            <w:vAlign w:val="top"/>
          </w:tcPr>
          <w:p>
            <w:r>
              <w:t>86.3%</w:t>
            </w:r>
          </w:p>
        </w:tc>
      </w:tr>
      <w:tr>
        <w:trPr>
          <w:cantSplit w:val="0"/>
          <w:tblHeader w:val="0"/>
        </w:trPr>
        <w:tc>
          <w:tcPr>
            <w:shd w:fill="auto" w:val="clear"/>
            <w:tcMar>
              <w:top w:w="100.0" w:type="dxa"/>
              <w:left w:w="100.0" w:type="dxa"/>
              <w:bottom w:w="100.0" w:type="dxa"/>
              <w:right w:w="100.0" w:type="dxa"/>
            </w:tcMar>
            <w:vAlign w:val="top"/>
          </w:tcPr>
          <w:p>
            <w:r>
              <w:t>Pseudo R2 / LLR p 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 class F1 score (0.100), followed by logistic regression (0.110), Probit (0.121), and the attention LSTM + XGBoost hybrid (0.076). Logistic regression achieved the highest recall (100.0%), indicating greater sensitivity but lower precision (5.8%). The hybrid model detected 9.4% of defaults with 6.4% precision.</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 AUC values remained modest across models (0.46 to 0.56 on the country hold out set), indicating limited global ranking ability despite threshold tuning. PR AUC values were similarly low (0.06 to 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 out test set. The curve is consistent with the tabulated ROC AUC of approximately 0.46 and confirms that the hybrid model does not substantially outperform random ranking on probability scores alone.</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(0.100) with 57.1% default recall and PR AUC of 0.059.</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 AUC of approximately 0.49 on the country hold out split.</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 out set it achieved F1 of 0.121, recall of 65.7%, and ROC AUC of 0.563, with pseudo R² of 0.009 and an LLR p value of 0.725 (joint significance not achieved).</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 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 LSTM + XGBoost hybrid adds temporal weighting over five year country sequences before gradient boosting. It improved default recall relative to static Probit estimation but did not outperform tuned XGBoost on F1 in the primary country hold out evaluation. Its main contribution is therefore architectural, combining sequence learning with explainable tree outputs, 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 optimal thresholds reported in Table 4.2, all models exhibit low precision for defaults because false positives are costly under severe imbalance. The figure reinforces that threshold choice materially affects recall and precision and that AUROC alone can obscure poor minority 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up to 2010, test after 2010) in addition to the primary country hold out design. On the temporal split, model ranking by F1 was: XGBoost (0.104), Hybrid (Attention LSTM + XGBoost) (0.089), Probit (0.080), Logistic Regression (0.077). XGBoost achieved the highest F1 (0.104). This confirms that ranking across models is not stable across evaluation designs.</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Figure 4.11: Paired t 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In order to assess statistical uncertainty, calibration, and prediction consistency between models, several diagnostic tests were performed. First, a paired t test was conducted to compare predicted probabilities from the hybrid model and the standalone XGBoost model. As illustrated in Figure 4.11, although the distribution of predicted probabilities from both models appeared similar, the paired t test yielded a test statistic of approximately -1.91 with a p value of 0.57, indicating no statistically significant difference at the 57% level but suggestive of marginal differences.</w:t>
      </w:r>
      <w:r w:rsidDel="00000000" w:rsidR="00000000" w:rsidRPr="00000000">
        <w:rPr>
          <w:sz w:val="24"/>
          <w:szCs w:val="24"/>
          <w:rtl w:val="0"/>
        </w:rPr>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Calibration quality was further evaluated using the Hosmer 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 out F1 score was 0.100 (XGBoost). Maximum recall reached 100.0% (logistic regression).</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Machine learning models improve default recall and F1 relative to Probit, but ROC AUC (0.46 to 0.56) and PR AUC remain modest on the country hold out split. XGBoost achieved the highest F1 (0.100); logistic regression achieved the highest recall (100.0%); the hybrid reached 9.4% recall with F1 of 0.076.</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 AUC of approximately 0.52 and a F1 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 out split but low precision and failed joint significance testing (pseudo R² ≈ 0.009; LLR p = 0.725).</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 LSTM encoding with XGBoost and SHAP was implemented and evaluated with leakage aware splits, but it did not outperform XGBoost on F1 in the primary country hold out test. SHAP improved transparency for tree 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 event sovereign risk monitoring that reports honest trade 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non stationarity is a challenge, macroeconomic environments have evolved substantially over four decades, with events such as the Cold War’s end, the global financial crisis, and COVID-19 likely requiring distinct modelling approaches that this global framework cannot fully accommodate.</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5.6 Policy Relevant Predictors</w:t>
      </w:r>
      <w:r w:rsidDel="00000000" w:rsidR="00000000" w:rsidRPr="00000000">
        <w:rPr>
          <w:b w:val="1"/>
          <w:rtl w:val="0"/>
        </w:rPr>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t>5.7 SHAP Model Trade offs and Anomalies</w:t>
      </w:r>
      <w:r w:rsidDel="00000000" w:rsidR="00000000" w:rsidRPr="00000000">
        <w:rPr>
          <w:b w:val="1"/>
          <w:sz w:val="26"/>
          <w:szCs w:val="26"/>
          <w:rtl w:val="0"/>
        </w:rPr>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 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 LSTM + XGBoost pipeline with SHAP explainability and leakage aware evaluation for sovereign default prediction. The results demonstrate incremental gains in sensitivity over Probit, material trade 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