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
              <w:t>https://docs.google.com/document/d/16qeHeyFelMt64LdxHcjgaqV2J435E-N6v25RqJe7fT8/edit?usp=sharing</w:t>
              <w:br/>
              <w:br/>
              <w:t>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 based LSTM sequence encoding and SHAP explainability to predict sovereign debt default. The model is trained on macroeconomic, political, and global financial indicators for 68 countries from 1980 to 2022 using leakage aware country hold 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 class detection when evaluation prioritises recall, F1 score, and PR AUC rather than accuracy. On a country hold out test set (54 training countries, 14 test countries), Probit achieved the highest default class F1 score (0.121), Logistic Regression achieved the highest recall (100.0%), and the attention LSTM + XGBoost hybrid reached 9.4% recall with F1 of 0.076. ROC AUC values remained modest (approximately 0.46 to 0.56), reflecting the difficulty of rare 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 off between predictive performance and interpretability, this thesis contributes a reproducible hybrid framework for sovereign risk surveillance. The findings emphasise that no model delivers uniformly strong performance: tree 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Figure 4.11 Paired t 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Table 4.1: Descriptive Statistics of Key Variables (1980 to 2022) ............................................. 42</w: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Explainable artificial intelligence (XAI) tools such as SHapley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 to 80% accuracy compared to 70 to 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r w:rsidDel="00000000" w:rsidR="00000000" w:rsidRPr="00000000">
        <w:rPr>
          <w:sz w:val="24"/>
          <w:szCs w:val="24"/>
          <w:rtl w:val="0"/>
        </w:rPr>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SHAP values are often adopted in financial risk modelling because they decompose predictions into feature contributions, offering a level of transparency absent in most black 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 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 of sample designs that avoid panel leakage: (1) a country hold 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 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 class recall, F1 score, and PR AUC. Accuracy is reported only as a secondary metric because defaults represent approximately 5.5% of the hold out sample and less than 5% globally, making accuracy misleading for rare 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 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br/>
        <w:t>All models were implemented in Python (version 3.11.13) using libraries including Scikit 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Table 4.1: Descriptive Statistics of Key Variables (1980 to 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 out test set and on a temporal test set (train up to 2010, test after 2010). Table 4.2 reports the primary country hold out results. Evaluation prioritises default class F1 score, recall, and PR AUC; accuracy is secondary because of severe class imbalance. Classification thresholds were tuned on an inner validation split from training data only, and models were refit on the full training sample before test evaluation.</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 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 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 LSTM + 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0.110</w:t>
            </w:r>
          </w:p>
        </w:tc>
        <w:tc>
          <w:tcPr>
            <w:shd w:fill="auto" w:val="clear"/>
            <w:tcMar>
              <w:top w:w="100.0" w:type="dxa"/>
              <w:left w:w="100.0" w:type="dxa"/>
              <w:bottom w:w="100.0" w:type="dxa"/>
              <w:right w:w="100.0" w:type="dxa"/>
            </w:tcMar>
            <w:vAlign w:val="top"/>
          </w:tcPr>
          <w:p>
            <w:r>
              <w:t>0.100</w:t>
            </w:r>
          </w:p>
        </w:tc>
        <w:tc>
          <w:tcPr>
            <w:shd w:fill="auto" w:val="clear"/>
            <w:tcMar>
              <w:top w:w="100.0" w:type="dxa"/>
              <w:left w:w="100.0" w:type="dxa"/>
              <w:bottom w:w="100.0" w:type="dxa"/>
              <w:right w:w="100.0" w:type="dxa"/>
            </w:tcMar>
            <w:vAlign w:val="top"/>
          </w:tcPr>
          <w:p>
            <w:r>
              <w:t>0.076</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100.0%</w:t>
            </w:r>
          </w:p>
        </w:tc>
        <w:tc>
          <w:tcPr>
            <w:shd w:fill="auto" w:val="clear"/>
            <w:tcMar>
              <w:top w:w="100.0" w:type="dxa"/>
              <w:left w:w="100.0" w:type="dxa"/>
              <w:bottom w:w="100.0" w:type="dxa"/>
              <w:right w:w="100.0" w:type="dxa"/>
            </w:tcMar>
            <w:vAlign w:val="top"/>
          </w:tcPr>
          <w:p>
            <w:r>
              <w:t>57.1%</w:t>
            </w:r>
          </w:p>
        </w:tc>
        <w:tc>
          <w:tcPr>
            <w:shd w:fill="auto" w:val="clear"/>
            <w:tcMar>
              <w:top w:w="100.0" w:type="dxa"/>
              <w:left w:w="100.0" w:type="dxa"/>
              <w:bottom w:w="100.0" w:type="dxa"/>
              <w:right w:w="100.0" w:type="dxa"/>
            </w:tcMar>
            <w:vAlign w:val="top"/>
          </w:tcPr>
          <w:p>
            <w:r>
              <w:t>9.4%</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5.8%</w:t>
            </w:r>
          </w:p>
        </w:tc>
        <w:tc>
          <w:tcPr>
            <w:shd w:fill="auto" w:val="clear"/>
            <w:tcMar>
              <w:top w:w="100.0" w:type="dxa"/>
              <w:left w:w="100.0" w:type="dxa"/>
              <w:bottom w:w="100.0" w:type="dxa"/>
              <w:right w:w="100.0" w:type="dxa"/>
            </w:tcMar>
            <w:vAlign w:val="top"/>
          </w:tcPr>
          <w:p>
            <w:r>
              <w:t>5.5%</w:t>
            </w:r>
          </w:p>
        </w:tc>
        <w:tc>
          <w:tcPr>
            <w:shd w:fill="auto" w:val="clear"/>
            <w:tcMar>
              <w:top w:w="100.0" w:type="dxa"/>
              <w:left w:w="100.0" w:type="dxa"/>
              <w:bottom w:w="100.0" w:type="dxa"/>
              <w:right w:w="100.0" w:type="dxa"/>
            </w:tcMar>
            <w:vAlign w:val="top"/>
          </w:tcPr>
          <w:p>
            <w:r>
              <w:t>6.4%</w:t>
            </w:r>
          </w:p>
        </w:tc>
      </w:tr>
      <w:tr>
        <w:trPr>
          <w:cantSplit w:val="0"/>
          <w:tblHeader w:val="0"/>
        </w:trPr>
        <w:tc>
          <w:tcPr>
            <w:shd w:fill="auto" w:val="clear"/>
            <w:tcMar>
              <w:top w:w="100.0" w:type="dxa"/>
              <w:left w:w="100.0" w:type="dxa"/>
              <w:bottom w:w="100.0" w:type="dxa"/>
              <w:right w:w="100.0" w:type="dxa"/>
            </w:tcMar>
            <w:vAlign w:val="top"/>
          </w:tcPr>
          <w:p>
            <w:r>
              <w:t>PR 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0.057</w:t>
            </w:r>
          </w:p>
        </w:tc>
      </w:tr>
      <w:tr>
        <w:trPr>
          <w:cantSplit w:val="0"/>
          <w:tblHeader w:val="0"/>
        </w:trPr>
        <w:tc>
          <w:tcPr>
            <w:shd w:fill="auto" w:val="clear"/>
            <w:tcMar>
              <w:top w:w="100.0" w:type="dxa"/>
              <w:left w:w="100.0" w:type="dxa"/>
              <w:bottom w:w="100.0" w:type="dxa"/>
              <w:right w:w="100.0" w:type="dxa"/>
            </w:tcMar>
            <w:vAlign w:val="top"/>
          </w:tcPr>
          <w:p>
            <w:r>
              <w:t>ROC 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0.494</w:t>
            </w:r>
          </w:p>
        </w:tc>
        <w:tc>
          <w:tcPr>
            <w:shd w:fill="auto" w:val="clear"/>
            <w:tcMar>
              <w:top w:w="100.0" w:type="dxa"/>
              <w:left w:w="100.0" w:type="dxa"/>
              <w:bottom w:w="100.0" w:type="dxa"/>
              <w:right w:w="100.0" w:type="dxa"/>
            </w:tcMar>
            <w:vAlign w:val="top"/>
          </w:tcPr>
          <w:p>
            <w:r>
              <w:t>0.460</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5.8%</w:t>
            </w:r>
          </w:p>
        </w:tc>
        <w:tc>
          <w:tcPr>
            <w:shd w:fill="auto" w:val="clear"/>
            <w:tcMar>
              <w:top w:w="100.0" w:type="dxa"/>
              <w:left w:w="100.0" w:type="dxa"/>
              <w:bottom w:w="100.0" w:type="dxa"/>
              <w:right w:w="100.0" w:type="dxa"/>
            </w:tcMar>
            <w:vAlign w:val="top"/>
          </w:tcPr>
          <w:p>
            <w:r>
              <w:t>39.9%</w:t>
            </w:r>
          </w:p>
        </w:tc>
        <w:tc>
          <w:tcPr>
            <w:shd w:fill="auto" w:val="clear"/>
            <w:tcMar>
              <w:top w:w="100.0" w:type="dxa"/>
              <w:left w:w="100.0" w:type="dxa"/>
              <w:bottom w:w="100.0" w:type="dxa"/>
              <w:right w:w="100.0" w:type="dxa"/>
            </w:tcMar>
            <w:vAlign w:val="top"/>
          </w:tcPr>
          <w:p>
            <w:r>
              <w:t>86.3%</w:t>
            </w:r>
          </w:p>
        </w:tc>
      </w:tr>
      <w:tr>
        <w:trPr>
          <w:cantSplit w:val="0"/>
          <w:tblHeader w:val="0"/>
        </w:trPr>
        <w:tc>
          <w:tcPr>
            <w:shd w:fill="auto" w:val="clear"/>
            <w:tcMar>
              <w:top w:w="100.0" w:type="dxa"/>
              <w:left w:w="100.0" w:type="dxa"/>
              <w:bottom w:w="100.0" w:type="dxa"/>
              <w:right w:w="100.0" w:type="dxa"/>
            </w:tcMar>
            <w:vAlign w:val="top"/>
          </w:tcPr>
          <w:p>
            <w:r>
              <w:t>Pseudo R2 / LLR p 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Probit achieved the highest default class F1 score (0.121), followed by logistic regression (0.110), XGBoost (0.100), and the attention LSTM + XGBoost hybrid (0.076). Logistic Regression achieved the highest recall (100.0%), indicating greater sensitivity but lower precision (5.8%). The hybrid model detected 9.4% of defaults with 6.4%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 AUC values remained modest across models (0.46 to 0.56 on the country hold out set), indicating limited global ranking ability despite threshold tuning. PR AUC values were similarly low (0.06 to 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 out test set. The curve is consistent with the tabulated ROC AUC of approximately 0.46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F1 of 0.100 with 57.1% default recall and PR AUC of 0.059. Probit achieved the highest F1 score (0.121), while Probit achieved the highest ROC AUC (0.56).</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 AUC of approximately 0.49 on the country hold 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 out set it achieved F1 of 0.121, recall of 65.7%, and ROC AUC of 0.563, with pseudo R² of 0.009 and an LLR p 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 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 LSTM + XGBoost hybrid adds temporal weighting over five year country sequences before gradient boosting. It improved default recall relative to static Probit estimation but did not outperform tuned XGBoost on F1 in the primary country hold out evaluation. Its main contribution is therefore architectural, combining sequence learning with explainable tree outputs, 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 optimal thresholds reported in Table 4.2, all models exhibit low precision for defaults because false positives are costly under severe imbalance. The figure reinforces that threshold choice materially affects recall and precision and that AUROC alone can obscure poor minority 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up to 2010, test after 2010) in addition to the primary country hold out design. On the temporal split, model ranking by F1 was: XGBoost (0.104), Hybrid (Attention LSTM + XGBoost) (0.089), Probit (0.080), Logistic Regression (0.077). XGBoost achieved the highest F1 (0.104).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Figure 4.11: Paired t 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In order to assess statistical uncertainty, calibration, and prediction consistency between models, several diagnostic tests were performed. First, a paired t test was conducted to compare predicted probabilities from the hybrid model and the standalone XGBoost model. As illustrated in Figure 4.11, although the distribution of predicted probabilities from both models appeared similar, the paired t test yielded a test statistic of approximately -1.91 with a p value of 0.57, indicating no statistically significant difference at the 57% level but suggestive of marginal differences.</w:t>
      </w:r>
      <w:r w:rsidDel="00000000" w:rsidR="00000000" w:rsidRPr="00000000">
        <w:rPr>
          <w:sz w:val="24"/>
          <w:szCs w:val="24"/>
          <w:rtl w:val="0"/>
        </w:rPr>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Calibration quality was further evaluated using the Hosmer 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 out F1 score was 0.121 (Probit). Maximum recall reached 100.0%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naive baselines, but ROC AUC (0.46 to 0.56) and PR AUC remain modest on the country hold out split. Probit achieved the highest F1 (0.121); Logistic Regression achieved the highest recall (100.0%); the hybrid reached 9.4% recall with F1 of 0.076.</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 AUC of approximately 0.52 and a F1 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 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 LSTM encoding with XGBoost and SHAP was implemented and evaluated with leakage aware splits, but it did not outperform XGBoost on F1 in the primary country hold out test. SHAP improved transparency for tree 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 event sovereign risk monitoring that reports honest trade 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non stationarity is a challenge, macroeconomic environments have evolved substantially over four decades, with events such as the Cold War’s end, the global financial crisis, and COVID-19 likely requiring distinct modelling approaches that this global framework cannot fully accommodate.</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5.6 Policy Relevant Predictors</w:t>
      </w:r>
      <w:r w:rsidDel="00000000" w:rsidR="00000000" w:rsidRPr="00000000">
        <w:rPr>
          <w:b w:val="1"/>
          <w:rtl w:val="0"/>
        </w:rPr>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t>5.7 SHAP Model Trade offs and Anomalies</w:t>
      </w:r>
      <w:r w:rsidDel="00000000" w:rsidR="00000000" w:rsidRPr="00000000">
        <w:rPr>
          <w:b w:val="1"/>
          <w:sz w:val="26"/>
          <w:szCs w:val="26"/>
          <w:rtl w:val="0"/>
        </w:rPr>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 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 LSTM + XGBoost pipeline with SHAP explainability and leakage aware evaluation for sovereign default prediction. The results demonstrate incremental gains in sensitivity over Probit, material trade 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