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GeneratedTitle"/>
      </w:pPr>
      <w:r>
        <w:rPr>
          <w:i/>
        </w:rPr>
        <w:t xml:space="preserve">TEI Simple: towards an amenable TEI</w:t>
      </w:r>
    </w:p>
    <w:p>
      <w:pPr>
        <w:pStyle w:val="Author"/>
      </w:pPr>
      <w:r>
        <w:t>Martin Mueller and Sebastian Rahtz</w:t>
      </w:r>
    </w:p>
    <w:bookmarkStart w:id="20001" w:name="SECTION_1001"/>
    <w:bookmarkEnd w:id="20001"/>
    <w:p>
      <w:pPr>
        <w:pStyle w:val="Heading1"/>
      </w:pPr>
      <w:r>
        <w:rPr/>
        <w:t xml:space="preserve">Summary</w:t>
      </w:r>
    </w:p>
    <w:p>
      <w:r>
        <w:rPr/>
        <w:t xml:space="preserve">TEI Simple aims to define a new </w:t>
      </w:r>
      <w:r>
        <w:rPr>
          <w:i/>
        </w:rPr>
        <w:t xml:space="preserve">highly-constrained</w:t>
      </w:r>
      <w:r>
        <w:rPr/>
        <w:t xml:space="preserve"> and </w:t>
      </w:r>
      <w:r>
        <w:rPr>
          <w:i/>
        </w:rPr>
        <w:t xml:space="preserve">prescriptive</w:t>
      </w:r>
      <w:r>
        <w:rPr/>
        <w:t xml:space="preserve"> subset of the Text Encoding Initiative (TEI) Guidelines suited to the representation of early modern and modern books, a formally-defined set of processing rules which permit modern web applications to easily present and analyze the encoded texts, mapping to other ontologies, and processes to describe the encoding status and richness of a TEI digital text.</w:t>
      </w:r>
    </w:p>
    <w:bookmarkStart w:id="20002" w:name="SECTION_1002"/>
    <w:bookmarkEnd w:id="20002"/>
    <w:p>
      <w:pPr>
        <w:pStyle w:val="Heading1"/>
      </w:pPr>
      <w:r>
        <w:rPr/>
        <w:t xml:space="preserve">Background</w:t>
      </w:r>
    </w:p>
    <w:p>
      <w:r>
        <w:rPr/>
        <w:t xml:space="preserve">The Text Encoding Initiative (TEI) has developed over 20 years into a key technology in text-centric humanities disciplines, with an extremely wide range of applications, from diplomatic editions to dictionaries, from prosopography to speech transcription and linguistic analysis. It has been able to achieve its range of use by adopting a </w:t>
      </w:r>
      <w:r>
        <w:rPr>
          <w:i/>
        </w:rPr>
        <w:t xml:space="preserve">descriptive</w:t>
      </w:r>
      <w:r>
        <w:rPr/>
        <w:t xml:space="preserve"> rather than </w:t>
      </w:r>
      <w:r>
        <w:rPr>
          <w:i/>
        </w:rPr>
        <w:t xml:space="preserve">prescriptive </w:t>
      </w:r>
      <w:r>
        <w:rPr/>
        <w:t xml:space="preserve"> approach , by recommending </w:t>
      </w:r>
      <w:r>
        <w:rPr>
          <w:i/>
        </w:rPr>
        <w:t xml:space="preserve">customization</w:t>
      </w:r>
      <w:r>
        <w:rPr/>
        <w:t xml:space="preserve"> to suit particular projects, and by eschewing any attempt to dictate how the digital texts should be rendered or exchanged. However, this flexibility has come at the cost of relatively limited success in interoperability. In our view there is a distinct set of uses (primarily in the area of digitized ‘European’-style books) that would benefit from a </w:t>
      </w:r>
      <w:r>
        <w:rPr>
          <w:i/>
        </w:rPr>
        <w:t xml:space="preserve">prescriptive</w:t>
      </w:r>
      <w:r>
        <w:rPr/>
        <w:t xml:space="preserve"> recipe for digital text; this will sit alongside other domain-specific, constrained TEI customizations, such as the very successful </w:t>
      </w:r>
      <w:r>
        <w:rPr>
          <w:i/>
        </w:rPr>
        <w:t xml:space="preserve">Epidoc</w:t>
      </w:r>
      <w:r>
        <w:rPr/>
        <w:t xml:space="preserve"> in the epigraphic community. TEI-Simple may become a prototype for a new family of constrained customizations. For instance, a TEI Simple MS for manuscript based work could be built on top of the ENRICH project, drawing on many of the lessons and some of the code for TEI Simple. </w:t>
      </w:r>
    </w:p>
    <w:p>
      <w:r>
        <w:rPr/>
        <w:t xml:space="preserve">The TEI has long maintained an introductory subset (TEI Lite), and a constrained customization for use in outsourcing production to commercial vendors (TEI Tite), but both of these permit enormous variation, and have nothing to say about processing. The present project can be viewed in some ways as a revision of TEI Lite, re-examining the basis of the choices therein, focusing it for a more specific area, and adding a "cradle to grave" processing model that associates the TEI Simple schema with explicit and standardized options for displaying and querying texts. This means being able to specify what a programmer should do with particular TEI elements when they are encountered, allowing programmers to build stylesheets that work for everybody and to query a corpus of documents reliably.</w:t>
      </w:r>
    </w:p>
    <w:p>
      <w:r>
        <w:rPr/>
        <w:t xml:space="preserve">This proposal, TEI Simple, will focus on interoperability, machine generation, and low-cost integration. The TEI architecture facilitates customizations of many kinds; TEI Simple aims to produce a complete 'out of the box' customization which meets the needs of the many users for whom the task of creating a customization is daunting or seems irrelevant. TEI Simple in no way intends to constrain the expressive liberty of encoders who do not think that it is either possible or desirable to follow this path. It does, however, promise to make life easier for those who think there is some virtue in travelling that path as far as it will take you, which for quite a few projects will be far enough. Some users will never feel the need to move beyond it, others will outgrow it, and when they do they will have learned enough to do so.</w:t>
      </w:r>
    </w:p>
    <w:p>
      <w:r>
        <w:rPr/>
        <w:t xml:space="preserve">‘Comparability and interoperability with other resources’ are an increasingly important topic on various Digital Humanities agendas. Echoes of it are found in a recent ‘work set construction’ Mellon grant to the Hathi Trust Research Centre. Under the heading ‘Wissenschaftliche Sammlungen’ it is a major part of an ambitious DARIAH project anchored at the SUB Göttingen. Progress towards it may be slow, tedious, and partial, but ‘simplicity, interoperability, broad use and reuse’, and ‘comparability and interoperability with other resources’ are important goals to keep in mind for many purposes. For a lot of current and future users of the TEI the really important benefits come from the simple stuff, and beyond some level of complexity they begin to feel some sympathy with Andrew Prescott's not very kind phrase about ‘angels dancing on angle brackets.’</w:t>
      </w:r>
      <w:r>
        <w:rPr>
          <w:rStyle w:val="FootnoteReference"/>
        </w:rPr>
        <w:footnoteReference w:id="2"/>
      </w:r>
    </w:p>
    <w:p>
      <w:r>
        <w:rPr/>
        <w:t xml:space="preserve">A major driver for this project is the texts created by phase 1 of the EEBO-TCP project, which will be placed in the public domain on 1 January 2015. Another 45,000 texts will join over the following five years, creating by 2020 an archive of 70,000 consistently encoded books published in England from 1475 to 1700, including works of literature, philosophy, politics, religion, geography, science and all other areas of human endeavor. When we compare the query potential of the EEBO TCP texts in their current and quite simple encoding with flat file versions of those text, it is clear that the difference in query potential is very high, especially if you add to that coarse encoding simple forms of linguistic annotation or named entity tagging that can be added in a largely algorithmic fashion. During 2012 and 2013 extensive work has been undertaken at Northwestern, Michigan and Oxford to enrich these texts and bring them into line with the current TEI Guidelines (where necessary working with the TEI to modify the Guidelines). TEI Simple will use this corpus as a point of departure and will provide its users with a friendlier environment for manipulating EEBO texts in various projects. But TEI Simple should not be understood as an EEBO specific project. We believe that, given the extraordinary degree of internal diversity in the EEBO source files, a project that starts from them can, with appropriate modifications, accommodate a wide range of printed texts differing in language, genre, or time and place of origin. </w:t>
      </w:r>
    </w:p>
    <w:bookmarkStart w:id="20003" w:name="SECTION_1003"/>
    <w:bookmarkEnd w:id="20003"/>
    <w:p>
      <w:pPr>
        <w:pStyle w:val="Heading1"/>
      </w:pPr>
      <w:r>
        <w:rPr/>
        <w:t xml:space="preserve">Objectives</w:t>
      </w:r>
    </w:p>
    <w:p>
      <w:r>
        <w:rPr/>
        <w:t xml:space="preserve">TEI Simple has the following high-level objectives:</w:t>
      </w:r>
    </w:p>
    <w:p>
      <w:pPr>
        <w:pStyle w:val="ListNumber"/>
        <w:numPr>
          <w:ilvl w:val="0"/>
          <w:numId w:val="101"/>
        </w:numPr>
      </w:pPr>
      <w:r>
        <w:rPr/>
        <w:t xml:space="preserve">Definition of a new </w:t>
      </w:r>
      <w:r>
        <w:rPr>
          <w:i/>
        </w:rPr>
        <w:t xml:space="preserve">highly constrained</w:t>
      </w:r>
      <w:r>
        <w:rPr/>
        <w:t xml:space="preserve"> and </w:t>
      </w:r>
      <w:r>
        <w:rPr>
          <w:i/>
        </w:rPr>
        <w:t xml:space="preserve">prescriptive</w:t>
      </w:r>
      <w:r>
        <w:rPr/>
        <w:t xml:space="preserve"> subset of the Text Encoding Initiative (TEI) Guidelines suited to the representation of early modern and modern books. The degree of detail supported will be sufficient to encompass, at a minimum, the current practices of the TCP's EEBO, ECCO, and Evans collections plus those of other major European initiatives such as Text Grid or the DTA in Germany, and the Consortium Cahier in France.</w:t>
      </w:r>
    </w:p>
    <w:p>
      <w:pPr>
        <w:pStyle w:val="ListNumber"/>
        <w:numPr>
          <w:ilvl w:val="0"/>
          <w:numId w:val="101"/>
        </w:numPr>
      </w:pPr>
      <w:r>
        <w:rPr/>
        <w:t xml:space="preserve">Creation of a notation (as an extension to TEI's ODD metalanguage) for specifying processing rules for TEI encoded texts,</w:t>
      </w:r>
      <w:r>
        <w:rPr>
          <w:rStyle w:val="FootnoteReference"/>
        </w:rPr>
        <w:footnoteReference w:id="3"/>
      </w:r>
      <w:r>
        <w:rPr/>
        <w:t xml:space="preserve"> referencing web standards such as XPath, CSS and XSL FO.</w:t>
      </w:r>
    </w:p>
    <w:p>
      <w:pPr>
        <w:pStyle w:val="ListNumber"/>
        <w:numPr>
          <w:ilvl w:val="0"/>
          <w:numId w:val="101"/>
        </w:numPr>
      </w:pPr>
      <w:r>
        <w:rPr/>
        <w:t xml:space="preserve">Reference implementations of processing rules defined for this TEI subset.</w:t>
      </w:r>
    </w:p>
    <w:p>
      <w:pPr>
        <w:pStyle w:val="ListNumber"/>
        <w:numPr>
          <w:ilvl w:val="0"/>
          <w:numId w:val="101"/>
        </w:numPr>
      </w:pPr>
      <w:r>
        <w:rPr/>
        <w:t xml:space="preserve">Formal mapping of the TEI elements used by Simple to the CIDOC CRM, allowing for full interoperability with the Europeana Data Model, in order to facilitate the participation of projects in the Europeana repositories.</w:t>
      </w:r>
    </w:p>
    <w:p>
      <w:pPr>
        <w:pStyle w:val="ListNumber"/>
        <w:numPr>
          <w:ilvl w:val="0"/>
          <w:numId w:val="101"/>
        </w:numPr>
      </w:pPr>
      <w:r>
        <w:rPr/>
        <w:t xml:space="preserve">Definition and implementation of machine-readable descriptions of the encoding status and richness of TEI texts, providing a “TEI Performance Indicators” indicating to a user what they can expect to use the text for.</w:t>
      </w:r>
    </w:p>
    <w:p>
      <w:r>
        <w:rPr/>
        <w:t xml:space="preserve">The aim is to lower the access barriers to working with TEI-encoded texts in various web environments. Programmers familiar with a particular web environment, whether Django, Drupal, eXist, Ruby on Rails, or others will be able to integrate TEI Simple-based projects into their environment with moderate effort and with no more than their usual tools and skills.</w:t>
      </w:r>
    </w:p>
    <w:p>
      <w:r>
        <w:rPr/>
        <w:t xml:space="preserve">The project will adhere to the following principles:</w:t>
      </w:r>
    </w:p>
    <w:p>
      <w:pPr>
        <w:pStyle w:val="ListContinue"/>
        <w:numPr>
          <w:ilvl w:val="0"/>
          <w:numId w:val="2"/>
        </w:numPr>
      </w:pPr>
      <w:r>
        <w:rPr/>
        <w:t xml:space="preserve">As little overlap as possible, and as much compatibility as possible, with existing repository projects</w:t>
      </w:r>
    </w:p>
    <w:p>
      <w:pPr>
        <w:pStyle w:val="ListContinue"/>
        <w:numPr>
          <w:ilvl w:val="0"/>
          <w:numId w:val="2"/>
        </w:numPr>
      </w:pPr>
      <w:r>
        <w:rPr/>
        <w:t xml:space="preserve">At least as prescriptive as level 3 of the </w:t>
      </w:r>
      <w:r>
        <w:rPr>
          <w:i/>
        </w:rPr>
        <w:t xml:space="preserve">Best Practices for TEI in Libraries</w:t>
      </w:r>
    </w:p>
    <w:p>
      <w:pPr>
        <w:pStyle w:val="ListContinue"/>
        <w:numPr>
          <w:ilvl w:val="0"/>
          <w:numId w:val="2"/>
        </w:numPr>
      </w:pPr>
      <w:r>
        <w:rPr/>
        <w:t xml:space="preserve">Encompassing I18N principles at all times</w:t>
      </w:r>
    </w:p>
    <w:p>
      <w:pPr>
        <w:pStyle w:val="ListContinue"/>
        <w:numPr>
          <w:ilvl w:val="0"/>
          <w:numId w:val="2"/>
        </w:numPr>
      </w:pPr>
      <w:r>
        <w:rPr/>
        <w:t xml:space="preserve">Useable implementations of all features</w:t>
      </w:r>
    </w:p>
    <w:p>
      <w:r>
        <w:rPr/>
        <w:t xml:space="preserve">Outcomes from TEI Simple, consisting of a documented definition in ODD of the TEI subset, a set of processing rules, and extensions to the TEI ODD language to record processing expectations, will be fully integrated into the TEI infrastructure with ongoing maintenance by the TEI Technical Council.</w:t>
      </w:r>
    </w:p>
    <w:p>
      <w:r>
        <w:rPr/>
        <w:t xml:space="preserve">TEI Simple is intended to be </w:t>
      </w:r>
      <w:r>
        <w:rPr>
          <w:i/>
        </w:rPr>
        <w:t xml:space="preserve">complementary</w:t>
      </w:r>
      <w:r>
        <w:rPr/>
        <w:t xml:space="preserve"> to community projects like the TAPAS project, and to the established work of TextGrid, the German Text Archive (the DTA ‘base format’, which shares many of the goals of TEI Simple) and other national projects.</w:t>
      </w:r>
    </w:p>
    <w:p>
      <w:pPr>
        <w:pStyle w:val="Heading1"/>
      </w:pPr>
      <w:bookmarkStart w:id="1004" w:name="_SECTION_1004"/>
      <w:r>
        <w:rPr/>
        <w:t xml:space="preserve">The processing model</w:t>
      </w:r>
      <w:bookmarkEnd w:id="1004"/>
    </w:p>
    <w:p>
      <w:r>
        <w:rPr/>
        <w:t xml:space="preserve">The processing model for Simple will define two stages. </w:t>
      </w:r>
    </w:p>
    <w:p>
      <w:pPr>
        <w:pStyle w:val="ListNumber"/>
        <w:numPr>
          <w:ilvl w:val="0"/>
          <w:numId w:val="102"/>
        </w:numPr>
      </w:pPr>
      <w:r>
        <w:rPr/>
        <w:t xml:space="preserve">In the first stage, every TEI Simple element is assigned to a category, according to a taxonomy whose first draft is below: This allows a processor to decide whether to handle the element or not, and broadly speaking how to display or otherwise process it. Note how XPath is used to refine a name.</w:t>
      </w:r>
    </w:p>
    <w:p>
      <w:pPr>
        <w:pStyle w:val="ListNumber"/>
        <w:numPr>
          <w:ilvl w:val="0"/>
          <w:numId w:val="102"/>
        </w:numPr>
      </w:pPr>
      <w:r>
        <w:rPr/>
        <w:t xml:space="preserve">In the second stage, a normalized set of property values is created for each element, where the combination of the </w:t>
      </w:r>
      <w:r>
        <w:rPr>
          <w:i/>
        </w:rPr>
        <w:t xml:space="preserve">rend</w:t>
      </w:r>
      <w:r>
        <w:rPr/>
        <w:t xml:space="preserve">, </w:t>
      </w:r>
      <w:r>
        <w:rPr>
          <w:i/>
        </w:rPr>
        <w:t xml:space="preserve">rendition</w:t>
      </w:r>
      <w:r>
        <w:rPr/>
        <w:t xml:space="preserve"> and </w:t>
      </w:r>
      <w:r>
        <w:rPr>
          <w:i/>
        </w:rPr>
        <w:t xml:space="preserve">style</w:t>
      </w:r>
      <w:r>
        <w:rPr/>
        <w:t xml:space="preserve"> attributes, and the  </w:t>
      </w:r>
      <w:r>
        <w:t>&lt;</w:t>
      </w:r>
      <w:r>
        <w:rPr>
          <w:rFonts w:ascii="Courier" w:hAnsi="Courier"/>
        </w:rPr>
        <w:t xml:space="preserve">rendition</w:t>
      </w:r>
      <w:r>
        <w:t>&gt;</w:t>
      </w:r>
      <w:r>
        <w:rPr/>
        <w:t xml:space="preserve"> element, are interpreted to map to the names and allowed values for CSS. Again, XPath filters will be needed to distinguish between different uses of the same element. This all allows a processor to work out how to present that element in the current context.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1667"/>
        <w:gridCol w:type="pct" w:w="1667"/>
        <w:gridCol w:type="pct" w:w="1667"/>
      </w:tblGrid>
      <w:tr>
        <w:tblPrEx>
          <w:tblLayout w:type="autofit"/>
        </w:tblPrEx>
        <w:tc>
          <w:tcPr/>
          <w:p>
            <w:pPr>
              <w:pStyle w:val="Tabletext9"/>
              <w:jc w:val="left"/>
            </w:pPr>
            <w:r>
              <w:rPr>
                <w:b/>
              </w:rPr>
              <w:t xml:space="preserve">Category</w:t>
            </w:r>
          </w:p>
        </w:tc>
        <w:tc>
          <w:tcPr/>
          <w:p>
            <w:pPr>
              <w:pStyle w:val="Tabletext9"/>
              <w:jc w:val="left"/>
            </w:pPr>
            <w:r>
              <w:rPr>
                <w:b/>
              </w:rPr>
              <w:t xml:space="preserve">Meaning</w:t>
            </w:r>
          </w:p>
        </w:tc>
        <w:tc>
          <w:tcPr/>
          <w:p>
            <w:pPr>
              <w:pStyle w:val="Tabletext9"/>
              <w:jc w:val="left"/>
            </w:pPr>
            <w:r>
              <w:rPr>
                <w:b/>
              </w:rPr>
              <w:t xml:space="preserve">Example</w:t>
            </w:r>
          </w:p>
        </w:tc>
      </w:tr>
      <w:tr>
        <w:tblPrEx>
          <w:tblLayout w:type="autofit"/>
        </w:tblPrEx>
        <w:tc>
          <w:tcPr/>
          <w:p>
            <w:pPr>
              <w:pStyle w:val="Tabletext9"/>
              <w:jc w:val="left"/>
            </w:pPr>
            <w:r>
              <w:rPr/>
              <w:t xml:space="preserve">1</w:t>
            </w:r>
          </w:p>
        </w:tc>
        <w:tc>
          <w:tcPr/>
          <w:p>
            <w:pPr>
              <w:pStyle w:val="Tabletext9"/>
              <w:jc w:val="left"/>
            </w:pPr>
            <w:r>
              <w:rPr/>
              <w:t xml:space="preserve">metadata header</w:t>
            </w:r>
          </w:p>
        </w:tc>
        <w:tc>
          <w:tcPr/>
          <w:p>
            <w:pPr>
              <w:pStyle w:val="Tabletext9"/>
              <w:jc w:val="left"/>
            </w:pPr>
            <w:r>
              <w:rPr/>
              <w:t xml:space="preserve">fileDesc</w:t>
            </w:r>
          </w:p>
        </w:tc>
      </w:tr>
      <w:tr>
        <w:tblPrEx>
          <w:tblLayout w:type="autofit"/>
        </w:tblPrEx>
        <w:tc>
          <w:tcPr/>
          <w:p>
            <w:pPr>
              <w:pStyle w:val="Tabletext9"/>
              <w:jc w:val="left"/>
            </w:pPr>
            <w:r>
              <w:rPr/>
              <w:t xml:space="preserve">2</w:t>
            </w:r>
          </w:p>
        </w:tc>
        <w:tc>
          <w:tcPr/>
          <w:p>
            <w:pPr>
              <w:pStyle w:val="Tabletext9"/>
              <w:jc w:val="left"/>
            </w:pPr>
            <w:r>
              <w:rPr/>
              <w:t xml:space="preserve">section heading</w:t>
            </w:r>
          </w:p>
        </w:tc>
        <w:tc>
          <w:tcPr/>
          <w:p>
            <w:pPr>
              <w:pStyle w:val="Tabletext9"/>
              <w:jc w:val="left"/>
            </w:pPr>
            <w:r>
              <w:rPr/>
              <w:t xml:space="preserve">head[parent::div]</w:t>
            </w:r>
          </w:p>
        </w:tc>
      </w:tr>
      <w:tr>
        <w:tblPrEx>
          <w:tblLayout w:type="autofit"/>
        </w:tblPrEx>
        <w:tc>
          <w:tcPr/>
          <w:p>
            <w:pPr>
              <w:pStyle w:val="Tabletext9"/>
              <w:jc w:val="left"/>
            </w:pPr>
            <w:r>
              <w:rPr/>
              <w:t xml:space="preserve">3</w:t>
            </w:r>
          </w:p>
        </w:tc>
        <w:tc>
          <w:tcPr/>
          <w:p>
            <w:pPr>
              <w:pStyle w:val="Tabletext9"/>
              <w:jc w:val="left"/>
            </w:pPr>
            <w:r>
              <w:rPr/>
              <w:t xml:space="preserve">title of object (figure, table etc)</w:t>
            </w:r>
          </w:p>
        </w:tc>
        <w:tc>
          <w:tcPr/>
          <w:p>
            <w:pPr>
              <w:pStyle w:val="Tabletext9"/>
              <w:jc w:val="left"/>
            </w:pPr>
            <w:r>
              <w:rPr/>
              <w:t xml:space="preserve">head[not(parent::div)]</w:t>
            </w:r>
          </w:p>
        </w:tc>
      </w:tr>
      <w:tr>
        <w:tblPrEx>
          <w:tblLayout w:type="autofit"/>
        </w:tblPrEx>
        <w:tc>
          <w:tcPr/>
          <w:p>
            <w:pPr>
              <w:pStyle w:val="Tabletext9"/>
              <w:jc w:val="left"/>
            </w:pPr>
            <w:r>
              <w:rPr/>
              <w:t xml:space="preserve">4</w:t>
            </w:r>
          </w:p>
        </w:tc>
        <w:tc>
          <w:tcPr/>
          <w:p>
            <w:pPr>
              <w:pStyle w:val="Tabletext9"/>
              <w:jc w:val="left"/>
            </w:pPr>
            <w:r>
              <w:rPr/>
              <w:t xml:space="preserve">structural division</w:t>
            </w:r>
          </w:p>
        </w:tc>
        <w:tc>
          <w:tcPr/>
          <w:p>
            <w:pPr>
              <w:pStyle w:val="Tabletext9"/>
              <w:jc w:val="left"/>
            </w:pPr>
            <w:r>
              <w:rPr/>
              <w:t xml:space="preserve">div</w:t>
            </w:r>
          </w:p>
        </w:tc>
      </w:tr>
      <w:tr>
        <w:tblPrEx>
          <w:tblLayout w:type="autofit"/>
        </w:tblPrEx>
        <w:tc>
          <w:tcPr/>
          <w:p>
            <w:pPr>
              <w:pStyle w:val="Tabletext9"/>
              <w:jc w:val="left"/>
            </w:pPr>
            <w:r>
              <w:rPr/>
              <w:t xml:space="preserve">5</w:t>
            </w:r>
          </w:p>
        </w:tc>
        <w:tc>
          <w:tcPr/>
          <w:p>
            <w:pPr>
              <w:pStyle w:val="Tabletext9"/>
              <w:jc w:val="left"/>
            </w:pPr>
            <w:r>
              <w:rPr/>
              <w:t xml:space="preserve">uncategorized block level object</w:t>
            </w:r>
          </w:p>
        </w:tc>
        <w:tc>
          <w:tcPr/>
          <w:p>
            <w:pPr>
              <w:pStyle w:val="Tabletext9"/>
              <w:jc w:val="left"/>
            </w:pPr>
            <w:r>
              <w:rPr/>
              <w:t xml:space="preserve">quotation</w:t>
            </w:r>
          </w:p>
        </w:tc>
      </w:tr>
      <w:tr>
        <w:tblPrEx>
          <w:tblLayout w:type="autofit"/>
        </w:tblPrEx>
        <w:tc>
          <w:tcPr/>
          <w:p>
            <w:pPr>
              <w:pStyle w:val="Tabletext9"/>
              <w:jc w:val="left"/>
            </w:pPr>
            <w:r>
              <w:rPr/>
              <w:t xml:space="preserve">6</w:t>
            </w:r>
          </w:p>
        </w:tc>
        <w:tc>
          <w:tcPr/>
          <w:p>
            <w:pPr>
              <w:pStyle w:val="Tabletext9"/>
              <w:jc w:val="left"/>
            </w:pPr>
            <w:r>
              <w:rPr/>
              <w:t xml:space="preserve">semantic block level object</w:t>
            </w:r>
          </w:p>
        </w:tc>
        <w:tc>
          <w:tcPr/>
          <w:p>
            <w:pPr>
              <w:pStyle w:val="Tabletext9"/>
              <w:jc w:val="left"/>
            </w:pPr>
            <w:r>
              <w:rPr/>
              <w:t xml:space="preserve">person</w:t>
            </w:r>
          </w:p>
        </w:tc>
      </w:tr>
      <w:tr>
        <w:tblPrEx>
          <w:tblLayout w:type="autofit"/>
        </w:tblPrEx>
        <w:tc>
          <w:tcPr/>
          <w:p>
            <w:pPr>
              <w:pStyle w:val="Tabletext9"/>
              <w:jc w:val="left"/>
            </w:pPr>
            <w:r>
              <w:rPr/>
              <w:t xml:space="preserve">7</w:t>
            </w:r>
          </w:p>
        </w:tc>
        <w:tc>
          <w:tcPr/>
          <w:p>
            <w:pPr>
              <w:pStyle w:val="Tabletext9"/>
              <w:jc w:val="left"/>
            </w:pPr>
            <w:r>
              <w:rPr/>
              <w:t xml:space="preserve">uncategorized inline object</w:t>
            </w:r>
          </w:p>
        </w:tc>
        <w:tc>
          <w:tcPr/>
          <w:p>
            <w:pPr>
              <w:pStyle w:val="Tabletext9"/>
              <w:jc w:val="left"/>
            </w:pPr>
            <w:r>
              <w:rPr/>
              <w:t xml:space="preserve">hi</w:t>
            </w:r>
          </w:p>
        </w:tc>
      </w:tr>
      <w:tr>
        <w:tblPrEx>
          <w:tblLayout w:type="autofit"/>
        </w:tblPrEx>
        <w:tc>
          <w:tcPr/>
          <w:p>
            <w:pPr>
              <w:pStyle w:val="Tabletext9"/>
              <w:jc w:val="left"/>
            </w:pPr>
            <w:r>
              <w:rPr/>
              <w:t xml:space="preserve">8</w:t>
            </w:r>
          </w:p>
        </w:tc>
        <w:tc>
          <w:tcPr/>
          <w:p>
            <w:pPr>
              <w:pStyle w:val="Tabletext9"/>
              <w:jc w:val="left"/>
            </w:pPr>
            <w:r>
              <w:rPr/>
              <w:t xml:space="preserve">semantic inline object</w:t>
            </w:r>
          </w:p>
        </w:tc>
        <w:tc>
          <w:tcPr/>
          <w:p>
            <w:pPr>
              <w:pStyle w:val="Tabletext9"/>
              <w:jc w:val="left"/>
            </w:pPr>
            <w:r>
              <w:rPr/>
              <w:t xml:space="preserve">persName</w:t>
            </w:r>
          </w:p>
        </w:tc>
      </w:tr>
      <w:tr>
        <w:tblPrEx>
          <w:tblLayout w:type="autofit"/>
        </w:tblPrEx>
        <w:tc>
          <w:tcPr/>
          <w:p>
            <w:pPr>
              <w:pStyle w:val="Tabletext9"/>
              <w:jc w:val="left"/>
            </w:pPr>
            <w:r>
              <w:rPr/>
              <w:t xml:space="preserve">9</w:t>
            </w:r>
          </w:p>
        </w:tc>
        <w:tc>
          <w:tcPr/>
          <w:p>
            <w:pPr>
              <w:pStyle w:val="Tabletext9"/>
              <w:jc w:val="left"/>
            </w:pPr>
            <w:r>
              <w:rPr/>
              <w:t xml:space="preserve">list</w:t>
            </w:r>
          </w:p>
        </w:tc>
        <w:tc>
          <w:tcPr/>
          <w:p>
            <w:pPr>
              <w:pStyle w:val="Tabletext9"/>
              <w:jc w:val="left"/>
            </w:pPr>
            <w:r>
              <w:rPr/>
              <w:t xml:space="preserve">list</w:t>
            </w:r>
          </w:p>
        </w:tc>
      </w:tr>
      <w:tr>
        <w:tblPrEx>
          <w:tblLayout w:type="autofit"/>
        </w:tblPrEx>
        <w:tc>
          <w:tcPr/>
          <w:p>
            <w:pPr>
              <w:pStyle w:val="Tabletext9"/>
              <w:jc w:val="left"/>
            </w:pPr>
            <w:r>
              <w:rPr/>
              <w:t xml:space="preserve">10</w:t>
            </w:r>
          </w:p>
        </w:tc>
        <w:tc>
          <w:tcPr/>
          <w:p>
            <w:pPr>
              <w:pStyle w:val="Tabletext9"/>
              <w:jc w:val="left"/>
            </w:pPr>
            <w:r>
              <w:rPr/>
              <w:t xml:space="preserve">list item</w:t>
            </w:r>
          </w:p>
        </w:tc>
        <w:tc>
          <w:tcPr/>
          <w:p>
            <w:pPr>
              <w:pStyle w:val="Tabletext9"/>
              <w:jc w:val="left"/>
            </w:pPr>
            <w:r>
              <w:rPr/>
              <w:t xml:space="preserve">item</w:t>
            </w:r>
          </w:p>
        </w:tc>
      </w:tr>
      <w:tr>
        <w:tblPrEx>
          <w:tblLayout w:type="autofit"/>
        </w:tblPrEx>
        <w:tc>
          <w:tcPr/>
          <w:p>
            <w:pPr>
              <w:pStyle w:val="Tabletext9"/>
              <w:jc w:val="left"/>
            </w:pPr>
            <w:r>
              <w:rPr/>
              <w:t xml:space="preserve">11</w:t>
            </w:r>
          </w:p>
        </w:tc>
        <w:tc>
          <w:tcPr/>
          <w:p>
            <w:pPr>
              <w:pStyle w:val="Tabletext9"/>
              <w:jc w:val="left"/>
            </w:pPr>
            <w:r>
              <w:rPr/>
              <w:t xml:space="preserve">table</w:t>
            </w:r>
          </w:p>
        </w:tc>
        <w:tc>
          <w:tcPr/>
          <w:p>
            <w:pPr>
              <w:pStyle w:val="Tabletext9"/>
              <w:jc w:val="left"/>
            </w:pPr>
            <w:r>
              <w:rPr/>
              <w:t xml:space="preserve">table</w:t>
            </w:r>
          </w:p>
        </w:tc>
      </w:tr>
      <w:tr>
        <w:tblPrEx>
          <w:tblLayout w:type="autofit"/>
        </w:tblPrEx>
        <w:tc>
          <w:tcPr/>
          <w:p>
            <w:pPr>
              <w:pStyle w:val="Tabletext9"/>
              <w:jc w:val="left"/>
            </w:pPr>
            <w:r>
              <w:rPr/>
              <w:t xml:space="preserve">12</w:t>
            </w:r>
          </w:p>
        </w:tc>
        <w:tc>
          <w:tcPr/>
          <w:p>
            <w:pPr>
              <w:pStyle w:val="Tabletext9"/>
              <w:jc w:val="left"/>
            </w:pPr>
            <w:r>
              <w:rPr/>
              <w:t xml:space="preserve">cell</w:t>
            </w:r>
          </w:p>
        </w:tc>
        <w:tc>
          <w:tcPr/>
          <w:p>
            <w:pPr>
              <w:pStyle w:val="Tabletext9"/>
              <w:jc w:val="left"/>
            </w:pPr>
            <w:r>
              <w:rPr/>
              <w:t xml:space="preserve">cell</w:t>
            </w:r>
          </w:p>
        </w:tc>
      </w:tr>
      <w:tr>
        <w:tblPrEx>
          <w:tblLayout w:type="autofit"/>
        </w:tblPrEx>
        <w:tc>
          <w:tcPr/>
          <w:p>
            <w:pPr>
              <w:pStyle w:val="Tabletext9"/>
              <w:jc w:val="left"/>
            </w:pPr>
            <w:r>
              <w:rPr/>
              <w:t xml:space="preserve">13</w:t>
            </w:r>
          </w:p>
        </w:tc>
        <w:tc>
          <w:tcPr/>
          <w:p>
            <w:pPr>
              <w:pStyle w:val="Tabletext9"/>
              <w:jc w:val="left"/>
            </w:pPr>
            <w:r>
              <w:rPr/>
              <w:t xml:space="preserve">row</w:t>
            </w:r>
          </w:p>
        </w:tc>
        <w:tc>
          <w:tcPr/>
          <w:p>
            <w:pPr>
              <w:pStyle w:val="Tabletext9"/>
              <w:jc w:val="left"/>
            </w:pPr>
            <w:r>
              <w:rPr/>
              <w:t xml:space="preserve">row</w:t>
            </w:r>
          </w:p>
        </w:tc>
      </w:tr>
      <w:tr>
        <w:tblPrEx>
          <w:tblLayout w:type="autofit"/>
        </w:tblPrEx>
        <w:tc>
          <w:tcPr/>
          <w:p>
            <w:pPr>
              <w:pStyle w:val="Tabletext9"/>
              <w:jc w:val="left"/>
            </w:pPr>
            <w:r>
              <w:rPr/>
              <w:t xml:space="preserve">14</w:t>
            </w:r>
          </w:p>
        </w:tc>
        <w:tc>
          <w:tcPr/>
          <w:p>
            <w:pPr>
              <w:pStyle w:val="Tabletext9"/>
              <w:jc w:val="left"/>
            </w:pPr>
            <w:r>
              <w:rPr/>
              <w:t xml:space="preserve">out of line note</w:t>
            </w:r>
          </w:p>
        </w:tc>
        <w:tc>
          <w:tcPr/>
          <w:p>
            <w:pPr>
              <w:pStyle w:val="Tabletext9"/>
            </w:pPr>
            <w:r>
              <w:t/>
            </w:r>
          </w:p>
        </w:tc>
      </w:tr>
      <w:tr>
        <w:tblPrEx>
          <w:tblLayout w:type="autofit"/>
        </w:tblPrEx>
        <w:tc>
          <w:tcPr/>
          <w:p>
            <w:pPr>
              <w:pStyle w:val="Tabletext9"/>
              <w:jc w:val="left"/>
            </w:pPr>
            <w:r>
              <w:rPr/>
              <w:t xml:space="preserve">15</w:t>
            </w:r>
          </w:p>
        </w:tc>
        <w:tc>
          <w:tcPr/>
          <w:p>
            <w:pPr>
              <w:pStyle w:val="Tabletext9"/>
              <w:jc w:val="left"/>
            </w:pPr>
            <w:r>
              <w:rPr/>
              <w:t xml:space="preserve">figure</w:t>
            </w:r>
          </w:p>
        </w:tc>
        <w:tc>
          <w:tcPr/>
          <w:p>
            <w:pPr>
              <w:pStyle w:val="Tabletext9"/>
              <w:jc w:val="left"/>
            </w:pPr>
            <w:r>
              <w:rPr/>
              <w:t xml:space="preserve">figure</w:t>
            </w:r>
          </w:p>
        </w:tc>
      </w:tr>
      <w:tr>
        <w:tblPrEx>
          <w:tblLayout w:type="autofit"/>
        </w:tblPrEx>
        <w:tc>
          <w:tcPr/>
          <w:p>
            <w:pPr>
              <w:pStyle w:val="Tabletext9"/>
              <w:jc w:val="left"/>
            </w:pPr>
            <w:r>
              <w:rPr/>
              <w:t xml:space="preserve">16</w:t>
            </w:r>
          </w:p>
        </w:tc>
        <w:tc>
          <w:tcPr/>
          <w:p>
            <w:pPr>
              <w:pStyle w:val="Tabletext9"/>
              <w:jc w:val="left"/>
            </w:pPr>
            <w:r>
              <w:rPr/>
              <w:t xml:space="preserve">pointer</w:t>
            </w:r>
          </w:p>
        </w:tc>
        <w:tc>
          <w:tcPr/>
          <w:p>
            <w:pPr>
              <w:pStyle w:val="Tabletext9"/>
              <w:jc w:val="left"/>
            </w:pPr>
            <w:r>
              <w:rPr/>
              <w:t xml:space="preserve">ptr</w:t>
            </w:r>
          </w:p>
        </w:tc>
      </w:tr>
      <w:tr>
        <w:tblPrEx>
          <w:tblLayout w:type="autofit"/>
        </w:tblPrEx>
        <w:tc>
          <w:tcPr/>
          <w:p>
            <w:pPr>
              <w:pStyle w:val="Tabletext9"/>
              <w:jc w:val="left"/>
            </w:pPr>
            <w:r>
              <w:rPr/>
              <w:t xml:space="preserve">17</w:t>
            </w:r>
          </w:p>
        </w:tc>
        <w:tc>
          <w:tcPr/>
          <w:p>
            <w:pPr>
              <w:pStyle w:val="Tabletext9"/>
              <w:jc w:val="left"/>
            </w:pPr>
            <w:r>
              <w:rPr/>
              <w:t xml:space="preserve">Janus element (alternate children)</w:t>
            </w:r>
          </w:p>
        </w:tc>
        <w:tc>
          <w:tcPr/>
          <w:p>
            <w:pPr>
              <w:pStyle w:val="Tabletext9"/>
              <w:jc w:val="left"/>
            </w:pPr>
            <w:r>
              <w:rPr/>
              <w:t xml:space="preserve">choice</w:t>
            </w:r>
          </w:p>
        </w:tc>
      </w:tr>
      <w:tr>
        <w:tblPrEx>
          <w:tblLayout w:type="autofit"/>
        </w:tblPrEx>
        <w:tc>
          <w:tcPr/>
          <w:p>
            <w:pPr>
              <w:pStyle w:val="Tabletext9"/>
              <w:jc w:val="left"/>
            </w:pPr>
            <w:r>
              <w:rPr/>
              <w:t xml:space="preserve">18</w:t>
            </w:r>
          </w:p>
        </w:tc>
        <w:tc>
          <w:tcPr/>
          <w:p>
            <w:pPr>
              <w:pStyle w:val="Tabletext9"/>
              <w:jc w:val="left"/>
            </w:pPr>
            <w:r>
              <w:rPr/>
              <w:t xml:space="preserve">modern commentary element</w:t>
            </w:r>
          </w:p>
        </w:tc>
        <w:tc>
          <w:tcPr/>
          <w:p>
            <w:pPr>
              <w:pStyle w:val="Tabletext9"/>
              <w:jc w:val="left"/>
            </w:pPr>
            <w:r>
              <w:rPr/>
              <w:t xml:space="preserve">desc</w:t>
            </w:r>
          </w:p>
        </w:tc>
      </w:tr>
    </w:tbl>
    <w:p/>
    <w:p>
      <w:pPr>
        <w:pStyle w:val="Tabletitle"/>
      </w:pPr>
      <w:r>
        <w:rPr/>
        <w:t xml:space="preserve">Preliminary processing categorisation</w:t>
      </w:r>
    </w:p>
    <w:p>
      <w:r>
        <w:rPr/>
        <w:t xml:space="preserve">Processors can now create a variety of outputs without having to maintain specific rule sets for TEI Simple. The rules for stage 1 and stage 2 are maintained as part of the ODD schema for Simple, so a processor will read both the source document and the corresponding ODD file, and have access to all the information it needs.</w:t>
      </w:r>
    </w:p>
    <w:p>
      <w:r>
        <w:rPr/>
        <w:t xml:space="preserve">The processing model assertions will be modelled in ODD using a notation similar to Schematron constraints, allowing for multiple categories for a given element, depending on an XPath filter.</w:t>
      </w:r>
    </w:p>
    <w:p>
      <w:r>
        <w:rPr/>
        <w:t xml:space="preserve">There are two important differences between this setup and the "TEI to XXX" stylesheets (eg </w:t>
      </w:r>
      <w:hyperlink xmlns:r="http://schemas.openxmlformats.org/officeDocument/2006/relationships" r:id="rId3002">
        <w:r>
          <w:rPr>
            <w:rStyle w:val="Hyperlink"/>
          </w:rPr>
          <w:t>https://github.com/TEIC/Stylesheets</w:t>
        </w:r>
      </w:hyperlink>
      <w:r>
        <w:rPr/>
        <w:t xml:space="preserve">) which have been developed many times: </w:t>
      </w:r>
    </w:p>
    <w:p>
      <w:pPr>
        <w:pStyle w:val="ListNumber"/>
        <w:numPr>
          <w:ilvl w:val="0"/>
          <w:numId w:val="103"/>
        </w:numPr>
      </w:pPr>
      <w:r>
        <w:rPr/>
        <w:t xml:space="preserve">The initial explicit assertion of a category gives a place for the design of Simple to commit to a style of output, separately from the details of the rendering</w:t>
      </w:r>
    </w:p>
    <w:p>
      <w:pPr>
        <w:pStyle w:val="ListNumber"/>
        <w:numPr>
          <w:ilvl w:val="0"/>
          <w:numId w:val="103"/>
        </w:numPr>
      </w:pPr>
      <w:r>
        <w:rPr/>
        <w:t xml:space="preserve">The rules are tied to the schema, allowing the actual (eg) TEI to LaTeX or TEI to Word transformations to be completely agnostic.</w:t>
      </w:r>
    </w:p>
    <w:p>
      <w:r>
        <w:rPr/>
        <w:t xml:space="preserve"> We may contrast this with an example from the TEI Stylesheets, where an XSL function which determines whether to render something as bold mixes up the context with the attributes, and is very hard to tailor for a constrained subset like Simple:  </w:t>
      </w:r>
    </w:p>
    <w:p>
      <w:pPr>
        <w:pStyle w:val="Special"/>
      </w:pPr>
      <w:r>
        <w:rPr/>
        <w:t xml:space="preserve">&lt;</w:t>
      </w:r>
      <w:r>
        <w:rPr>
          <w:b/>
        </w:rPr>
        <w:t xml:space="preserve">xsl:function</w:t>
      </w:r>
      <w:r>
        <w:rPr/>
        <w:t xml:space="preserve"> </w:t>
      </w:r>
      <w:r>
        <w:rPr>
          <w:b/>
        </w:rPr>
        <w:t xml:space="preserve">name</w:t>
      </w:r>
      <w:r>
        <w:rPr/>
        <w:t xml:space="preserve">="tei:render-bold" </w:t>
      </w:r>
      <w:r>
        <w:rPr>
          <w:b/>
        </w:rPr>
        <w:t xml:space="preserve">as</w:t>
      </w:r>
      <w:r>
        <w:rPr/>
        <w:t xml:space="preserve">="xs:boolean"</w:t>
      </w:r>
      <w:r>
        <w:br/>
      </w:r>
      <w:r>
        <w:rPr/>
        <w:t xml:space="preserve">   xmlns:xsl="http://www.w3.org/1999/XSL/Transform"&gt;</w:t>
      </w:r>
      <w:r>
        <w:br/>
      </w:r>
      <w:r>
        <w:rPr/>
        <w:t xml:space="preserve"> &lt;</w:t>
      </w:r>
      <w:r>
        <w:rPr>
          <w:b/>
        </w:rPr>
        <w:t xml:space="preserve">xsl:param</w:t>
      </w:r>
      <w:r>
        <w:rPr/>
        <w:t xml:space="preserve"> </w:t>
      </w:r>
      <w:r>
        <w:rPr>
          <w:b/>
        </w:rPr>
        <w:t xml:space="preserve">name</w:t>
      </w:r>
      <w:r>
        <w:rPr/>
        <w:t xml:space="preserve">="element"/&gt;</w:t>
      </w:r>
      <w:r>
        <w:br/>
      </w:r>
      <w:r>
        <w:rPr/>
        <w:t xml:space="preserve"> &lt;</w:t>
      </w:r>
      <w:r>
        <w:rPr>
          <w:b/>
        </w:rPr>
        <w:t xml:space="preserve">xsl:for-each</w:t>
      </w:r>
      <w:r>
        <w:rPr/>
        <w:t xml:space="preserve"> </w:t>
      </w:r>
      <w:r>
        <w:rPr>
          <w:b/>
        </w:rPr>
        <w:t xml:space="preserve">select</w:t>
      </w:r>
      <w:r>
        <w:rPr/>
        <w:t xml:space="preserve">="$element"&gt;</w:t>
      </w:r>
      <w:r>
        <w:br/>
      </w:r>
      <w:r>
        <w:rPr/>
        <w:t xml:space="preserve">  &lt;</w:t>
      </w:r>
      <w:r>
        <w:rPr>
          <w:b/>
        </w:rPr>
        <w:t xml:space="preserve">xsl:choose</w:t>
      </w:r>
      <w:r>
        <w:rPr/>
        <w:t xml:space="preserve">&gt;</w:t>
      </w:r>
      <w:r>
        <w:br/>
      </w:r>
      <w:r>
        <w:rPr/>
        <w:t xml:space="preserve">   &lt;</w:t>
      </w:r>
      <w:r>
        <w:rPr>
          <w:b/>
        </w:rPr>
        <w:t xml:space="preserve">xsl:when</w:t>
      </w:r>
      <w:r>
        <w:rPr/>
        <w:t xml:space="preserve"> </w:t>
      </w:r>
      <w:r>
        <w:rPr>
          <w:b/>
        </w:rPr>
        <w:t xml:space="preserve">test</w:t>
      </w:r>
      <w:r>
        <w:rPr/>
        <w:t xml:space="preserve">="@rend='odd_label'"&gt;true&lt;/</w:t>
      </w:r>
      <w:r>
        <w:rPr>
          <w:b/>
        </w:rPr>
        <w:t xml:space="preserve">xsl:when</w:t>
      </w:r>
      <w:r>
        <w:rPr/>
        <w:t xml:space="preserve">&gt;</w:t>
      </w:r>
      <w:r>
        <w:br/>
      </w:r>
      <w:r>
        <w:rPr/>
        <w:t xml:space="preserve">   &lt;</w:t>
      </w:r>
      <w:r>
        <w:rPr>
          <w:b/>
        </w:rPr>
        <w:t xml:space="preserve">xsl:when</w:t>
      </w:r>
      <w:r>
        <w:br/>
      </w:r>
      <w:r>
        <w:rPr/>
        <w:t xml:space="preserve">     </w:t>
      </w:r>
      <w:r>
        <w:rPr>
          <w:b/>
        </w:rPr>
        <w:t xml:space="preserve">test</w:t>
      </w:r>
      <w:r>
        <w:rPr/>
        <w:t xml:space="preserve">="parent::tei:hi[starts-with(@rend,'specList-')]"&gt;true&lt;/</w:t>
      </w:r>
      <w:r>
        <w:rPr>
          <w:b/>
        </w:rPr>
        <w:t xml:space="preserve">xsl:when</w:t>
      </w:r>
      <w:r>
        <w:rPr/>
        <w:t xml:space="preserve">&gt;</w:t>
      </w:r>
      <w:r>
        <w:br/>
      </w:r>
      <w:r>
        <w:rPr/>
        <w:t xml:space="preserve">   &lt;</w:t>
      </w:r>
      <w:r>
        <w:rPr>
          <w:b/>
        </w:rPr>
        <w:t xml:space="preserve">xsl:when</w:t>
      </w:r>
      <w:r>
        <w:rPr/>
        <w:t xml:space="preserve"> </w:t>
      </w:r>
      <w:r>
        <w:rPr>
          <w:b/>
        </w:rPr>
        <w:t xml:space="preserve">test</w:t>
      </w:r>
      <w:r>
        <w:rPr/>
        <w:t xml:space="preserve">="self::tei:docAuthor"&gt;true&lt;/</w:t>
      </w:r>
      <w:r>
        <w:rPr>
          <w:b/>
        </w:rPr>
        <w:t xml:space="preserve">xsl:when</w:t>
      </w:r>
      <w:r>
        <w:rPr/>
        <w:t xml:space="preserve">&gt;</w:t>
      </w:r>
      <w:r>
        <w:br/>
      </w:r>
      <w:r>
        <w:rPr/>
        <w:t xml:space="preserve">   &lt;</w:t>
      </w:r>
      <w:r>
        <w:rPr>
          <w:b/>
        </w:rPr>
        <w:t xml:space="preserve">xsl:when</w:t>
      </w:r>
      <w:r>
        <w:br/>
      </w:r>
      <w:r>
        <w:rPr/>
        <w:t xml:space="preserve">     </w:t>
      </w:r>
      <w:r>
        <w:rPr>
          <w:b/>
        </w:rPr>
        <w:t xml:space="preserve">test</w:t>
      </w:r>
      <w:r>
        <w:rPr/>
        <w:t xml:space="preserve">="self::tei:label[following-sibling::tei:item]"&gt;true&lt;/</w:t>
      </w:r>
      <w:r>
        <w:rPr>
          <w:b/>
        </w:rPr>
        <w:t xml:space="preserve">xsl:when</w:t>
      </w:r>
      <w:r>
        <w:rPr/>
        <w:t xml:space="preserve">&gt;</w:t>
      </w:r>
      <w:r>
        <w:br/>
      </w:r>
      <w:r>
        <w:rPr/>
        <w:t xml:space="preserve">   &lt;</w:t>
      </w:r>
      <w:r>
        <w:rPr>
          <w:b/>
        </w:rPr>
        <w:t xml:space="preserve">xsl:when</w:t>
      </w:r>
      <w:r>
        <w:rPr/>
        <w:t xml:space="preserve"> </w:t>
      </w:r>
      <w:r>
        <w:rPr>
          <w:b/>
        </w:rPr>
        <w:t xml:space="preserve">test</w:t>
      </w:r>
      <w:r>
        <w:rPr/>
        <w:t xml:space="preserve">="starts-with(@rend,'specList-')"&gt;true&lt;/</w:t>
      </w:r>
      <w:r>
        <w:rPr>
          <w:b/>
        </w:rPr>
        <w:t xml:space="preserve">xsl:when</w:t>
      </w:r>
      <w:r>
        <w:rPr/>
        <w:t xml:space="preserve">&gt;</w:t>
      </w:r>
      <w:r>
        <w:br/>
      </w:r>
      <w:r>
        <w:rPr/>
        <w:t xml:space="preserve">   &lt;</w:t>
      </w:r>
      <w:r>
        <w:rPr>
          <w:b/>
        </w:rPr>
        <w:t xml:space="preserve">xsl:when</w:t>
      </w:r>
      <w:r>
        <w:br/>
      </w:r>
      <w:r>
        <w:rPr/>
        <w:t xml:space="preserve">     </w:t>
      </w:r>
      <w:r>
        <w:rPr>
          <w:b/>
        </w:rPr>
        <w:t xml:space="preserve">test</w:t>
      </w:r>
      <w:r>
        <w:rPr/>
        <w:t xml:space="preserve">="starts-with(parent::tei:hi/@rend,'specList-')"&gt;true&lt;/</w:t>
      </w:r>
      <w:r>
        <w:rPr>
          <w:b/>
        </w:rPr>
        <w:t xml:space="preserve">xsl:when</w:t>
      </w:r>
      <w:r>
        <w:rPr/>
        <w:t xml:space="preserve">&gt;</w:t>
      </w:r>
      <w:r>
        <w:br/>
      </w:r>
      <w:r>
        <w:rPr/>
        <w:t xml:space="preserve">   &lt;</w:t>
      </w:r>
      <w:r>
        <w:rPr>
          <w:b/>
        </w:rPr>
        <w:t xml:space="preserve">xsl:when</w:t>
      </w:r>
      <w:r>
        <w:rPr/>
        <w:t xml:space="preserve"> </w:t>
      </w:r>
      <w:r>
        <w:rPr>
          <w:b/>
        </w:rPr>
        <w:t xml:space="preserve">test</w:t>
      </w:r>
      <w:r>
        <w:rPr/>
        <w:t xml:space="preserve">="@rend='label'"&gt;true&lt;/</w:t>
      </w:r>
      <w:r>
        <w:rPr>
          <w:b/>
        </w:rPr>
        <w:t xml:space="preserve">xsl:when</w:t>
      </w:r>
      <w:r>
        <w:rPr/>
        <w:t xml:space="preserve">&gt;</w:t>
      </w:r>
      <w:r>
        <w:br/>
      </w:r>
      <w:r>
        <w:rPr/>
        <w:t xml:space="preserve">   &lt;</w:t>
      </w:r>
      <w:r>
        <w:rPr>
          <w:b/>
        </w:rPr>
        <w:t xml:space="preserve">xsl:when</w:t>
      </w:r>
      <w:r>
        <w:rPr/>
        <w:t xml:space="preserve"> </w:t>
      </w:r>
      <w:r>
        <w:rPr>
          <w:b/>
        </w:rPr>
        <w:t xml:space="preserve">test</w:t>
      </w:r>
      <w:r>
        <w:rPr/>
        <w:t xml:space="preserve">="@rend='wovenodd'"&gt;true&lt;/</w:t>
      </w:r>
      <w:r>
        <w:rPr>
          <w:b/>
        </w:rPr>
        <w:t xml:space="preserve">xsl:when</w:t>
      </w:r>
      <w:r>
        <w:rPr/>
        <w:t xml:space="preserve">&gt;</w:t>
      </w:r>
      <w:r>
        <w:br/>
      </w:r>
      <w:r>
        <w:rPr/>
        <w:t xml:space="preserve">   &lt;</w:t>
      </w:r>
      <w:r>
        <w:rPr>
          <w:b/>
        </w:rPr>
        <w:t xml:space="preserve">xsl:when</w:t>
      </w:r>
      <w:r>
        <w:rPr/>
        <w:t xml:space="preserve"> </w:t>
      </w:r>
      <w:r>
        <w:rPr>
          <w:b/>
        </w:rPr>
        <w:t xml:space="preserve">test</w:t>
      </w:r>
      <w:r>
        <w:rPr/>
        <w:t xml:space="preserve">="@rend='important'"&gt;true&lt;/</w:t>
      </w:r>
      <w:r>
        <w:rPr>
          <w:b/>
        </w:rPr>
        <w:t xml:space="preserve">xsl:when</w:t>
      </w:r>
      <w:r>
        <w:rPr/>
        <w:t xml:space="preserve">&gt;</w:t>
      </w:r>
      <w:r>
        <w:br/>
      </w:r>
      <w:r>
        <w:rPr/>
        <w:t xml:space="preserve">   &lt;</w:t>
      </w:r>
      <w:r>
        <w:rPr>
          <w:b/>
        </w:rPr>
        <w:t xml:space="preserve">xsl:when</w:t>
      </w:r>
      <w:r>
        <w:rPr/>
        <w:t xml:space="preserve"> </w:t>
      </w:r>
      <w:r>
        <w:rPr>
          <w:b/>
        </w:rPr>
        <w:t xml:space="preserve">test</w:t>
      </w:r>
      <w:r>
        <w:rPr/>
        <w:t xml:space="preserve">="@rend='specChildModule'"&gt;true&lt;/</w:t>
      </w:r>
      <w:r>
        <w:rPr>
          <w:b/>
        </w:rPr>
        <w:t xml:space="preserve">xsl:when</w:t>
      </w:r>
      <w:r>
        <w:rPr/>
        <w:t xml:space="preserve">&gt;</w:t>
      </w:r>
      <w:r>
        <w:br/>
      </w:r>
      <w:r>
        <w:rPr/>
        <w:t xml:space="preserve">   &lt;</w:t>
      </w:r>
      <w:r>
        <w:rPr>
          <w:b/>
        </w:rPr>
        <w:t xml:space="preserve">xsl:when</w:t>
      </w:r>
      <w:r>
        <w:br/>
      </w:r>
      <w:r>
        <w:rPr/>
        <w:t xml:space="preserve">     </w:t>
      </w:r>
      <w:r>
        <w:rPr>
          <w:b/>
        </w:rPr>
        <w:t xml:space="preserve">test</w:t>
      </w:r>
      <w:r>
        <w:rPr/>
        <w:t xml:space="preserve">="ancestor-or-self::tei:cell[@rend='wovenodd-col1']"&gt;true&lt;/</w:t>
      </w:r>
      <w:r>
        <w:rPr>
          <w:b/>
        </w:rPr>
        <w:t xml:space="preserve">xsl:when</w:t>
      </w:r>
      <w:r>
        <w:rPr/>
        <w:t xml:space="preserve">&gt;</w:t>
      </w:r>
      <w:r>
        <w:br/>
      </w:r>
      <w:r>
        <w:rPr/>
        <w:t xml:space="preserve">   &lt;</w:t>
      </w:r>
      <w:r>
        <w:rPr>
          <w:b/>
        </w:rPr>
        <w:t xml:space="preserve">xsl:when</w:t>
      </w:r>
      <w:r>
        <w:br/>
      </w:r>
      <w:r>
        <w:rPr/>
        <w:t xml:space="preserve">     </w:t>
      </w:r>
      <w:r>
        <w:rPr>
          <w:b/>
        </w:rPr>
        <w:t xml:space="preserve">test</w:t>
      </w:r>
      <w:r>
        <w:rPr/>
        <w:t xml:space="preserve">="ancestor-or-self::tei:cell[@role='label']"&gt;true&lt;/</w:t>
      </w:r>
      <w:r>
        <w:rPr>
          <w:b/>
        </w:rPr>
        <w:t xml:space="preserve">xsl:when</w:t>
      </w:r>
      <w:r>
        <w:rPr/>
        <w:t xml:space="preserve">&gt;</w:t>
      </w:r>
      <w:r>
        <w:br/>
      </w:r>
      <w:r>
        <w:rPr/>
        <w:t xml:space="preserve">   &lt;</w:t>
      </w:r>
      <w:r>
        <w:rPr>
          <w:b/>
        </w:rPr>
        <w:t xml:space="preserve">xsl:when</w:t>
      </w:r>
      <w:r>
        <w:br/>
      </w:r>
      <w:r>
        <w:rPr/>
        <w:t xml:space="preserve">     </w:t>
      </w:r>
      <w:r>
        <w:rPr>
          <w:b/>
        </w:rPr>
        <w:t xml:space="preserve">test</w:t>
      </w:r>
      <w:r>
        <w:rPr/>
        <w:t xml:space="preserve">="ancestor-or-self::*[@rend][contains(@rend,'bold')]"&gt;true&lt;/</w:t>
      </w:r>
      <w:r>
        <w:rPr>
          <w:b/>
        </w:rPr>
        <w:t xml:space="preserve">xsl:when</w:t>
      </w:r>
      <w:r>
        <w:rPr/>
        <w:t xml:space="preserve">&gt;</w:t>
      </w:r>
      <w:r>
        <w:br/>
      </w:r>
      <w:r>
        <w:rPr/>
        <w:t xml:space="preserve">   &lt;</w:t>
      </w:r>
      <w:r>
        <w:rPr>
          <w:b/>
        </w:rPr>
        <w:t xml:space="preserve">xsl:when</w:t>
      </w:r>
      <w:r>
        <w:br/>
      </w:r>
      <w:r>
        <w:rPr/>
        <w:t xml:space="preserve">     </w:t>
      </w:r>
      <w:r>
        <w:rPr>
          <w:b/>
        </w:rPr>
        <w:t xml:space="preserve">test</w:t>
      </w:r>
      <w:r>
        <w:rPr/>
        <w:t xml:space="preserve">="parent::tei:hi[starts-with(@rend,'specList-')]"&gt;true&lt;/</w:t>
      </w:r>
      <w:r>
        <w:rPr>
          <w:b/>
        </w:rPr>
        <w:t xml:space="preserve">xsl:when</w:t>
      </w:r>
      <w:r>
        <w:rPr/>
        <w:t xml:space="preserve">&gt;</w:t>
      </w:r>
      <w:r>
        <w:br/>
      </w:r>
      <w:r>
        <w:rPr/>
        <w:t xml:space="preserve">   &lt;</w:t>
      </w:r>
      <w:r>
        <w:rPr>
          <w:b/>
        </w:rPr>
        <w:t xml:space="preserve">xsl:when</w:t>
      </w:r>
      <w:r>
        <w:br/>
      </w:r>
      <w:r>
        <w:rPr/>
        <w:t xml:space="preserve">     </w:t>
      </w:r>
      <w:r>
        <w:rPr>
          <w:b/>
        </w:rPr>
        <w:t xml:space="preserve">test</w:t>
      </w:r>
      <w:r>
        <w:rPr/>
        <w:t xml:space="preserve">="self::tei:cell and parent::tei:row[@role='label']"&gt;true&lt;/</w:t>
      </w:r>
      <w:r>
        <w:rPr>
          <w:b/>
        </w:rPr>
        <w:t xml:space="preserve">xsl:when</w:t>
      </w:r>
      <w:r>
        <w:rPr/>
        <w:t xml:space="preserve">&gt;</w:t>
      </w:r>
      <w:r>
        <w:br/>
      </w:r>
      <w:r>
        <w:rPr/>
        <w:t xml:space="preserve">   &lt;</w:t>
      </w:r>
      <w:r>
        <w:rPr>
          <w:b/>
        </w:rPr>
        <w:t xml:space="preserve">xsl:when</w:t>
      </w:r>
      <w:r>
        <w:br/>
      </w:r>
      <w:r>
        <w:rPr/>
        <w:t xml:space="preserve">     </w:t>
      </w:r>
      <w:r>
        <w:rPr>
          <w:b/>
        </w:rPr>
        <w:t xml:space="preserve">test</w:t>
      </w:r>
      <w:r>
        <w:rPr/>
        <w:t xml:space="preserve">="self::tei:label[following-sibling::tei:item]"&gt;true&lt;/</w:t>
      </w:r>
      <w:r>
        <w:rPr>
          <w:b/>
        </w:rPr>
        <w:t xml:space="preserve">xsl:when</w:t>
      </w:r>
      <w:r>
        <w:rPr/>
        <w:t xml:space="preserve">&gt;</w:t>
      </w:r>
      <w:r>
        <w:br/>
      </w:r>
      <w:r>
        <w:rPr/>
        <w:t xml:space="preserve">   &lt;</w:t>
      </w:r>
      <w:r>
        <w:rPr>
          <w:b/>
        </w:rPr>
        <w:t xml:space="preserve">xsl:otherwise</w:t>
      </w:r>
      <w:r>
        <w:rPr/>
        <w:t xml:space="preserve">&gt;false&lt;/</w:t>
      </w:r>
      <w:r>
        <w:rPr>
          <w:b/>
        </w:rPr>
        <w:t xml:space="preserve">xsl:otherwise</w:t>
      </w:r>
      <w:r>
        <w:rPr/>
        <w:t xml:space="preserve">&gt;</w:t>
      </w:r>
      <w:r>
        <w:br/>
      </w:r>
      <w:r>
        <w:rPr/>
        <w:t xml:space="preserve">  &lt;/</w:t>
      </w:r>
      <w:r>
        <w:rPr>
          <w:b/>
        </w:rPr>
        <w:t xml:space="preserve">xsl:choose</w:t>
      </w:r>
      <w:r>
        <w:rPr/>
        <w:t xml:space="preserve">&gt;</w:t>
      </w:r>
      <w:r>
        <w:br/>
      </w:r>
      <w:r>
        <w:rPr/>
        <w:t xml:space="preserve"> &lt;/</w:t>
      </w:r>
      <w:r>
        <w:rPr>
          <w:b/>
        </w:rPr>
        <w:t xml:space="preserve">xsl:for-each</w:t>
      </w:r>
      <w:r>
        <w:rPr/>
        <w:t xml:space="preserve">&gt;</w:t>
      </w:r>
      <w:r>
        <w:br/>
      </w:r>
      <w:r>
        <w:rPr/>
        <w:t xml:space="preserve">&lt;/</w:t>
      </w:r>
      <w:r>
        <w:rPr>
          <w:b/>
        </w:rPr>
        <w:t xml:space="preserve">xsl:function</w:t>
      </w:r>
      <w:r>
        <w:rPr/>
        <w:t xml:space="preserve">&gt;</w:t>
      </w:r>
    </w:p>
    <w:p>
      <w:pPr>
        <w:pStyle w:val="Heading1"/>
      </w:pPr>
      <w:bookmarkStart w:id="1006" w:name="_SECTION_1006"/>
      <w:r>
        <w:rPr/>
        <w:t xml:space="preserve">Programme of work and budget</w:t>
      </w:r>
      <w:bookmarkEnd w:id="1006"/>
    </w:p>
    <w:p>
      <w:r>
        <w:rPr/>
        <w:t xml:space="preserve">Many of the details of a formal budget are not yet worked out, but the following is a rough model, showing a total budget of $100,000, divided into labour costs ($57,600), travel and meeting costs ($33,000), and a contingency fund ($9,400). We assume that the work for TEI-Simple will take the equivalent two thirds of a full-time position at an annual salary of ~$87,000, including benefits. We further assume that the work will be done by two research associates on a contract basis and model the project as ten work packages, each to be done in a number of days at a daily cost of $360.00.</w:t>
      </w:r>
    </w:p>
    <w:p>
      <w:r>
        <w:rPr/>
        <w:t xml:space="preserve">The PIs and an advisory panel to be appointed will contribute their time to the project but will be reimbursed for travel expenses. Some of the work will, with the agreement of the TEI Technical Council, be managed under the TEI's existing work group mechanism, which means funding expenses of subject experts for workshop meetings.</w:t>
      </w:r>
    </w:p>
    <w:p>
      <w:r>
        <w:rPr/>
        <w:t xml:space="preserve">Broadly speaking, the work packages run in sequence, each depending on the previous one.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714"/>
        <w:gridCol w:type="pct" w:w="714"/>
        <w:gridCol w:type="pct" w:w="714"/>
        <w:gridCol w:type="pct" w:w="714"/>
        <w:gridCol w:type="pct" w:w="714"/>
        <w:gridCol w:type="pct" w:w="714"/>
        <w:gridCol w:type="pct" w:w="714"/>
      </w:tblGrid>
      <w:tr>
        <w:tblPrEx>
          <w:tblLayout w:type="autofit"/>
        </w:tblPrEx>
        <w:tc>
          <w:tcPr/>
          <w:p>
            <w:pPr>
              <w:pStyle w:val="Tabletext9"/>
            </w:pPr>
            <w:r>
              <w:t/>
            </w:r>
          </w:p>
        </w:tc>
        <w:tc>
          <w:tcPr/>
          <w:p>
            <w:pPr>
              <w:pStyle w:val="Tabletext9"/>
              <w:jc w:val="left"/>
            </w:pPr>
            <w:r>
              <w:rPr/>
              <w:t xml:space="preserve">  </w:t>
            </w:r>
            <w:r>
              <w:rPr>
                <w:b/>
              </w:rPr>
              <w:t xml:space="preserve">Task</w:t>
            </w:r>
            <w:r>
              <w:rPr/>
              <w:t xml:space="preserve">  </w:t>
            </w:r>
          </w:p>
        </w:tc>
        <w:tc>
          <w:tcPr/>
          <w:p>
            <w:pPr>
              <w:pStyle w:val="Tabletext9"/>
              <w:jc w:val="left"/>
            </w:pPr>
            <w:r>
              <w:rPr/>
              <w:t xml:space="preserve">  </w:t>
            </w:r>
            <w:r>
              <w:rPr>
                <w:b/>
              </w:rPr>
              <w:t xml:space="preserve">Method</w:t>
            </w:r>
            <w:r>
              <w:rPr/>
              <w:t xml:space="preserve">  </w:t>
            </w:r>
          </w:p>
        </w:tc>
        <w:tc>
          <w:tcPr/>
          <w:p>
            <w:pPr>
              <w:pStyle w:val="Tabletext9"/>
              <w:jc w:val="left"/>
            </w:pPr>
            <w:r>
              <w:rPr/>
              <w:t xml:space="preserve">  </w:t>
            </w:r>
            <w:r>
              <w:rPr>
                <w:b/>
              </w:rPr>
              <w:t xml:space="preserve">Days</w:t>
            </w:r>
            <w:r>
              <w:rPr/>
              <w:t xml:space="preserve">  </w:t>
            </w:r>
          </w:p>
        </w:tc>
        <w:tc>
          <w:tcPr/>
          <w:p>
            <w:pPr>
              <w:pStyle w:val="Tabletext9"/>
              <w:jc w:val="left"/>
            </w:pPr>
            <w:r>
              <w:rPr/>
              <w:t xml:space="preserve">  </w:t>
            </w:r>
            <w:r>
              <w:rPr>
                <w:b/>
              </w:rPr>
              <w:t xml:space="preserve">Salary cost ($)</w:t>
            </w:r>
            <w:r>
              <w:rPr/>
              <w:t xml:space="preserve">  </w:t>
            </w:r>
          </w:p>
        </w:tc>
        <w:tc>
          <w:tcPr/>
          <w:p>
            <w:pPr>
              <w:pStyle w:val="Tabletext9"/>
              <w:jc w:val="left"/>
            </w:pPr>
            <w:r>
              <w:rPr/>
              <w:t xml:space="preserve">  </w:t>
            </w:r>
            <w:r>
              <w:rPr>
                <w:b/>
              </w:rPr>
              <w:t xml:space="preserve">Expenses cost ($)</w:t>
            </w:r>
            <w:r>
              <w:rPr/>
              <w:t xml:space="preserve">  </w:t>
            </w:r>
          </w:p>
        </w:tc>
        <w:tc>
          <w:tcPr/>
          <w:p>
            <w:pPr>
              <w:pStyle w:val="Tabletext9"/>
            </w:pPr>
            <w:r>
              <w:t/>
            </w:r>
          </w:p>
        </w:tc>
      </w:tr>
      <w:tr>
        <w:tblPrEx>
          <w:tblLayout w:type="autofit"/>
        </w:tblPrEx>
        <w:tc>
          <w:tcPr/>
          <w:p>
            <w:pPr>
              <w:pStyle w:val="Tabletext9"/>
              <w:jc w:val="left"/>
            </w:pPr>
            <w:r>
              <w:rPr/>
              <w:t xml:space="preserve">1</w:t>
            </w:r>
          </w:p>
        </w:tc>
        <w:tc>
          <w:tcPr/>
          <w:p>
            <w:pPr>
              <w:pStyle w:val="Tabletext9"/>
              <w:jc w:val="left"/>
            </w:pPr>
            <w:r>
              <w:rPr/>
              <w:t xml:space="preserve">Management</w:t>
            </w:r>
          </w:p>
        </w:tc>
        <w:tc>
          <w:tcPr/>
          <w:p>
            <w:pPr>
              <w:pStyle w:val="Tabletext9"/>
              <w:jc w:val="left"/>
            </w:pPr>
            <w:r>
              <w:rPr/>
              <w:t xml:space="preserve">Three face to face meetings of the PIs and the advisory group; tri-weekly video-conference planning meetings</w:t>
            </w:r>
          </w:p>
        </w:tc>
        <w:tc>
          <w:tcPr/>
          <w:p>
            <w:pPr>
              <w:pStyle w:val="Tabletext9"/>
              <w:jc w:val="left"/>
            </w:pPr>
            <w:r>
              <w:rPr/>
              <w:t xml:space="preserve">0</w:t>
            </w:r>
          </w:p>
        </w:tc>
        <w:tc>
          <w:tcPr/>
          <w:p>
            <w:pPr>
              <w:pStyle w:val="Tabletext9"/>
              <w:jc w:val="left"/>
            </w:pPr>
            <w:r>
              <w:rPr/>
              <w:t xml:space="preserve">0</w:t>
            </w:r>
          </w:p>
        </w:tc>
        <w:tc>
          <w:tcPr/>
          <w:p>
            <w:pPr>
              <w:pStyle w:val="Tabletext9"/>
              <w:jc w:val="left"/>
            </w:pPr>
            <w:r>
              <w:rPr/>
              <w:t xml:space="preserve">18,000</w:t>
            </w:r>
          </w:p>
        </w:tc>
        <w:tc>
          <w:tcPr/>
          <w:p>
            <w:pPr>
              <w:pStyle w:val="Tabletext9"/>
            </w:pPr>
            <w:r>
              <w:t/>
            </w:r>
          </w:p>
        </w:tc>
      </w:tr>
      <w:tr>
        <w:tblPrEx>
          <w:tblLayout w:type="autofit"/>
        </w:tblPrEx>
        <w:tc>
          <w:tcPr/>
          <w:p>
            <w:pPr>
              <w:pStyle w:val="Tabletext9"/>
              <w:jc w:val="left"/>
            </w:pPr>
            <w:r>
              <w:rPr/>
              <w:t xml:space="preserve">2</w:t>
            </w:r>
          </w:p>
        </w:tc>
        <w:tc>
          <w:tcPr/>
          <w:p>
            <w:pPr>
              <w:pStyle w:val="Tabletext9"/>
              <w:jc w:val="left"/>
            </w:pPr>
            <w:r>
              <w:rPr/>
              <w:t xml:space="preserve">Definition of the prescriptive subset in TEI ODD</w:t>
            </w:r>
          </w:p>
        </w:tc>
        <w:tc>
          <w:tcPr/>
          <w:p>
            <w:pPr>
              <w:pStyle w:val="Tabletext9"/>
              <w:jc w:val="left"/>
            </w:pPr>
            <w:r>
              <w:rPr/>
              <w:t xml:space="preserve">Researcher 1, Pis, community</w:t>
            </w:r>
          </w:p>
        </w:tc>
        <w:tc>
          <w:tcPr/>
          <w:p>
            <w:pPr>
              <w:pStyle w:val="Tabletext9"/>
              <w:jc w:val="left"/>
            </w:pPr>
            <w:r>
              <w:rPr/>
              <w:t xml:space="preserve">30</w:t>
            </w:r>
          </w:p>
        </w:tc>
        <w:tc>
          <w:tcPr/>
          <w:p>
            <w:pPr>
              <w:pStyle w:val="Tabletext9"/>
              <w:jc w:val="left"/>
            </w:pPr>
            <w:r>
              <w:rPr/>
              <w:t xml:space="preserve">10,800</w:t>
            </w:r>
          </w:p>
        </w:tc>
        <w:tc>
          <w:tcPr/>
          <w:p>
            <w:pPr>
              <w:pStyle w:val="Tabletext9"/>
            </w:pPr>
            <w:r>
              <w:t/>
            </w:r>
          </w:p>
        </w:tc>
        <w:tc>
          <w:tcPr/>
          <w:p>
            <w:pPr>
              <w:pStyle w:val="Tabletext9"/>
            </w:pPr>
            <w:r>
              <w:t/>
            </w:r>
          </w:p>
        </w:tc>
      </w:tr>
      <w:tr>
        <w:tblPrEx>
          <w:tblLayout w:type="autofit"/>
        </w:tblPrEx>
        <w:tc>
          <w:tcPr/>
          <w:p>
            <w:pPr>
              <w:pStyle w:val="Tabletext9"/>
              <w:jc w:val="left"/>
            </w:pPr>
            <w:r>
              <w:rPr/>
              <w:t xml:space="preserve">3</w:t>
            </w:r>
          </w:p>
        </w:tc>
        <w:tc>
          <w:tcPr/>
          <w:p>
            <w:pPr>
              <w:pStyle w:val="Tabletext9"/>
              <w:jc w:val="left"/>
            </w:pPr>
            <w:r>
              <w:rPr/>
              <w:t xml:space="preserve">Extension to the TEI ODD language to support processing expectations</w:t>
            </w:r>
          </w:p>
        </w:tc>
        <w:tc>
          <w:tcPr/>
          <w:p>
            <w:pPr>
              <w:pStyle w:val="Tabletext9"/>
              <w:jc w:val="left"/>
            </w:pPr>
            <w:r>
              <w:rPr/>
              <w:t xml:space="preserve">TEI working group, 2 meetings</w:t>
            </w:r>
          </w:p>
        </w:tc>
        <w:tc>
          <w:tcPr/>
          <w:p>
            <w:pPr>
              <w:pStyle w:val="Tabletext9"/>
            </w:pPr>
            <w:r>
              <w:t/>
            </w:r>
          </w:p>
        </w:tc>
        <w:tc>
          <w:tcPr/>
          <w:p>
            <w:pPr>
              <w:pStyle w:val="Tabletext9"/>
            </w:pPr>
            <w:r>
              <w:t/>
            </w:r>
          </w:p>
        </w:tc>
        <w:tc>
          <w:tcPr/>
          <w:p>
            <w:pPr>
              <w:pStyle w:val="Tabletext9"/>
              <w:jc w:val="left"/>
            </w:pPr>
            <w:r>
              <w:rPr/>
              <w:t xml:space="preserve">15,000</w:t>
            </w:r>
          </w:p>
        </w:tc>
        <w:tc>
          <w:tcPr/>
          <w:p>
            <w:pPr>
              <w:pStyle w:val="Tabletext9"/>
            </w:pPr>
            <w:r>
              <w:t/>
            </w:r>
          </w:p>
        </w:tc>
      </w:tr>
      <w:tr>
        <w:tblPrEx>
          <w:tblLayout w:type="autofit"/>
        </w:tblPrEx>
        <w:tc>
          <w:tcPr/>
          <w:p>
            <w:pPr>
              <w:pStyle w:val="Tabletext9"/>
              <w:jc w:val="left"/>
            </w:pPr>
            <w:r>
              <w:rPr/>
              <w:t xml:space="preserve">4</w:t>
            </w:r>
          </w:p>
        </w:tc>
        <w:tc>
          <w:tcPr/>
          <w:p>
            <w:pPr>
              <w:pStyle w:val="Tabletext9"/>
              <w:jc w:val="left"/>
            </w:pPr>
            <w:r>
              <w:rPr/>
              <w:t xml:space="preserve">Definition of processing expectations for TEI Simple</w:t>
            </w:r>
          </w:p>
        </w:tc>
        <w:tc>
          <w:tcPr/>
          <w:p>
            <w:pPr>
              <w:pStyle w:val="Tabletext9"/>
              <w:jc w:val="left"/>
            </w:pPr>
            <w:r>
              <w:rPr/>
              <w:t xml:space="preserve">Researcher 1</w:t>
            </w:r>
          </w:p>
        </w:tc>
        <w:tc>
          <w:tcPr/>
          <w:p>
            <w:pPr>
              <w:pStyle w:val="Tabletext9"/>
              <w:jc w:val="left"/>
            </w:pPr>
            <w:r>
              <w:rPr/>
              <w:t xml:space="preserve">25</w:t>
            </w:r>
          </w:p>
        </w:tc>
        <w:tc>
          <w:tcPr/>
          <w:p>
            <w:pPr>
              <w:pStyle w:val="Tabletext9"/>
              <w:jc w:val="left"/>
            </w:pPr>
            <w:r>
              <w:rPr/>
              <w:t xml:space="preserve">9,000</w:t>
            </w:r>
          </w:p>
        </w:tc>
        <w:tc>
          <w:tcPr/>
          <w:p>
            <w:pPr>
              <w:pStyle w:val="Tabletext9"/>
            </w:pPr>
            <w:r>
              <w:t/>
            </w:r>
          </w:p>
        </w:tc>
        <w:tc>
          <w:tcPr/>
          <w:p>
            <w:pPr>
              <w:pStyle w:val="Tabletext9"/>
            </w:pPr>
            <w:r>
              <w:t/>
            </w:r>
          </w:p>
        </w:tc>
      </w:tr>
      <w:tr>
        <w:tblPrEx>
          <w:tblLayout w:type="autofit"/>
        </w:tblPrEx>
        <w:tc>
          <w:tcPr/>
          <w:p>
            <w:pPr>
              <w:pStyle w:val="Tabletext9"/>
              <w:jc w:val="left"/>
            </w:pPr>
            <w:r>
              <w:rPr/>
              <w:t xml:space="preserve">5</w:t>
            </w:r>
          </w:p>
        </w:tc>
        <w:tc>
          <w:tcPr/>
          <w:p>
            <w:pPr>
              <w:pStyle w:val="Tabletext9"/>
              <w:jc w:val="left"/>
            </w:pPr>
            <w:r>
              <w:rPr/>
              <w:t xml:space="preserve">Implementation of processing expectations</w:t>
            </w:r>
          </w:p>
        </w:tc>
        <w:tc>
          <w:tcPr/>
          <w:p>
            <w:pPr>
              <w:pStyle w:val="Tabletext9"/>
              <w:jc w:val="left"/>
            </w:pPr>
            <w:r>
              <w:rPr/>
              <w:t xml:space="preserve">PIs, Researcher 2, community</w:t>
            </w:r>
          </w:p>
        </w:tc>
        <w:tc>
          <w:tcPr/>
          <w:p>
            <w:pPr>
              <w:pStyle w:val="Tabletext9"/>
              <w:jc w:val="left"/>
            </w:pPr>
            <w:r>
              <w:rPr/>
              <w:t xml:space="preserve">30</w:t>
            </w:r>
          </w:p>
        </w:tc>
        <w:tc>
          <w:tcPr/>
          <w:p>
            <w:pPr>
              <w:pStyle w:val="Tabletext9"/>
              <w:jc w:val="left"/>
            </w:pPr>
            <w:r>
              <w:rPr/>
              <w:t xml:space="preserve">10,800</w:t>
            </w:r>
          </w:p>
        </w:tc>
        <w:tc>
          <w:tcPr/>
          <w:p>
            <w:pPr>
              <w:pStyle w:val="Tabletext9"/>
            </w:pPr>
            <w:r>
              <w:t/>
            </w:r>
          </w:p>
        </w:tc>
        <w:tc>
          <w:tcPr/>
          <w:p>
            <w:pPr>
              <w:pStyle w:val="Tabletext9"/>
            </w:pPr>
            <w:r>
              <w:t/>
            </w:r>
          </w:p>
        </w:tc>
      </w:tr>
      <w:tr>
        <w:tblPrEx>
          <w:tblLayout w:type="autofit"/>
        </w:tblPrEx>
        <w:tc>
          <w:tcPr/>
          <w:p>
            <w:pPr>
              <w:pStyle w:val="Tabletext9"/>
              <w:jc w:val="left"/>
            </w:pPr>
            <w:r>
              <w:rPr/>
              <w:t xml:space="preserve">6</w:t>
            </w:r>
          </w:p>
        </w:tc>
        <w:tc>
          <w:tcPr/>
          <w:p>
            <w:pPr>
              <w:pStyle w:val="Tabletext9"/>
              <w:jc w:val="left"/>
            </w:pPr>
            <w:r>
              <w:rPr/>
              <w:t xml:space="preserve">Maintainable open access documentation for TEI Simple</w:t>
            </w:r>
          </w:p>
        </w:tc>
        <w:tc>
          <w:tcPr/>
          <w:p>
            <w:pPr>
              <w:pStyle w:val="Tabletext9"/>
              <w:jc w:val="left"/>
            </w:pPr>
            <w:r>
              <w:rPr/>
              <w:t xml:space="preserve">Researcher 1</w:t>
            </w:r>
          </w:p>
        </w:tc>
        <w:tc>
          <w:tcPr/>
          <w:p>
            <w:pPr>
              <w:pStyle w:val="Tabletext9"/>
              <w:jc w:val="left"/>
            </w:pPr>
            <w:r>
              <w:rPr/>
              <w:t xml:space="preserve">20</w:t>
            </w:r>
          </w:p>
        </w:tc>
        <w:tc>
          <w:tcPr/>
          <w:p>
            <w:pPr>
              <w:pStyle w:val="Tabletext9"/>
              <w:jc w:val="left"/>
            </w:pPr>
            <w:r>
              <w:rPr/>
              <w:t xml:space="preserve">7,200</w:t>
            </w:r>
          </w:p>
        </w:tc>
        <w:tc>
          <w:tcPr/>
          <w:p>
            <w:pPr>
              <w:pStyle w:val="Tabletext9"/>
            </w:pPr>
            <w:r>
              <w:t/>
            </w:r>
          </w:p>
        </w:tc>
        <w:tc>
          <w:tcPr/>
          <w:p>
            <w:pPr>
              <w:pStyle w:val="Tabletext9"/>
            </w:pPr>
            <w:r>
              <w:t/>
            </w:r>
          </w:p>
        </w:tc>
      </w:tr>
      <w:tr>
        <w:tblPrEx>
          <w:tblLayout w:type="autofit"/>
        </w:tblPrEx>
        <w:tc>
          <w:tcPr/>
          <w:p>
            <w:pPr>
              <w:pStyle w:val="Tabletext9"/>
              <w:jc w:val="left"/>
            </w:pPr>
            <w:r>
              <w:rPr/>
              <w:t xml:space="preserve">7</w:t>
            </w:r>
          </w:p>
        </w:tc>
        <w:tc>
          <w:tcPr/>
          <w:p>
            <w:pPr>
              <w:pStyle w:val="Tabletext9"/>
              <w:jc w:val="left"/>
            </w:pPr>
            <w:r>
              <w:rPr/>
              <w:t xml:space="preserve">Mapping TEI Simple to other ontologies</w:t>
            </w:r>
          </w:p>
        </w:tc>
        <w:tc>
          <w:tcPr/>
          <w:p>
            <w:pPr>
              <w:pStyle w:val="Tabletext9"/>
              <w:jc w:val="left"/>
            </w:pPr>
            <w:r>
              <w:rPr/>
              <w:t xml:space="preserve">PIs, Researcher 1</w:t>
            </w:r>
          </w:p>
        </w:tc>
        <w:tc>
          <w:tcPr/>
          <w:p>
            <w:pPr>
              <w:pStyle w:val="Tabletext9"/>
              <w:jc w:val="left"/>
            </w:pPr>
            <w:r>
              <w:rPr/>
              <w:t xml:space="preserve">15</w:t>
            </w:r>
          </w:p>
        </w:tc>
        <w:tc>
          <w:tcPr/>
          <w:p>
            <w:pPr>
              <w:pStyle w:val="Tabletext9"/>
              <w:jc w:val="left"/>
            </w:pPr>
            <w:r>
              <w:rPr/>
              <w:t xml:space="preserve">5,400</w:t>
            </w:r>
          </w:p>
        </w:tc>
        <w:tc>
          <w:tcPr/>
          <w:p>
            <w:pPr>
              <w:pStyle w:val="Tabletext9"/>
            </w:pPr>
            <w:r>
              <w:t/>
            </w:r>
          </w:p>
        </w:tc>
        <w:tc>
          <w:tcPr/>
          <w:p>
            <w:pPr>
              <w:pStyle w:val="Tabletext9"/>
            </w:pPr>
            <w:r>
              <w:t/>
            </w:r>
          </w:p>
        </w:tc>
      </w:tr>
      <w:tr>
        <w:tblPrEx>
          <w:tblLayout w:type="autofit"/>
        </w:tblPrEx>
        <w:tc>
          <w:tcPr/>
          <w:p>
            <w:pPr>
              <w:pStyle w:val="Tabletext9"/>
              <w:jc w:val="left"/>
            </w:pPr>
            <w:r>
              <w:rPr/>
              <w:t xml:space="preserve">8</w:t>
            </w:r>
          </w:p>
        </w:tc>
        <w:tc>
          <w:tcPr/>
          <w:p>
            <w:pPr>
              <w:pStyle w:val="Tabletext9"/>
              <w:jc w:val="left"/>
            </w:pPr>
            <w:r>
              <w:rPr/>
              <w:t xml:space="preserve">Development of a markup system for recording the formal profile of a text</w:t>
            </w:r>
          </w:p>
        </w:tc>
        <w:tc>
          <w:tcPr/>
          <w:p>
            <w:pPr>
              <w:pStyle w:val="Tabletext9"/>
              <w:jc w:val="left"/>
            </w:pPr>
            <w:r>
              <w:rPr/>
              <w:t xml:space="preserve">Researcher 1, community</w:t>
            </w:r>
          </w:p>
        </w:tc>
        <w:tc>
          <w:tcPr/>
          <w:p>
            <w:pPr>
              <w:pStyle w:val="Tabletext9"/>
              <w:jc w:val="left"/>
            </w:pPr>
            <w:r>
              <w:rPr/>
              <w:t xml:space="preserve">15</w:t>
            </w:r>
          </w:p>
        </w:tc>
        <w:tc>
          <w:tcPr/>
          <w:p>
            <w:pPr>
              <w:pStyle w:val="Tabletext9"/>
              <w:jc w:val="left"/>
            </w:pPr>
            <w:r>
              <w:rPr/>
              <w:t xml:space="preserve">5,400</w:t>
            </w:r>
          </w:p>
        </w:tc>
        <w:tc>
          <w:tcPr/>
          <w:p>
            <w:pPr>
              <w:pStyle w:val="Tabletext9"/>
            </w:pPr>
            <w:r>
              <w:t/>
            </w:r>
          </w:p>
        </w:tc>
        <w:tc>
          <w:tcPr/>
          <w:p>
            <w:pPr>
              <w:pStyle w:val="Tabletext9"/>
            </w:pPr>
            <w:r>
              <w:t/>
            </w:r>
          </w:p>
        </w:tc>
      </w:tr>
      <w:tr>
        <w:tblPrEx>
          <w:tblLayout w:type="autofit"/>
        </w:tblPrEx>
        <w:tc>
          <w:tcPr/>
          <w:p>
            <w:pPr>
              <w:pStyle w:val="Tabletext9"/>
              <w:jc w:val="left"/>
            </w:pPr>
            <w:r>
              <w:rPr/>
              <w:t xml:space="preserve">9</w:t>
            </w:r>
          </w:p>
        </w:tc>
        <w:tc>
          <w:tcPr/>
          <w:p>
            <w:pPr>
              <w:pStyle w:val="Tabletext9"/>
              <w:jc w:val="left"/>
            </w:pPr>
            <w:r>
              <w:rPr/>
              <w:t xml:space="preserve">Implementation of profile reporting</w:t>
            </w:r>
          </w:p>
        </w:tc>
        <w:tc>
          <w:tcPr/>
          <w:p>
            <w:pPr>
              <w:pStyle w:val="Tabletext9"/>
              <w:jc w:val="left"/>
            </w:pPr>
            <w:r>
              <w:rPr/>
              <w:t xml:space="preserve">Researcher 2</w:t>
            </w:r>
          </w:p>
        </w:tc>
        <w:tc>
          <w:tcPr/>
          <w:p>
            <w:pPr>
              <w:pStyle w:val="Tabletext9"/>
              <w:jc w:val="left"/>
            </w:pPr>
            <w:r>
              <w:rPr/>
              <w:t xml:space="preserve">25</w:t>
            </w:r>
          </w:p>
        </w:tc>
        <w:tc>
          <w:tcPr/>
          <w:p>
            <w:pPr>
              <w:pStyle w:val="Tabletext9"/>
              <w:jc w:val="left"/>
            </w:pPr>
            <w:r>
              <w:rPr/>
              <w:t xml:space="preserve">9,000</w:t>
            </w:r>
          </w:p>
        </w:tc>
        <w:tc>
          <w:tcPr/>
          <w:p>
            <w:pPr>
              <w:pStyle w:val="Tabletext9"/>
            </w:pPr>
            <w:r>
              <w:t/>
            </w:r>
          </w:p>
        </w:tc>
        <w:tc>
          <w:tcPr/>
          <w:p>
            <w:pPr>
              <w:pStyle w:val="Tabletext9"/>
            </w:pPr>
            <w:r>
              <w:t/>
            </w:r>
          </w:p>
        </w:tc>
      </w:tr>
      <w:tr>
        <w:tblPrEx>
          <w:tblLayout w:type="autofit"/>
        </w:tblPrEx>
        <w:tc>
          <w:tcPr/>
          <w:bookmarkStart w:id="20004" w:name="GoBack1"/>
          <w:bookmarkEnd w:id="20004"/>
          <w:p>
            <w:pPr>
              <w:pStyle w:val="Tabletext9"/>
              <w:jc w:val="left"/>
            </w:pPr>
            <w:r>
              <w:rPr/>
              <w:t xml:space="preserve">10</w:t>
            </w:r>
          </w:p>
        </w:tc>
        <w:tc>
          <w:tcPr/>
          <w:p>
            <w:pPr>
              <w:pStyle w:val="Tabletext9"/>
              <w:jc w:val="left"/>
            </w:pPr>
            <w:r>
              <w:rPr/>
              <w:t xml:space="preserve">Integration of TEI Simple into the Guidelines and other TEI Consortium infrastructure</w:t>
            </w:r>
          </w:p>
        </w:tc>
        <w:tc>
          <w:tcPr/>
          <w:p>
            <w:pPr>
              <w:pStyle w:val="Tabletext9"/>
              <w:jc w:val="left"/>
            </w:pPr>
            <w:r>
              <w:rPr/>
              <w:t xml:space="preserve">Discussion with TEI Council, PIs</w:t>
            </w:r>
          </w:p>
        </w:tc>
        <w:tc>
          <w:tcPr/>
          <w:p>
            <w:pPr>
              <w:pStyle w:val="Tabletext9"/>
            </w:pPr>
            <w:r>
              <w:t/>
            </w:r>
          </w:p>
        </w:tc>
        <w:tc>
          <w:tcPr/>
          <w:p>
            <w:pPr>
              <w:pStyle w:val="Tabletext9"/>
            </w:pPr>
            <w:r>
              <w:t/>
            </w:r>
          </w:p>
        </w:tc>
        <w:tc>
          <w:tcPr/>
          <w:p>
            <w:pPr>
              <w:pStyle w:val="Tabletext9"/>
            </w:pPr>
            <w:r>
              <w:t/>
            </w:r>
          </w:p>
        </w:tc>
        <w:tc>
          <w:tcPr/>
          <w:p>
            <w:pPr>
              <w:pStyle w:val="Tabletext9"/>
            </w:pPr>
            <w:r>
              <w:t/>
            </w:r>
          </w:p>
        </w:tc>
      </w:tr>
      <w:tr>
        <w:tblPrEx>
          <w:tblLayout w:type="autofit"/>
        </w:tblPrEx>
        <w:tc>
          <w:tcPr/>
          <w:p>
            <w:pPr>
              <w:pStyle w:val="Tabletext9"/>
              <w:jc w:val="left"/>
            </w:pPr>
            <w:r>
              <w:rPr/>
              <w:t xml:space="preserve">11</w:t>
            </w:r>
          </w:p>
        </w:tc>
        <w:tc>
          <w:tcPr/>
          <w:p>
            <w:pPr>
              <w:pStyle w:val="Tabletext9"/>
              <w:jc w:val="left"/>
            </w:pPr>
            <w:r>
              <w:rPr/>
              <w:t xml:space="preserve">User validation</w:t>
            </w:r>
          </w:p>
        </w:tc>
        <w:tc>
          <w:tcPr/>
          <w:p>
            <w:pPr>
              <w:pStyle w:val="Tabletext9"/>
              <w:jc w:val="left"/>
            </w:pPr>
            <w:r>
              <w:rPr/>
              <w:t xml:space="preserve">Open workshop at midpoint of project</w:t>
            </w:r>
          </w:p>
        </w:tc>
        <w:tc>
          <w:tcPr/>
          <w:p>
            <w:pPr>
              <w:pStyle w:val="Tabletext9"/>
            </w:pPr>
            <w:r>
              <w:t/>
            </w:r>
          </w:p>
        </w:tc>
        <w:tc>
          <w:tcPr/>
          <w:p>
            <w:pPr>
              <w:pStyle w:val="Tabletext9"/>
            </w:pPr>
            <w:r>
              <w:t/>
            </w:r>
          </w:p>
        </w:tc>
        <w:tc>
          <w:tcPr/>
          <w:p>
            <w:pPr>
              <w:pStyle w:val="Tabletext9"/>
              <w:jc w:val="left"/>
            </w:pPr>
            <w:r>
              <w:rPr/>
              <w:t xml:space="preserve">5,000</w:t>
            </w:r>
          </w:p>
        </w:tc>
        <w:tc>
          <w:tcPr/>
          <w:p>
            <w:pPr>
              <w:pStyle w:val="Tabletext9"/>
            </w:pPr>
            <w:r>
              <w:t/>
            </w:r>
          </w:p>
        </w:tc>
      </w:tr>
      <w:tr>
        <w:tblPrEx>
          <w:tblLayout w:type="autofit"/>
        </w:tblPrEx>
        <w:tc>
          <w:tcPr/>
          <w:p>
            <w:pPr>
              <w:pStyle w:val="Tabletext9"/>
            </w:pPr>
            <w:r>
              <w:t/>
            </w:r>
          </w:p>
        </w:tc>
        <w:tc>
          <w:tcPr/>
          <w:p>
            <w:pPr>
              <w:pStyle w:val="Tabletext9"/>
              <w:jc w:val="left"/>
            </w:pPr>
            <w:r>
              <w:rPr/>
              <w:t xml:space="preserve">Contingency </w:t>
            </w:r>
          </w:p>
        </w:tc>
        <w:tc>
          <w:tcPr/>
          <w:p>
            <w:pPr>
              <w:pStyle w:val="Tabletext9"/>
            </w:pPr>
            <w:r>
              <w:t/>
            </w:r>
          </w:p>
        </w:tc>
        <w:tc>
          <w:tcPr/>
          <w:p>
            <w:pPr>
              <w:pStyle w:val="Tabletext9"/>
            </w:pPr>
            <w:r>
              <w:t/>
            </w:r>
          </w:p>
        </w:tc>
        <w:tc>
          <w:tcPr/>
          <w:p>
            <w:pPr>
              <w:pStyle w:val="Tabletext9"/>
            </w:pPr>
            <w:r>
              <w:t/>
            </w:r>
          </w:p>
        </w:tc>
        <w:tc>
          <w:tcPr/>
          <w:p>
            <w:pPr>
              <w:pStyle w:val="Tabletext9"/>
              <w:jc w:val="left"/>
            </w:pPr>
            <w:r>
              <w:rPr/>
              <w:t xml:space="preserve">4,400</w:t>
            </w:r>
          </w:p>
        </w:tc>
        <w:tc>
          <w:tcPr/>
          <w:p>
            <w:pPr>
              <w:pStyle w:val="Tabletext9"/>
            </w:pPr>
            <w:r>
              <w:t/>
            </w:r>
          </w:p>
        </w:tc>
      </w:tr>
      <w:tr>
        <w:tblPrEx>
          <w:tblLayout w:type="autofit"/>
        </w:tblPrEx>
        <w:tc>
          <w:tcPr/>
          <w:p>
            <w:pPr>
              <w:pStyle w:val="Tabletext9"/>
            </w:pPr>
            <w:r>
              <w:t/>
            </w:r>
          </w:p>
        </w:tc>
        <w:tc>
          <w:tcPr/>
          <w:p>
            <w:pPr>
              <w:pStyle w:val="Tabletext9"/>
              <w:jc w:val="left"/>
            </w:pPr>
            <w:r>
              <w:rPr/>
              <w:t xml:space="preserve">  </w:t>
            </w:r>
            <w:r>
              <w:rPr>
                <w:b/>
              </w:rPr>
              <w:t xml:space="preserve">Total budget</w:t>
            </w:r>
            <w:r>
              <w:rPr/>
              <w:t xml:space="preserve">  </w:t>
            </w:r>
          </w:p>
        </w:tc>
        <w:tc>
          <w:tcPr/>
          <w:p>
            <w:pPr>
              <w:pStyle w:val="Tabletext9"/>
            </w:pPr>
            <w:r>
              <w:t/>
            </w:r>
          </w:p>
        </w:tc>
        <w:tc>
          <w:tcPr/>
          <w:p>
            <w:pPr>
              <w:pStyle w:val="Tabletext9"/>
              <w:jc w:val="left"/>
            </w:pPr>
            <w:r>
              <w:rPr/>
              <w:t xml:space="preserve">  </w:t>
            </w:r>
            <w:r>
              <w:rPr>
                <w:b/>
              </w:rPr>
              <w:t xml:space="preserve">160</w:t>
            </w:r>
            <w:r>
              <w:rPr/>
              <w:t xml:space="preserve">  </w:t>
            </w:r>
          </w:p>
        </w:tc>
        <w:tc>
          <w:tcPr/>
          <w:p>
            <w:pPr>
              <w:pStyle w:val="Tabletext9"/>
              <w:jc w:val="left"/>
            </w:pPr>
            <w:r>
              <w:rPr/>
              <w:t xml:space="preserve">  </w:t>
            </w:r>
            <w:r>
              <w:rPr>
                <w:b/>
              </w:rPr>
              <w:t xml:space="preserve">57,600</w:t>
            </w:r>
            <w:r>
              <w:rPr/>
              <w:t xml:space="preserve">  </w:t>
            </w:r>
          </w:p>
        </w:tc>
        <w:tc>
          <w:tcPr/>
          <w:p>
            <w:pPr>
              <w:pStyle w:val="Tabletext9"/>
              <w:jc w:val="left"/>
            </w:pPr>
            <w:r>
              <w:rPr/>
              <w:t xml:space="preserve">  </w:t>
            </w:r>
            <w:r>
              <w:rPr>
                <w:b/>
              </w:rPr>
              <w:t xml:space="preserve">42,400</w:t>
            </w:r>
            <w:r>
              <w:rPr/>
              <w:t xml:space="preserve">  </w:t>
            </w:r>
          </w:p>
        </w:tc>
        <w:tc>
          <w:tcPr/>
          <w:p>
            <w:pPr>
              <w:pStyle w:val="Tabletext9"/>
              <w:jc w:val="left"/>
            </w:pPr>
            <w:r>
              <w:rPr/>
              <w:t xml:space="preserve">  </w:t>
            </w:r>
            <w:r>
              <w:rPr>
                <w:b/>
              </w:rPr>
              <w:t xml:space="preserve">100,000</w:t>
            </w:r>
            <w:r>
              <w:rPr/>
              <w:t xml:space="preserve">  </w:t>
            </w:r>
          </w:p>
        </w:tc>
      </w:tr>
    </w:tbl>
    <w:p/>
    <w:bookmarkStart w:id="20005" w:name="SECTION_1005"/>
    <w:bookmarkEnd w:id="20005"/>
    <w:p>
      <w:pPr>
        <w:pStyle w:val="Heading1"/>
      </w:pPr>
      <w:r>
        <w:rPr/>
        <w:t xml:space="preserve">Collaboration, management, timing</w:t>
      </w:r>
    </w:p>
    <w:p>
      <w:r>
        <w:rPr/>
        <w:t xml:space="preserve">TEI Simple is a cross-Atlantic collaboration between (at least) the following partners:</w:t>
      </w:r>
    </w:p>
    <w:p>
      <w:pPr>
        <w:pStyle w:val="ListNumber"/>
        <w:numPr>
          <w:ilvl w:val="0"/>
          <w:numId w:val="104"/>
        </w:numPr>
      </w:pPr>
      <w:r>
        <w:rPr/>
        <w:t xml:space="preserve">Northwestern University, Chicago: Professor Martin Mueller</w:t>
      </w:r>
    </w:p>
    <w:p>
      <w:pPr>
        <w:pStyle w:val="ListNumber"/>
        <w:numPr>
          <w:ilvl w:val="0"/>
          <w:numId w:val="104"/>
        </w:numPr>
      </w:pPr>
      <w:r>
        <w:rPr/>
        <w:t xml:space="preserve">The University of Oxford: Sebastian Rahtz</w:t>
      </w:r>
    </w:p>
    <w:p>
      <w:pPr>
        <w:pStyle w:val="ListNumber"/>
        <w:numPr>
          <w:ilvl w:val="0"/>
          <w:numId w:val="104"/>
        </w:numPr>
      </w:pPr>
      <w:r>
        <w:rPr/>
        <w:t xml:space="preserve">The Text Encoding Initiative Consortium: Elena Pierazzo (Chair)</w:t>
      </w:r>
    </w:p>
    <w:p>
      <w:pPr>
        <w:pStyle w:val="ListNumber"/>
        <w:numPr>
          <w:ilvl w:val="0"/>
          <w:numId w:val="104"/>
        </w:numPr>
      </w:pPr>
      <w:r>
        <w:rPr/>
        <w:t xml:space="preserve">The University of Nebraska, Brian Pytlig-Zillig</w:t>
      </w:r>
    </w:p>
    <w:p>
      <w:pPr>
        <w:pStyle w:val="ListNumber"/>
        <w:numPr>
          <w:ilvl w:val="0"/>
          <w:numId w:val="104"/>
        </w:numPr>
      </w:pPr>
      <w:r>
        <w:rPr/>
        <w:t xml:space="preserve">Université Paris-Sorbonne: Frédéric Glorieux and Vincent Jolivet</w:t>
      </w:r>
    </w:p>
    <w:p>
      <w:pPr>
        <w:pStyle w:val="ListNumber"/>
        <w:numPr>
          <w:ilvl w:val="0"/>
          <w:numId w:val="104"/>
        </w:numPr>
      </w:pPr>
      <w:r>
        <w:rPr/>
        <w:t xml:space="preserve">The Deutsches Textarchiv (DTA)</w:t>
      </w:r>
    </w:p>
    <w:p>
      <w:pPr>
        <w:pStyle w:val="ListNumber"/>
        <w:numPr>
          <w:ilvl w:val="0"/>
          <w:numId w:val="104"/>
        </w:numPr>
      </w:pPr>
      <w:r>
        <w:rPr/>
        <w:t xml:space="preserve">TextGrid</w:t>
      </w:r>
    </w:p>
    <w:p>
      <w:r>
        <w:rPr/>
        <w:t xml:space="preserve">The project will be directed by Martin Mueller (Northwestern) and Sebastian Rahtz (Oxford). </w:t>
      </w:r>
    </w:p>
    <w:p>
      <w:r>
        <w:rPr/>
        <w:t xml:space="preserve">TEI Simple will commence work on 1st May 2014, and aim to complete the first stage of work in time for the TEI Annual Meeting in late October 2014. The launch at the Annual Meeting will be followed by six more months of development and revision before final sign-off on May 1st 2015.</w:t>
      </w:r>
    </w:p>
    <w:sectPr>
      <w:footerReference xmlns:r="http://schemas.openxmlformats.org/officeDocument/2006/relationships" w:type="even" r:id="rId101"/>
      <w:footerReference xmlns:r="http://schemas.openxmlformats.org/officeDocument/2006/relationships" w:type="default" r:id="rId102"/>
      <w:footerReference xmlns:r="http://schemas.openxmlformats.org/officeDocument/2006/relationships" w:type="first" r:id="rId103"/>
      <w:headerReference xmlns:r="http://schemas.openxmlformats.org/officeDocument/2006/relationships" w:type="even" r:id="rId104"/>
      <w:headerReference xmlns:r="http://schemas.openxmlformats.org/officeDocument/2006/relationships" w:type="default" r:id="rId105"/>
      <w:headerReference xmlns:r="http://schemas.openxmlformats.org/officeDocument/2006/relationships" w:type="first" r:id="rId106"/>
      <w:footnotePr>
        <w:numFmt w:val="decimal"/>
      </w:footnotePr>
      <w:pgSz w:w="12240" w:h="15840"/>
      <w:pgMar w:top="1440" w:right="1440" w:bottom="1440" w:left="1440" w:gutter="0" w:footer="720" w:header="720"/>
      <w:titlePg/>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DejaVu Sans Mono">
    <w:panose1 w:val="020B0609030804020204"/>
    <w:charset w:val="00"/>
    <w:family w:val="auto"/>
    <w:pitch w:val="variable"/>
    <w:sig w:usb0="E60026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4D"/>
    <w:family w:val="modern"/>
    <w:notTrueType/>
    <w:pitch w:val="fixed"/>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mv="urn:schemas-microsoft-com:mac:vml" xmlns:mo="http://schemas.microsoft.com/office/mac/office/2008/main" xmlns:w="http://schemas.openxmlformats.org/wordprocessingml/2006/main">
  <w:p>
    <w:pPr>
      <w:pStyle w:val="Footer"/>
    </w:pPr>
    <w:fldSimple w:instr=" PAGE \* MERGEFORMAT ">
      <w:r>
        <w:rPr>
          <w:noProof/>
        </w:rPr>
        <w:t>1</w:t>
      </w:r>
    </w:fldSimple>
    <w:r>
      <w:ptab w:relativeTo="margin" w:alignment="center" w:leader="none"/>
    </w:r>
    <w:r>
      <w:ptab w:relativeTo="margin" w:alignment="right" w:leader="none"/>
    </w:r>
  </w:p>
</w:ftr>
</file>

<file path=word/footer2.xml><?xml version="1.0" encoding="utf-8"?>
<w:ftr xmlns:mv="urn:schemas-microsoft-com:mac:vml" xmlns:mo="http://schemas.microsoft.com/office/mac/office/2008/main" xmlns:w="http://schemas.openxmlformats.org/wordprocessingml/2006/main">
  <w:p>
    <w:pPr>
      <w:pStyle w:val="Footer"/>
    </w:pPr>
    <w:r>
      <w:ptab w:relativeTo="margin" w:alignment="center" w:leader="none"/>
    </w:r>
    <w:r>
      <w:ptab w:relativeTo="margin" w:alignment="right" w:leader="none"/>
    </w:r>
    <w:fldSimple w:instr=" PAGE \* MERGEFORMAT ">
      <w:r>
        <w:rPr>
          <w:noProof/>
        </w:rPr>
        <w:t>1</w:t>
      </w:r>
    </w:fldSimple>
  </w:p>
</w:ftr>
</file>

<file path=word/footer3.xml><?xml version="1.0" encoding="utf-8"?>
<w:ftr xmlns:mv="urn:schemas-microsoft-com:mac:vml" xmlns:mo="http://schemas.microsoft.com/office/mac/office/2008/main" xmlns:w="http://schemas.openxmlformats.org/wordprocessingml/2006/main">
  <w:p>
    <w:pPr>
      <w:pStyle w:val="Footer"/>
    </w:pPr>
    <w:r>
      <w:ptab w:relativeTo="margin" w:alignment="center" w:leader="none"/>
    </w:r>
    <w:fldSimple w:instr=" PAGE \* MERGEFORMAT ">
      <w:r>
        <w:rPr>
          <w:noProof/>
        </w:rPr>
        <w:t>1</w:t>
      </w:r>
    </w:fldSimple>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 w:id="2">
    <w:p>
      <w:pPr>
        <w:pStyle w:val="FootnoteText"/>
      </w:pPr>
      <w:r>
        <w:rPr>
          <w:rStyle w:val="FootnoteReference"/>
        </w:rPr>
        <w:footnoteRef/>
      </w:r>
      <w:r>
        <w:t xml:space="preserve"> </w:t>
      </w:r>
      <w:r>
        <w:rPr/>
        <w:t xml:space="preserve"> In “Consumers, creators or commentators? Problems of audience and mission in the digital humanities “</w:t>
      </w:r>
    </w:p>
    <w:p>
      <w:pPr>
        <w:pStyle w:val="FootnoteText"/>
      </w:pPr>
      <w:r>
        <w:t xml:space="preserve"> </w:t>
      </w:r>
      <w:r>
        <w:rPr/>
        <w:t xml:space="preserve">Arts and Humanities in Higher Education published online 1 December 2011, http://ahh.sagepub.com/content/early/2011/11/30/1474022211428215</w:t>
      </w:r>
    </w:p>
  </w:footnote>
  <w:footnote w:id="3">
    <w:p>
      <w:pPr>
        <w:pStyle w:val="FootnoteText"/>
      </w:pPr>
      <w:r>
        <w:rPr>
          <w:rStyle w:val="FootnoteReference"/>
        </w:rPr>
        <w:footnoteRef/>
      </w:r>
      <w:r>
        <w:t xml:space="preserve"> </w:t>
      </w:r>
      <w:r>
        <w:rPr/>
        <w:t xml:space="preserve"> The paper on “Documenter des “attentes applicatives” (processing expectations)” by Frédéric Glorieux and Vincent Jolivet at TEI Members Meeting 2013 (http://digilab2.let.uniroma1.it/teiconf2013/program/papers/abstracts-paper/ ) also addresses this area.</w:t>
      </w:r>
    </w:p>
  </w:footnote>
</w:footnotes>
</file>

<file path=word/header1.xml><?xml version="1.0" encoding="utf-8"?>
<w:hdr xmlns:mv="urn:schemas-microsoft-com:mac:vml" xmlns:mo="http://schemas.microsoft.com/office/mac/office/2008/main" xmlns:w="http://schemas.openxmlformats.org/wordprocessingml/2006/main">
  <w:p>
    <w:pPr>
      <w:pStyle w:val="Header"/>
    </w:pPr>
    <w:r>
      <w:rPr>
        <w:lang w:val="en"/>
      </w:rPr>
      <w:t xml:space="preserve"> </w:t>
    </w:r>
  </w:p>
</w:hdr>
</file>

<file path=word/header2.xml><?xml version="1.0" encoding="utf-8"?>
<w:hdr xmlns:mv="urn:schemas-microsoft-com:mac:vml" xmlns:mo="http://schemas.microsoft.com/office/mac/office/2008/main" xmlns:w="http://schemas.openxmlformats.org/wordprocessingml/2006/main">
  <w:p>
    <w:pPr>
      <w:pStyle w:val="Header"/>
    </w:pPr>
    <w:r>
      <w:rPr>
        <w:lang w:val="en"/>
      </w:rPr>
      <w:t xml:space="preserve"> </w:t>
    </w:r>
  </w:p>
</w:hdr>
</file>

<file path=word/header3.xml><?xml version="1.0" encoding="utf-8"?>
<w:hdr xmlns:mv="urn:schemas-microsoft-com:mac:vml" xmlns:mo="http://schemas.microsoft.com/office/mac/office/2008/main" xmlns:w="http://schemas.openxmlformats.org/wordprocessingml/2006/main">
  <w:p>
    <w:pPr>
      <w:pStyle w:val="Header"/>
    </w:pPr>
    <w:r>
      <w:rPr>
        <w:lang w:val="en"/>
      </w:rPr>
      <w:t xml:space="preserve"> </w:t>
    </w:r>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A60BA2"/>
    <w:rsid w:val="00B94F4E"/>
    <w:rsid w:val="00CC1ADD"/>
    <w:rsid w:val="00FA08E9"/>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959541"/>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xmlns:mc="http://schemas.openxmlformats.org/markup-compatibility/2006" xmlns:w14="http://schemas.microsoft.com/office/word/2010/wordml"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xmlns:mc="http://schemas.openxmlformats.org/markup-compatibility/2006" xmlns:w14="http://schemas.microsoft.com/office/word/2010/wordml" w:type="paragraph" w:default="1" w:styleId="Normal">
    <w:name w:val="Normal"/>
    <w:qFormat/>
    <w:rsid w:val="00B94F4E"/>
    <w:pPr>
      <w:spacing w:before="100" w:beforeAutospacing="1" w:after="0"/>
      <w:ind w:left="0" w:firstLine="0"/>
    </w:pPr>
  </w:style>
  <w:style xmlns:mc="http://schemas.openxmlformats.org/markup-compatibility/2006" xmlns:w14="http://schemas.microsoft.com/office/word/2010/wordml"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paragraph" w:styleId="Heading2">
    <w:name w:val="heading 2"/>
    <w:basedOn w:val="Heading1"/>
    <w:next w:val="Normal"/>
    <w:link w:val="Heading2Char"/>
    <w:uiPriority w:val="9"/>
    <w:unhideWhenUsed/>
    <w:qFormat/>
    <w:rsid w:val="00E672EF"/>
    <w:pPr>
      <w:numPr>
        <w:ilvl w:val="1"/>
      </w:numPr>
      <w:outlineLvl w:val="1"/>
    </w:pPr>
    <w:rPr>
      <w:sz w:val="26"/>
      <w:szCs w:val="26"/>
    </w:rPr>
  </w:style>
  <w:style xmlns:mc="http://schemas.openxmlformats.org/markup-compatibility/2006" xmlns:w14="http://schemas.microsoft.com/office/word/2010/wordml" w:type="paragraph" w:styleId="Heading3">
    <w:name w:val="heading 3"/>
    <w:basedOn w:val="Heading2"/>
    <w:next w:val="Normal"/>
    <w:link w:val="Heading3Char"/>
    <w:uiPriority w:val="9"/>
    <w:unhideWhenUsed/>
    <w:qFormat/>
    <w:rsid w:val="00E672EF"/>
    <w:pPr>
      <w:numPr>
        <w:ilvl w:val="2"/>
      </w:numPr>
      <w:outlineLvl w:val="2"/>
    </w:pPr>
  </w:style>
  <w:style xmlns:mc="http://schemas.openxmlformats.org/markup-compatibility/2006" xmlns:w14="http://schemas.microsoft.com/office/word/2010/wordml" w:type="paragraph" w:styleId="Heading4">
    <w:name w:val="heading 4"/>
    <w:basedOn w:val="Heading3"/>
    <w:next w:val="Normal"/>
    <w:link w:val="Heading4Char"/>
    <w:uiPriority w:val="9"/>
    <w:unhideWhenUsed/>
    <w:qFormat/>
    <w:rsid w:val="003F5051"/>
    <w:pPr>
      <w:numPr>
        <w:ilvl w:val="3"/>
      </w:numPr>
      <w:outlineLvl w:val="3"/>
    </w:pPr>
    <w:rPr>
      <w:i/>
      <w:iCs/>
    </w:rPr>
  </w:style>
  <w:style xmlns:mc="http://schemas.openxmlformats.org/markup-compatibility/2006" xmlns:w14="http://schemas.microsoft.com/office/word/2010/wordml" w:type="paragraph" w:styleId="Heading5">
    <w:name w:val="heading 5"/>
    <w:basedOn w:val="Heading4"/>
    <w:next w:val="Normal"/>
    <w:link w:val="Heading5Char"/>
    <w:uiPriority w:val="9"/>
    <w:unhideWhenUsed/>
    <w:qFormat/>
    <w:rsid w:val="003F5051"/>
    <w:pPr>
      <w:numPr>
        <w:ilvl w:val="4"/>
      </w:numPr>
      <w:outlineLvl w:val="4"/>
    </w:pPr>
  </w:style>
  <w:style xmlns:mc="http://schemas.openxmlformats.org/markup-compatibility/2006" xmlns:w14="http://schemas.microsoft.com/office/word/2010/wordml" w:type="paragraph" w:styleId="Heading6">
    <w:name w:val="heading 6"/>
    <w:basedOn w:val="Heading5"/>
    <w:next w:val="Normal"/>
    <w:link w:val="Heading6Char"/>
    <w:uiPriority w:val="9"/>
    <w:unhideWhenUsed/>
    <w:qFormat/>
    <w:rsid w:val="003F5051"/>
    <w:pPr>
      <w:numPr>
        <w:ilvl w:val="5"/>
      </w:numPr>
      <w:outlineLvl w:val="5"/>
    </w:pPr>
  </w:style>
  <w:style xmlns:mc="http://schemas.openxmlformats.org/markup-compatibility/2006" xmlns:w14="http://schemas.microsoft.com/office/word/2010/wordml"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xmlns:mc="http://schemas.openxmlformats.org/markup-compatibility/2006" xmlns:w14="http://schemas.microsoft.com/office/word/2010/wordml" w:type="paragraph" w:styleId="Heading8">
    <w:name w:val="heading 8"/>
    <w:basedOn w:val="Normal"/>
    <w:next w:val="Normal"/>
    <w:link w:val="Heading8Char"/>
    <w:uiPriority w:val="9"/>
    <w:semiHidden/>
    <w:qFormat/>
    <w:rsid w:val="00FF29DE"/>
    <w:pPr>
      <w:keepNext/>
      <w:keepLines/>
      <w:numPr>
        <w:ilvl w:val="7"/>
        <w:numId w:val="5"/>
      </w:numPr>
      <w:outlineLvl w:val="7"/>
    </w:pPr>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paragraph" w:styleId="Heading9">
    <w:name w:val="heading 9"/>
    <w:basedOn w:val="Normal"/>
    <w:next w:val="Normal"/>
    <w:link w:val="Heading9Char"/>
    <w:uiPriority w:val="9"/>
    <w:semiHidden/>
    <w:qFormat/>
    <w:rsid w:val="00FF29DE"/>
    <w:pPr>
      <w:keepNext/>
      <w:keepLines/>
      <w:numPr>
        <w:ilvl w:val="8"/>
        <w:numId w:val="5"/>
      </w:numPr>
      <w:outlineLvl w:val="8"/>
    </w:pPr>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character" w:default="1" w:styleId="DefaultParagraphFont">
    <w:name w:val="Default Paragraph Font"/>
    <w:uiPriority w:val="1"/>
    <w:semiHidden/>
    <w:unhideWhenUsed/>
  </w:style>
  <w:style xmlns:mc="http://schemas.openxmlformats.org/markup-compatibility/2006" xmlns:w14="http://schemas.microsoft.com/office/word/2010/wordml" w:type="table" w:default="1" w:styleId="TableNormal">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w:type="numbering" w:default="1" w:styleId="NoList">
    <w:name w:val="No List"/>
    <w:uiPriority w:val="99"/>
    <w:semiHidden/>
    <w:unhideWhenUsed/>
  </w:style>
  <w:style xmlns:mc="http://schemas.openxmlformats.org/markup-compatibility/2006" xmlns:w14="http://schemas.microsoft.com/office/word/2010/wordml"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xmlns:mc="http://schemas.openxmlformats.org/markup-compatibility/2006" xmlns:w14="http://schemas.microsoft.com/office/word/2010/wordml"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paragraph" w:customStyle="1" w:styleId="idno">
    <w:name w:val="id_no"/>
    <w:basedOn w:val="Normal"/>
    <w:semiHidden/>
    <w:qFormat/>
    <w:rsid w:val="00A44124"/>
    <w:pPr>
      <w:jc w:val="right"/>
    </w:pPr>
    <w:rPr>
      <w:b/>
      <w:color w:val="1F497D" w:themeColor="text2"/>
      <w:sz w:val="24"/>
    </w:rPr>
  </w:style>
  <w:style xmlns:mc="http://schemas.openxmlformats.org/markup-compatibility/2006" xmlns:w14="http://schemas.microsoft.com/office/word/2010/wordml" w:type="character" w:styleId="PlaceholderText">
    <w:name w:val="Placeholder Text"/>
    <w:basedOn w:val="DefaultParagraphFont"/>
    <w:uiPriority w:val="99"/>
    <w:semiHidden/>
    <w:rsid w:val="00160AC6"/>
    <w:rPr>
      <w:color w:val="808080"/>
    </w:rPr>
  </w:style>
  <w:style xmlns:mc="http://schemas.openxmlformats.org/markup-compatibility/2006" xmlns:w14="http://schemas.microsoft.com/office/word/2010/wordml"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xmlns:mc="http://schemas.openxmlformats.org/markup-compatibility/2006" xmlns:w14="http://schemas.microsoft.com/office/word/2010/wordml"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xmlns:mc="http://schemas.openxmlformats.org/markup-compatibility/2006" xmlns:w14="http://schemas.microsoft.com/office/word/2010/wordml" w:type="character" w:customStyle="1" w:styleId="date">
    <w:name w:val="date"/>
    <w:basedOn w:val="DefaultParagraphFont"/>
    <w:uiPriority w:val="1"/>
    <w:semiHidden/>
    <w:qFormat/>
    <w:rsid w:val="00B97755"/>
  </w:style>
  <w:style xmlns:mc="http://schemas.openxmlformats.org/markup-compatibility/2006" xmlns:w14="http://schemas.microsoft.com/office/word/2010/wordml" w:type="paragraph" w:customStyle="1" w:styleId="Foreword">
    <w:name w:val="Foreword"/>
    <w:basedOn w:val="Normal"/>
    <w:qFormat/>
    <w:rsid w:val="0005499D"/>
    <w:rPr>
      <w:color w:val="1F497D" w:themeColor="text2"/>
    </w:rPr>
  </w:style>
  <w:style xmlns:mc="http://schemas.openxmlformats.org/markup-compatibility/2006" xmlns:w14="http://schemas.microsoft.com/office/word/2010/wordml" w:type="paragraph" w:styleId="ListParagraph">
    <w:name w:val="List Paragraph"/>
    <w:basedOn w:val="Normal"/>
    <w:uiPriority w:val="34"/>
    <w:qFormat/>
    <w:rsid w:val="00390E4E"/>
    <w:pPr>
      <w:numPr>
        <w:numId w:val="1"/>
      </w:numPr>
      <w:contextualSpacing/>
    </w:pPr>
  </w:style>
  <w:style xmlns:mc="http://schemas.openxmlformats.org/markup-compatibility/2006" xmlns:w14="http://schemas.microsoft.com/office/word/2010/wordml" w:type="paragraph" w:styleId="ListBullet">
    <w:name w:val="List Bullet"/>
    <w:basedOn w:val="Normal"/>
    <w:uiPriority w:val="99"/>
    <w:semiHidden/>
    <w:rsid w:val="00EF3060"/>
    <w:pPr>
      <w:numPr>
        <w:numId w:val="9"/>
      </w:numPr>
      <w:contextualSpacing/>
    </w:pPr>
  </w:style>
  <w:style xmlns:mc="http://schemas.openxmlformats.org/markup-compatibility/2006" xmlns:w14="http://schemas.microsoft.com/office/word/2010/wordml" w:type="paragraph" w:customStyle="1" w:styleId="Definition">
    <w:name w:val="Definition"/>
    <w:basedOn w:val="Normal"/>
    <w:next w:val="Normal"/>
    <w:qFormat/>
    <w:rsid w:val="0094673E"/>
  </w:style>
  <w:style xmlns:mc="http://schemas.openxmlformats.org/markup-compatibility/2006" xmlns:w14="http://schemas.microsoft.com/office/word/2010/wordml" w:type="paragraph" w:customStyle="1" w:styleId="Note">
    <w:name w:val="Note"/>
    <w:basedOn w:val="Normal"/>
    <w:next w:val="Normal"/>
    <w:qFormat/>
    <w:rsid w:val="00BA162F"/>
    <w:pPr>
      <w:tabs>
        <w:tab w:val="left" w:pos="965"/>
      </w:tabs>
    </w:pPr>
    <w:rPr>
      <w:sz w:val="18"/>
    </w:rPr>
  </w:style>
  <w:style xmlns:mc="http://schemas.openxmlformats.org/markup-compatibility/2006" xmlns:w14="http://schemas.microsoft.com/office/word/2010/wordml" w:type="paragraph" w:customStyle="1" w:styleId="Example">
    <w:name w:val="Example"/>
    <w:basedOn w:val="Normal"/>
    <w:next w:val="Normal"/>
    <w:qFormat/>
    <w:rsid w:val="00BA162F"/>
    <w:pPr>
      <w:tabs>
        <w:tab w:val="left" w:pos="1361"/>
      </w:tabs>
    </w:pPr>
    <w:rPr>
      <w:sz w:val="18"/>
    </w:rPr>
  </w:style>
  <w:style xmlns:mc="http://schemas.openxmlformats.org/markup-compatibility/2006" xmlns:w14="http://schemas.microsoft.com/office/word/2010/wordml" w:type="paragraph" w:styleId="ListContinue">
    <w:name w:val="List Continue"/>
    <w:basedOn w:val="ListBullet"/>
    <w:uiPriority w:val="99"/>
    <w:unhideWhenUsed/>
    <w:rsid w:val="00511A34"/>
    <w:rPr>
      <w:noProof/>
      <w:lang w:val="en-GB"/>
    </w:rPr>
  </w:style>
  <w:style xmlns:mc="http://schemas.openxmlformats.org/markup-compatibility/2006" xmlns:w14="http://schemas.microsoft.com/office/word/2010/wordml" w:type="paragraph" w:styleId="ListBullet5">
    <w:name w:val="List Bullet 5"/>
    <w:basedOn w:val="ListBullet4"/>
    <w:uiPriority w:val="99"/>
    <w:semiHidden/>
    <w:rsid w:val="002D58E6"/>
    <w:pPr>
      <w:ind w:left="2160"/>
    </w:pPr>
  </w:style>
  <w:style xmlns:mc="http://schemas.openxmlformats.org/markup-compatibility/2006" xmlns:w14="http://schemas.microsoft.com/office/word/2010/wordml" w:type="paragraph" w:styleId="ListBullet4">
    <w:name w:val="List Bullet 4"/>
    <w:basedOn w:val="ListBullet3"/>
    <w:uiPriority w:val="99"/>
    <w:semiHidden/>
    <w:rsid w:val="002D58E6"/>
    <w:pPr>
      <w:ind w:left="1800"/>
    </w:pPr>
  </w:style>
  <w:style xmlns:mc="http://schemas.openxmlformats.org/markup-compatibility/2006" xmlns:w14="http://schemas.microsoft.com/office/word/2010/wordml" w:type="paragraph" w:styleId="ListBullet3">
    <w:name w:val="List Bullet 3"/>
    <w:basedOn w:val="ListBullet2"/>
    <w:uiPriority w:val="99"/>
    <w:semiHidden/>
    <w:rsid w:val="00457DAF"/>
    <w:pPr>
      <w:ind w:left="1440"/>
    </w:pPr>
  </w:style>
  <w:style xmlns:mc="http://schemas.openxmlformats.org/markup-compatibility/2006" xmlns:w14="http://schemas.microsoft.com/office/word/2010/wordml" w:type="paragraph" w:styleId="ListBullet2">
    <w:name w:val="List Bullet 2"/>
    <w:basedOn w:val="ListBullet"/>
    <w:uiPriority w:val="99"/>
    <w:semiHidden/>
    <w:rsid w:val="000B0FAC"/>
    <w:pPr>
      <w:ind w:left="1080"/>
    </w:pPr>
  </w:style>
  <w:style xmlns:mc="http://schemas.openxmlformats.org/markup-compatibility/2006" xmlns:w14="http://schemas.microsoft.com/office/word/2010/wordml" w:type="paragraph" w:styleId="ListNumber3">
    <w:name w:val="List Number 3"/>
    <w:basedOn w:val="Normal"/>
    <w:uiPriority w:val="99"/>
    <w:unhideWhenUsed/>
    <w:rsid w:val="00223B9D"/>
    <w:pPr>
      <w:numPr>
        <w:ilvl w:val="3"/>
        <w:numId w:val="8"/>
      </w:numPr>
      <w:contextualSpacing/>
    </w:pPr>
  </w:style>
  <w:style xmlns:mc="http://schemas.openxmlformats.org/markup-compatibility/2006" xmlns:w14="http://schemas.microsoft.com/office/word/2010/wordml" w:type="paragraph" w:styleId="List">
    <w:name w:val="List"/>
    <w:basedOn w:val="Normal"/>
    <w:uiPriority w:val="99"/>
    <w:semiHidden/>
    <w:rsid w:val="002D58E6"/>
    <w:pPr>
      <w:numPr>
        <w:numId w:val="7"/>
      </w:numPr>
      <w:contextualSpacing/>
    </w:pPr>
  </w:style>
  <w:style xmlns:mc="http://schemas.openxmlformats.org/markup-compatibility/2006" xmlns:w14="http://schemas.microsoft.com/office/word/2010/wordml" w:type="paragraph" w:styleId="List2">
    <w:name w:val="List 2"/>
    <w:basedOn w:val="List"/>
    <w:uiPriority w:val="99"/>
    <w:semiHidden/>
    <w:rsid w:val="00457DAF"/>
  </w:style>
  <w:style xmlns:mc="http://schemas.openxmlformats.org/markup-compatibility/2006" xmlns:w14="http://schemas.microsoft.com/office/word/2010/wordml" w:type="paragraph" w:styleId="ListNumber">
    <w:name w:val="List Number"/>
    <w:basedOn w:val="Normal"/>
    <w:uiPriority w:val="99"/>
    <w:unhideWhenUsed/>
    <w:rsid w:val="00223B9D"/>
    <w:pPr>
      <w:numPr>
        <w:numId w:val="8"/>
      </w:numPr>
      <w:ind w:left="720"/>
      <w:contextualSpacing/>
    </w:pPr>
  </w:style>
  <w:style xmlns:mc="http://schemas.openxmlformats.org/markup-compatibility/2006" xmlns:w14="http://schemas.microsoft.com/office/word/2010/wordml" w:type="paragraph" w:styleId="ListNumber2">
    <w:name w:val="List Number 2"/>
    <w:basedOn w:val="Normal"/>
    <w:uiPriority w:val="99"/>
    <w:unhideWhenUsed/>
    <w:rsid w:val="00223B9D"/>
    <w:pPr>
      <w:numPr>
        <w:ilvl w:val="2"/>
        <w:numId w:val="8"/>
      </w:numPr>
      <w:contextualSpacing/>
    </w:pPr>
  </w:style>
  <w:style xmlns:mc="http://schemas.openxmlformats.org/markup-compatibility/2006" xmlns:w14="http://schemas.microsoft.com/office/word/2010/wordml" w:type="paragraph" w:styleId="ListContinue3">
    <w:name w:val="List Continue 3"/>
    <w:basedOn w:val="ListContinue"/>
    <w:uiPriority w:val="99"/>
    <w:unhideWhenUsed/>
    <w:rsid w:val="00511A34"/>
    <w:pPr>
      <w:spacing w:after="120"/>
      <w:ind w:left="1440"/>
    </w:pPr>
  </w:style>
  <w:style xmlns:mc="http://schemas.openxmlformats.org/markup-compatibility/2006" xmlns:w14="http://schemas.microsoft.com/office/word/2010/wordml" w:type="paragraph" w:styleId="List3">
    <w:name w:val="List 3"/>
    <w:basedOn w:val="List2"/>
    <w:uiPriority w:val="99"/>
    <w:semiHidden/>
    <w:rsid w:val="00457DAF"/>
    <w:pPr>
      <w:ind w:left="1440"/>
    </w:pPr>
  </w:style>
  <w:style xmlns:mc="http://schemas.openxmlformats.org/markup-compatibility/2006" xmlns:w14="http://schemas.microsoft.com/office/word/2010/wordml" w:type="paragraph" w:styleId="List4">
    <w:name w:val="List 4"/>
    <w:basedOn w:val="List3"/>
    <w:uiPriority w:val="99"/>
    <w:semiHidden/>
    <w:rsid w:val="00457DAF"/>
    <w:pPr>
      <w:ind w:left="1800"/>
    </w:pPr>
  </w:style>
  <w:style xmlns:mc="http://schemas.openxmlformats.org/markup-compatibility/2006" xmlns:w14="http://schemas.microsoft.com/office/word/2010/wordml" w:type="paragraph" w:styleId="List5">
    <w:name w:val="List 5"/>
    <w:basedOn w:val="List4"/>
    <w:uiPriority w:val="99"/>
    <w:semiHidden/>
    <w:rsid w:val="00457DAF"/>
    <w:pPr>
      <w:ind w:left="2160"/>
    </w:pPr>
  </w:style>
  <w:style xmlns:mc="http://schemas.openxmlformats.org/markup-compatibility/2006" xmlns:w14="http://schemas.microsoft.com/office/word/2010/wordml" w:type="paragraph" w:styleId="ListNumber5">
    <w:name w:val="List Number 5"/>
    <w:basedOn w:val="Normal"/>
    <w:uiPriority w:val="99"/>
    <w:semiHidden/>
    <w:rsid w:val="003E072A"/>
    <w:pPr>
      <w:numPr>
        <w:ilvl w:val="5"/>
        <w:numId w:val="8"/>
      </w:numPr>
      <w:contextualSpacing/>
    </w:pPr>
  </w:style>
  <w:style xmlns:mc="http://schemas.openxmlformats.org/markup-compatibility/2006" xmlns:w14="http://schemas.microsoft.com/office/word/2010/wordml" w:type="paragraph" w:styleId="ListNumber4">
    <w:name w:val="List Number 4"/>
    <w:basedOn w:val="Normal"/>
    <w:uiPriority w:val="99"/>
    <w:unhideWhenUsed/>
    <w:rsid w:val="00223B9D"/>
    <w:pPr>
      <w:numPr>
        <w:ilvl w:val="4"/>
        <w:numId w:val="8"/>
      </w:numPr>
      <w:contextualSpacing/>
    </w:pPr>
  </w:style>
  <w:style xmlns:mc="http://schemas.openxmlformats.org/markup-compatibility/2006" xmlns:w14="http://schemas.microsoft.com/office/word/2010/wordml" w:type="paragraph" w:styleId="FootnoteText">
    <w:name w:val="footnote text"/>
    <w:basedOn w:val="Normal"/>
    <w:link w:val="FootnoteTextChar"/>
    <w:uiPriority w:val="99"/>
    <w:unhideWhenUsed/>
    <w:rsid w:val="00FA08E9"/>
    <w:pPr>
      <w:spacing w:before="0" w:beforeAutospacing="0" w:line="240" w:lineRule="auto"/>
    </w:pPr>
    <w:rPr>
      <w:sz w:val="20"/>
      <w:szCs w:val="20"/>
    </w:rPr>
  </w:style>
  <w:style xmlns:mc="http://schemas.openxmlformats.org/markup-compatibility/2006" xmlns:w14="http://schemas.microsoft.com/office/word/2010/wordml" w:type="character" w:customStyle="1" w:styleId="FootnoteTextChar">
    <w:name w:val="Footnote Text Char"/>
    <w:basedOn w:val="DefaultParagraphFont"/>
    <w:link w:val="FootnoteText"/>
    <w:uiPriority w:val="99"/>
    <w:rsid w:val="00FA08E9"/>
    <w:rPr>
      <w:sz w:val="20"/>
      <w:szCs w:val="20"/>
    </w:rPr>
  </w:style>
  <w:style xmlns:mc="http://schemas.openxmlformats.org/markup-compatibility/2006" xmlns:w14="http://schemas.microsoft.com/office/word/2010/wordml" w:type="character" w:styleId="FootnoteReference">
    <w:name w:val="footnote reference"/>
    <w:basedOn w:val="DefaultParagraphFont"/>
    <w:uiPriority w:val="99"/>
    <w:unhideWhenUsed/>
    <w:rsid w:val="00241F26"/>
    <w:rPr>
      <w:vertAlign w:val="superscript"/>
    </w:rPr>
  </w:style>
  <w:style xmlns:mc="http://schemas.openxmlformats.org/markup-compatibility/2006" xmlns:w14="http://schemas.microsoft.com/office/word/2010/wordml"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xmlns:mc="http://schemas.openxmlformats.org/markup-compatibility/2006" xmlns:w14="http://schemas.microsoft.com/office/word/2010/wordml" w:type="paragraph" w:customStyle="1" w:styleId="Figurefootnote">
    <w:name w:val="Figure footnote"/>
    <w:basedOn w:val="FootnoteText"/>
    <w:next w:val="Normal"/>
    <w:qFormat/>
    <w:rsid w:val="00A5745F"/>
  </w:style>
  <w:style xmlns:mc="http://schemas.openxmlformats.org/markup-compatibility/2006" xmlns:w14="http://schemas.microsoft.com/office/word/2010/wordml" w:type="character" w:customStyle="1" w:styleId="FigureFootnoteXref">
    <w:name w:val="FigureFootnoteXref"/>
    <w:basedOn w:val="FootnoteReference"/>
    <w:uiPriority w:val="1"/>
    <w:qFormat/>
    <w:rsid w:val="00A5745F"/>
    <w:rPr>
      <w:vertAlign w:val="baseline"/>
    </w:rPr>
  </w:style>
  <w:style xmlns:mc="http://schemas.openxmlformats.org/markup-compatibility/2006" xmlns:w14="http://schemas.microsoft.com/office/word/2010/wordml" w:type="paragraph" w:customStyle="1" w:styleId="Figuretitle">
    <w:name w:val="Figure title"/>
    <w:basedOn w:val="Normal"/>
    <w:next w:val="Normal"/>
    <w:autoRedefine/>
    <w:qFormat/>
    <w:rsid w:val="007751B6"/>
    <w:pPr>
      <w:numPr>
        <w:numId w:val="7"/>
      </w:numPr>
      <w:jc w:val="center"/>
    </w:pPr>
    <w:rPr>
      <w:b/>
    </w:rPr>
  </w:style>
  <w:style xmlns:mc="http://schemas.openxmlformats.org/markup-compatibility/2006" xmlns:w14="http://schemas.microsoft.com/office/word/2010/wordml" w:type="paragraph" w:customStyle="1" w:styleId="Figurenote">
    <w:name w:val="Figure note"/>
    <w:basedOn w:val="Note"/>
    <w:qFormat/>
    <w:rsid w:val="00D8749A"/>
  </w:style>
  <w:style xmlns:mc="http://schemas.openxmlformats.org/markup-compatibility/2006" xmlns:w14="http://schemas.microsoft.com/office/word/2010/wordml"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xmlns:mc="http://schemas.openxmlformats.org/markup-compatibility/2006" xmlns:w14="http://schemas.microsoft.com/office/word/2010/wordml" w:type="paragraph" w:customStyle="1" w:styleId="Tabletitle">
    <w:name w:val="Table title"/>
    <w:basedOn w:val="Normal"/>
    <w:next w:val="Normal"/>
    <w:autoRedefine/>
    <w:semiHidden/>
    <w:qFormat/>
    <w:rsid w:val="007751B6"/>
    <w:pPr>
      <w:numPr>
        <w:numId w:val="5"/>
      </w:numPr>
      <w:tabs>
        <w:tab w:val="num" w:pos="720"/>
      </w:tabs>
      <w:ind w:left="0" w:firstLine="0"/>
      <w:jc w:val="center"/>
    </w:pPr>
    <w:rPr>
      <w:b/>
      <w:sz w:val="20"/>
    </w:rPr>
  </w:style>
  <w:style xmlns:mc="http://schemas.openxmlformats.org/markup-compatibility/2006" xmlns:w14="http://schemas.microsoft.com/office/word/2010/wordml" w:type="character" w:customStyle="1" w:styleId="ExtXref">
    <w:name w:val="ExtXref"/>
    <w:basedOn w:val="DefaultParagraphFont"/>
    <w:uiPriority w:val="1"/>
    <w:qFormat/>
    <w:rsid w:val="00AE15E5"/>
    <w:rPr>
      <w:noProof/>
      <w:lang w:val="en-GB"/>
    </w:rPr>
  </w:style>
  <w:style xmlns:mc="http://schemas.openxmlformats.org/markup-compatibility/2006" xmlns:w14="http://schemas.microsoft.com/office/word/2010/wordml" w:type="paragraph" w:customStyle="1" w:styleId="Tablenote">
    <w:name w:val="Table note"/>
    <w:basedOn w:val="Note"/>
    <w:qFormat/>
    <w:rsid w:val="008C3BF3"/>
  </w:style>
  <w:style xmlns:mc="http://schemas.openxmlformats.org/markup-compatibility/2006" xmlns:w14="http://schemas.microsoft.com/office/word/2010/wordml" w:type="paragraph" w:customStyle="1" w:styleId="Figuretext">
    <w:name w:val="Figure text"/>
    <w:basedOn w:val="Normal"/>
    <w:qFormat/>
    <w:rsid w:val="00D8749A"/>
  </w:style>
  <w:style xmlns:mc="http://schemas.openxmlformats.org/markup-compatibility/2006" xmlns:w14="http://schemas.microsoft.com/office/word/2010/wordml" w:type="character" w:styleId="Hyperlink">
    <w:name w:val="Hyperlink"/>
    <w:basedOn w:val="DefaultParagraphFont"/>
    <w:uiPriority w:val="99"/>
    <w:rsid w:val="009C0231"/>
    <w:rPr>
      <w:color w:val="0000FF" w:themeColor="hyperlink"/>
      <w:u w:val="single"/>
    </w:rPr>
  </w:style>
  <w:style xmlns:mc="http://schemas.openxmlformats.org/markup-compatibility/2006" xmlns:w14="http://schemas.microsoft.com/office/word/2010/wordml" w:type="paragraph" w:customStyle="1" w:styleId="Formula">
    <w:name w:val="Formula"/>
    <w:basedOn w:val="Normal"/>
    <w:next w:val="Normal"/>
    <w:qFormat/>
    <w:rsid w:val="0076681A"/>
    <w:pPr>
      <w:tabs>
        <w:tab w:val="left" w:pos="9749"/>
      </w:tabs>
      <w:ind w:left="403"/>
    </w:pPr>
  </w:style>
  <w:style xmlns:mc="http://schemas.openxmlformats.org/markup-compatibility/2006" xmlns:w14="http://schemas.microsoft.com/office/word/2010/wordml" w:type="paragraph" w:styleId="Bibliography">
    <w:name w:val="Bibliography"/>
    <w:basedOn w:val="Normal"/>
    <w:next w:val="Normal"/>
    <w:uiPriority w:val="37"/>
    <w:unhideWhenUsed/>
    <w:rsid w:val="00D92AF5"/>
    <w:pPr>
      <w:numPr>
        <w:numId w:val="6"/>
      </w:numPr>
    </w:pPr>
  </w:style>
  <w:style xmlns:mc="http://schemas.openxmlformats.org/markup-compatibility/2006" xmlns:w14="http://schemas.microsoft.com/office/word/2010/wordml" w:type="character" w:customStyle="1" w:styleId="organization">
    <w:name w:val="organization"/>
    <w:basedOn w:val="DefaultParagraphFont"/>
    <w:uiPriority w:val="1"/>
    <w:semiHidden/>
    <w:rsid w:val="00B97755"/>
  </w:style>
  <w:style xmlns:mc="http://schemas.openxmlformats.org/markup-compatibility/2006" xmlns:w14="http://schemas.microsoft.com/office/word/2010/wordml" w:type="paragraph" w:styleId="Header">
    <w:name w:val="header"/>
    <w:basedOn w:val="Normal"/>
    <w:link w:val="HeaderChar"/>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HeaderChar">
    <w:name w:val="Header Char"/>
    <w:basedOn w:val="DefaultParagraphFont"/>
    <w:link w:val="Header"/>
    <w:semiHidden/>
    <w:rsid w:val="00FA537C"/>
  </w:style>
  <w:style xmlns:mc="http://schemas.openxmlformats.org/markup-compatibility/2006" xmlns:w14="http://schemas.microsoft.com/office/word/2010/wordml" w:type="paragraph" w:styleId="Footer">
    <w:name w:val="footer"/>
    <w:basedOn w:val="Normal"/>
    <w:link w:val="FooterChar"/>
    <w:uiPriority w:val="99"/>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FooterChar">
    <w:name w:val="Footer Char"/>
    <w:basedOn w:val="DefaultParagraphFont"/>
    <w:link w:val="Footer"/>
    <w:uiPriority w:val="99"/>
    <w:semiHidden/>
    <w:rsid w:val="00FA537C"/>
  </w:style>
  <w:style xmlns:mc="http://schemas.openxmlformats.org/markup-compatibility/2006" xmlns:w14="http://schemas.microsoft.com/office/word/2010/wordml" w:type="paragraph" w:styleId="TOCHeading">
    <w:name w:val="TOC Heading"/>
    <w:basedOn w:val="Heading1"/>
    <w:next w:val="Normal"/>
    <w:uiPriority w:val="39"/>
    <w:semiHidden/>
    <w:unhideWhenUsed/>
    <w:qFormat/>
    <w:rsid w:val="00BD2FAC"/>
    <w:pPr>
      <w:outlineLvl w:val="9"/>
    </w:pPr>
    <w:rPr>
      <w:color w:val="365F91" w:themeColor="accent1" w:themeShade="BF"/>
    </w:rPr>
  </w:style>
  <w:style xmlns:mc="http://schemas.openxmlformats.org/markup-compatibility/2006" xmlns:w14="http://schemas.microsoft.com/office/word/2010/wordml" w:type="paragraph" w:styleId="TOC1">
    <w:name w:val="toc 1"/>
    <w:basedOn w:val="Normal"/>
    <w:next w:val="Normal"/>
    <w:autoRedefine/>
    <w:uiPriority w:val="39"/>
    <w:unhideWhenUsed/>
    <w:qFormat/>
    <w:rsid w:val="00BD2FAC"/>
    <w:pPr>
      <w:spacing w:after="100"/>
    </w:pPr>
  </w:style>
  <w:style xmlns:mc="http://schemas.openxmlformats.org/markup-compatibility/2006" xmlns:w14="http://schemas.microsoft.com/office/word/2010/wordml" w:type="paragraph" w:styleId="TOC2">
    <w:name w:val="toc 2"/>
    <w:basedOn w:val="Normal"/>
    <w:next w:val="Normal"/>
    <w:autoRedefine/>
    <w:uiPriority w:val="39"/>
    <w:unhideWhenUsed/>
    <w:qFormat/>
    <w:rsid w:val="00BD2FAC"/>
    <w:pPr>
      <w:spacing w:after="100"/>
      <w:ind w:left="220"/>
    </w:pPr>
  </w:style>
  <w:style xmlns:mc="http://schemas.openxmlformats.org/markup-compatibility/2006" xmlns:w14="http://schemas.microsoft.com/office/word/2010/wordml" w:type="paragraph" w:styleId="TOC3">
    <w:name w:val="toc 3"/>
    <w:basedOn w:val="Normal"/>
    <w:next w:val="Normal"/>
    <w:autoRedefine/>
    <w:uiPriority w:val="39"/>
    <w:unhideWhenUsed/>
    <w:qFormat/>
    <w:rsid w:val="00BD2FAC"/>
    <w:pPr>
      <w:spacing w:after="100"/>
      <w:ind w:left="440"/>
    </w:pPr>
  </w:style>
  <w:style xmlns:mc="http://schemas.openxmlformats.org/markup-compatibility/2006" xmlns:w14="http://schemas.microsoft.com/office/word/2010/wordml" w:type="paragraph" w:styleId="TOC4">
    <w:name w:val="toc 4"/>
    <w:basedOn w:val="Normal"/>
    <w:next w:val="Normal"/>
    <w:autoRedefine/>
    <w:uiPriority w:val="39"/>
    <w:unhideWhenUsed/>
    <w:rsid w:val="00B861F6"/>
    <w:pPr>
      <w:spacing w:after="100"/>
      <w:ind w:left="660"/>
    </w:pPr>
  </w:style>
  <w:style xmlns:mc="http://schemas.openxmlformats.org/markup-compatibility/2006" xmlns:w14="http://schemas.microsoft.com/office/word/2010/wordml" w:type="paragraph" w:styleId="TOC5">
    <w:name w:val="toc 5"/>
    <w:basedOn w:val="Normal"/>
    <w:next w:val="Normal"/>
    <w:autoRedefine/>
    <w:uiPriority w:val="39"/>
    <w:unhideWhenUsed/>
    <w:rsid w:val="00B861F6"/>
    <w:pPr>
      <w:spacing w:after="100"/>
      <w:ind w:left="880"/>
    </w:pPr>
  </w:style>
  <w:style xmlns:mc="http://schemas.openxmlformats.org/markup-compatibility/2006" xmlns:w14="http://schemas.microsoft.com/office/word/2010/wordml" w:type="paragraph" w:styleId="TOC6">
    <w:name w:val="toc 6"/>
    <w:basedOn w:val="Normal"/>
    <w:next w:val="Normal"/>
    <w:autoRedefine/>
    <w:uiPriority w:val="39"/>
    <w:unhideWhenUsed/>
    <w:rsid w:val="00B861F6"/>
    <w:pPr>
      <w:spacing w:after="100"/>
      <w:ind w:left="1100"/>
    </w:pPr>
  </w:style>
  <w:style xmlns:mc="http://schemas.openxmlformats.org/markup-compatibility/2006" xmlns:w14="http://schemas.microsoft.com/office/word/2010/wordml"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paragraph" w:styleId="ListContinue2">
    <w:name w:val="List Continue 2"/>
    <w:basedOn w:val="ListContinue"/>
    <w:uiPriority w:val="99"/>
    <w:unhideWhenUsed/>
    <w:rsid w:val="00511A34"/>
    <w:pPr>
      <w:spacing w:after="120"/>
      <w:ind w:left="1080"/>
    </w:pPr>
  </w:style>
  <w:style xmlns:mc="http://schemas.openxmlformats.org/markup-compatibility/2006" xmlns:w14="http://schemas.microsoft.com/office/word/2010/wordml" w:type="paragraph" w:styleId="ListContinue4">
    <w:name w:val="List Continue 4"/>
    <w:basedOn w:val="ListContinue"/>
    <w:uiPriority w:val="99"/>
    <w:unhideWhenUsed/>
    <w:rsid w:val="00511A34"/>
    <w:pPr>
      <w:spacing w:after="120"/>
      <w:ind w:left="1800"/>
    </w:pPr>
  </w:style>
  <w:style xmlns:mc="http://schemas.openxmlformats.org/markup-compatibility/2006" xmlns:w14="http://schemas.microsoft.com/office/word/2010/wordml" w:type="paragraph" w:styleId="ListContinue5">
    <w:name w:val="List Continue 5"/>
    <w:basedOn w:val="ListContinue"/>
    <w:uiPriority w:val="99"/>
    <w:semiHidden/>
    <w:rsid w:val="00511A34"/>
    <w:pPr>
      <w:spacing w:after="120"/>
      <w:ind w:left="2160"/>
    </w:pPr>
  </w:style>
  <w:style xmlns:mc="http://schemas.openxmlformats.org/markup-compatibility/2006" xmlns:w14="http://schemas.microsoft.com/office/word/2010/wordml" w:type="paragraph" w:customStyle="1" w:styleId="dl">
    <w:name w:val="dl"/>
    <w:basedOn w:val="Normal"/>
    <w:qFormat/>
    <w:rsid w:val="00BF2713"/>
    <w:pPr>
      <w:spacing w:after="120"/>
      <w:ind w:left="432"/>
    </w:pPr>
  </w:style>
  <w:style xmlns:mc="http://schemas.openxmlformats.org/markup-compatibility/2006" xmlns:w14="http://schemas.microsoft.com/office/word/2010/wordml"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xmlns:mc="http://schemas.openxmlformats.org/markup-compatibility/2006" xmlns:w14="http://schemas.microsoft.com/office/word/2010/wordml" w:type="character" w:customStyle="1" w:styleId="TableFootnoteXref">
    <w:name w:val="TableFootnoteXref"/>
    <w:rsid w:val="00F965C1"/>
    <w:rPr>
      <w:noProof/>
      <w:position w:val="6"/>
      <w:sz w:val="14"/>
      <w:lang w:val="en-GB"/>
    </w:rPr>
  </w:style>
  <w:style xmlns:mc="http://schemas.openxmlformats.org/markup-compatibility/2006" xmlns:w14="http://schemas.microsoft.com/office/word/2010/wordml"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xmlns:mc="http://schemas.openxmlformats.org/markup-compatibility/2006" xmlns:w14="http://schemas.microsoft.com/office/word/2010/wordml" w:type="character" w:customStyle="1" w:styleId="Defterms">
    <w:name w:val="Defterms"/>
    <w:basedOn w:val="DefaultParagraphFont"/>
    <w:uiPriority w:val="1"/>
    <w:qFormat/>
    <w:rsid w:val="00F965C1"/>
    <w:rPr>
      <w:noProof/>
      <w:lang w:val="en-GB"/>
    </w:rPr>
  </w:style>
  <w:style xmlns:mc="http://schemas.openxmlformats.org/markup-compatibility/2006" xmlns:w14="http://schemas.microsoft.com/office/word/2010/wordml" w:type="paragraph" w:customStyle="1" w:styleId="Tabletext8">
    <w:name w:val="Table text (8)"/>
    <w:basedOn w:val="Tabletext9"/>
    <w:qFormat/>
    <w:rsid w:val="00F965C1"/>
    <w:pPr>
      <w:jc w:val="left"/>
    </w:pPr>
    <w:rPr>
      <w:sz w:val="16"/>
    </w:rPr>
  </w:style>
  <w:style xmlns:mc="http://schemas.openxmlformats.org/markup-compatibility/2006" xmlns:w14="http://schemas.microsoft.com/office/word/2010/wordml" w:type="paragraph" w:customStyle="1" w:styleId="Tabletext7">
    <w:name w:val="Table text (7)"/>
    <w:basedOn w:val="Tabletext8"/>
    <w:qFormat/>
    <w:rsid w:val="00F965C1"/>
    <w:rPr>
      <w:sz w:val="14"/>
    </w:rPr>
  </w:style>
  <w:style xmlns:mc="http://schemas.openxmlformats.org/markup-compatibility/2006" xmlns:w14="http://schemas.microsoft.com/office/word/2010/wordml" w:type="paragraph" w:customStyle="1" w:styleId="Tabletext10">
    <w:name w:val="Table text (10)"/>
    <w:basedOn w:val="Tabletext7"/>
    <w:qFormat/>
    <w:rsid w:val="00F965C1"/>
    <w:rPr>
      <w:sz w:val="20"/>
    </w:rPr>
  </w:style>
  <w:style xmlns:mc="http://schemas.openxmlformats.org/markup-compatibility/2006" xmlns:w14="http://schemas.microsoft.com/office/word/2010/wordml" w:type="character" w:customStyle="1" w:styleId="statement">
    <w:name w:val="statement"/>
    <w:basedOn w:val="DefaultParagraphFont"/>
    <w:uiPriority w:val="1"/>
    <w:semiHidden/>
    <w:qFormat/>
    <w:rsid w:val="00E44C41"/>
  </w:style>
  <w:style xmlns:mc="http://schemas.openxmlformats.org/markup-compatibility/2006" xmlns:w14="http://schemas.microsoft.com/office/word/2010/wordml" w:type="character" w:customStyle="1" w:styleId="teiex">
    <w:name w:val="tei_ex"/>
    <w:basedOn w:val="DefaultParagraphFont"/>
    <w:rsid w:val="00B97755"/>
  </w:style>
  <w:style xmlns:mc="http://schemas.openxmlformats.org/markup-compatibility/2006" xmlns:w14="http://schemas.microsoft.com/office/word/2010/wordml" w:type="character" w:customStyle="1" w:styleId="teiexpan">
    <w:name w:val="tei_expan"/>
    <w:basedOn w:val="DefaultParagraphFont"/>
    <w:rsid w:val="00B97755"/>
  </w:style>
  <w:style xmlns:mc="http://schemas.openxmlformats.org/markup-compatibility/2006" xmlns:w14="http://schemas.microsoft.com/office/word/2010/wordml" w:type="character" w:customStyle="1" w:styleId="teiforeign">
    <w:name w:val="tei_foreign"/>
    <w:basedOn w:val="DefaultParagraphFont"/>
    <w:rsid w:val="00B97755"/>
    <w:rPr>
      <w:i/>
    </w:rPr>
  </w:style>
  <w:style xmlns:mc="http://schemas.openxmlformats.org/markup-compatibility/2006" xmlns:w14="http://schemas.microsoft.com/office/word/2010/wordml" w:type="paragraph" w:customStyle="1" w:styleId="teiincipit">
    <w:name w:val="tei_incipit"/>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l">
    <w:name w:val="tei_l"/>
    <w:basedOn w:val="BodyTextIndent"/>
    <w:qFormat/>
    <w:rsid w:val="00B94F4E"/>
    <w:pPr>
      <w:spacing w:before="0" w:beforeAutospacing="0" w:after="0" w:line="240" w:lineRule="atLeast"/>
      <w:ind w:left="284"/>
    </w:pPr>
  </w:style>
  <w:style xmlns:mc="http://schemas.openxmlformats.org/markup-compatibility/2006" xmlns:w14="http://schemas.microsoft.com/office/word/2010/wordml" w:type="paragraph" w:styleId="BodyTextIndent">
    <w:name w:val="Body Text Indent"/>
    <w:basedOn w:val="Normal"/>
    <w:link w:val="BodyTextIndentChar"/>
    <w:uiPriority w:val="99"/>
    <w:semiHidden/>
    <w:rsid w:val="00B97755"/>
    <w:pPr>
      <w:spacing w:after="120"/>
      <w:ind w:left="283"/>
    </w:pPr>
  </w:style>
  <w:style xmlns:mc="http://schemas.openxmlformats.org/markup-compatibility/2006" xmlns:w14="http://schemas.microsoft.com/office/word/2010/wordml" w:type="character" w:customStyle="1" w:styleId="BodyTextIndentChar">
    <w:name w:val="Body Text Indent Char"/>
    <w:basedOn w:val="DefaultParagraphFont"/>
    <w:link w:val="BodyTextIndent"/>
    <w:uiPriority w:val="99"/>
    <w:semiHidden/>
    <w:rsid w:val="00B97755"/>
  </w:style>
  <w:style xmlns:mc="http://schemas.openxmlformats.org/markup-compatibility/2006" xmlns:w14="http://schemas.microsoft.com/office/word/2010/wordml" w:type="character" w:customStyle="1" w:styleId="teiname">
    <w:name w:val="tei_name"/>
    <w:basedOn w:val="DefaultParagraphFont"/>
    <w:rsid w:val="00B97755"/>
  </w:style>
  <w:style xmlns:mc="http://schemas.openxmlformats.org/markup-compatibility/2006" xmlns:w14="http://schemas.microsoft.com/office/word/2010/wordml" w:type="paragraph" w:customStyle="1" w:styleId="teirubric">
    <w:name w:val="tei_rubric"/>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speaker">
    <w:name w:val="tei_speaker"/>
    <w:basedOn w:val="BodyText"/>
    <w:autoRedefine/>
    <w:qFormat/>
    <w:rsid w:val="00B97755"/>
  </w:style>
  <w:style xmlns:mc="http://schemas.openxmlformats.org/markup-compatibility/2006" xmlns:w14="http://schemas.microsoft.com/office/word/2010/wordml" w:type="paragraph" w:styleId="BodyText">
    <w:name w:val="Body Text"/>
    <w:basedOn w:val="Normal"/>
    <w:link w:val="BodyTextChar"/>
    <w:uiPriority w:val="99"/>
    <w:semiHidden/>
    <w:rsid w:val="00B97755"/>
    <w:pPr>
      <w:spacing w:after="120"/>
    </w:pPr>
  </w:style>
  <w:style xmlns:mc="http://schemas.openxmlformats.org/markup-compatibility/2006" xmlns:w14="http://schemas.microsoft.com/office/word/2010/wordml" w:type="character" w:customStyle="1" w:styleId="BodyTextChar">
    <w:name w:val="Body Text Char"/>
    <w:basedOn w:val="DefaultParagraphFont"/>
    <w:link w:val="BodyText"/>
    <w:uiPriority w:val="99"/>
    <w:semiHidden/>
    <w:rsid w:val="00B97755"/>
  </w:style>
  <w:style xmlns:mc="http://schemas.openxmlformats.org/markup-compatibility/2006" xmlns:w14="http://schemas.microsoft.com/office/word/2010/wordml" w:type="paragraph" w:customStyle="1" w:styleId="teistage">
    <w:name w:val="tei_stage"/>
    <w:basedOn w:val="teispeaker"/>
    <w:autoRedefine/>
    <w:qFormat/>
    <w:rsid w:val="00B97755"/>
    <w:pPr>
      <w:spacing w:before="120" w:line="240" w:lineRule="auto"/>
    </w:pPr>
    <w:rPr>
      <w:b/>
      <w:smallCaps/>
      <w:sz w:val="24"/>
      <w:szCs w:val="24"/>
    </w:rPr>
  </w:style>
  <w:style xmlns:mc="http://schemas.openxmlformats.org/markup-compatibility/2006" xmlns:w14="http://schemas.microsoft.com/office/word/2010/wordml" w:type="character" w:customStyle="1" w:styleId="teisupplied">
    <w:name w:val="tei_supplied"/>
    <w:basedOn w:val="DefaultParagraphFont"/>
    <w:rsid w:val="00B97755"/>
    <w:rPr>
      <w:color w:val="FF0000"/>
    </w:rPr>
  </w:style>
  <w:style xmlns:mc="http://schemas.openxmlformats.org/markup-compatibility/2006" xmlns:w14="http://schemas.microsoft.com/office/word/2010/wordml" w:type="paragraph" w:customStyle="1" w:styleId="Author">
    <w:name w:val="Author"/>
    <w:basedOn w:val="Title"/>
    <w:qFormat/>
    <w:rsid w:val="003C6963"/>
    <w:rPr>
      <w:sz w:val="44"/>
    </w:rPr>
  </w:style>
  <w:style xmlns:mc="http://schemas.openxmlformats.org/markup-compatibility/2006" xmlns:w14="http://schemas.microsoft.com/office/word/2010/wordml" w:type="character" w:customStyle="1" w:styleId="teimentioned">
    <w:name w:val="tei_mentioned"/>
    <w:basedOn w:val="DefaultParagraphFont"/>
    <w:uiPriority w:val="1"/>
    <w:qFormat/>
    <w:rsid w:val="00CE3D7E"/>
    <w:rPr>
      <w:i/>
    </w:rPr>
  </w:style>
  <w:style xmlns:mc="http://schemas.openxmlformats.org/markup-compatibility/2006" xmlns:w14="http://schemas.microsoft.com/office/word/2010/wordml" w:type="character" w:customStyle="1" w:styleId="teiunclear">
    <w:name w:val="tei_unclear"/>
    <w:basedOn w:val="DefaultParagraphFont"/>
    <w:uiPriority w:val="1"/>
    <w:qFormat/>
    <w:rsid w:val="00026732"/>
  </w:style>
  <w:style xmlns:mc="http://schemas.openxmlformats.org/markup-compatibility/2006" xmlns:w14="http://schemas.microsoft.com/office/word/2010/wordml"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paragraph" w:customStyle="1" w:styleId="egXMLTable">
    <w:name w:val="egXMLTable"/>
    <w:basedOn w:val="Normal"/>
    <w:qFormat/>
    <w:pPr>
      <w:spacing w:before="80"/>
    </w:pPr>
    <w:rPr>
      <w:rFonts w:ascii="Courier" w:hAnsi="Courier"/>
      <w:sz w:val="18"/>
    </w:rPr>
  </w:style>
  <w:style xmlns:mc="http://schemas.openxmlformats.org/markup-compatibility/2006" xmlns:w14="http://schemas.microsoft.com/office/word/2010/wordml" w:type="paragraph" w:customStyle="1" w:styleId="teilg">
    <w:name w:val="tei_lg"/>
    <w:basedOn w:val="teil"/>
    <w:qFormat/>
    <w:rsid w:val="00E535AB"/>
    <w:pPr>
      <w:spacing w:line="120" w:lineRule="auto"/>
    </w:pPr>
  </w:style>
  <w:style xmlns:mc="http://schemas.openxmlformats.org/markup-compatibility/2006" xmlns:w14="http://schemas.microsoft.com/office/word/2010/wordml" w:type="paragraph" w:customStyle="1" w:styleId="egXML">
    <w:name w:val="egXML"/>
    <w:basedOn w:val="Normal"/>
    <w:qFormat/>
    <w:rPr>
      <w:rFonts w:ascii="Courier" w:hAnsi="Courier"/>
      <w:sz w:val="20"/>
    </w:rPr>
  </w:style>
  <w:style xmlns:mc="http://schemas.openxmlformats.org/markup-compatibility/2006" xmlns:w14="http://schemas.microsoft.com/office/word/2010/wordml" w:type="paragraph" w:customStyle="1" w:styleId="egXML0">
    <w:name w:val="egXML"/>
    <w:basedOn w:val="Normal"/>
    <w:qFormat/>
    <w:rPr>
      <w:rFonts w:ascii="Courier" w:hAnsi="Courier"/>
      <w:sz w:val="20"/>
    </w:rPr>
  </w:style>
  <w:style xmlns:mc="http://schemas.openxmlformats.org/markup-compatibility/2006" xmlns:w14="http://schemas.microsoft.com/office/word/2010/wordml" w:type="paragraph" w:customStyle="1" w:styleId="egXMLTable0">
    <w:name w:val="egXMLTable"/>
    <w:basedOn w:val="Normal"/>
    <w:qFormat/>
    <w:pPr>
      <w:spacing w:before="80"/>
    </w:pPr>
    <w:rPr>
      <w:rFonts w:ascii="Courier" w:hAnsi="Courier"/>
      <w:sz w:val="18"/>
    </w:rPr>
  </w:style>
  <w:style xmlns:mc="http://schemas.openxmlformats.org/markup-compatibility/2006" xmlns:w14="http://schemas.microsoft.com/office/word/2010/wordml" w:type="paragraph" w:customStyle="1" w:styleId="Docdate">
    <w:name w:val="Docdate"/>
    <w:basedOn w:val="Title"/>
    <w:qFormat/>
    <w:rsid w:val="00494308"/>
    <w:rPr>
      <w:sz w:val="32"/>
    </w:rPr>
  </w:style>
  <w:style xmlns:mc="http://schemas.openxmlformats.org/markup-compatibility/2006" xmlns:w14="http://schemas.microsoft.com/office/word/2010/wordml" w:type="paragraph" w:customStyle="1" w:styleId="teisigned">
    <w:name w:val="tei_signed"/>
    <w:basedOn w:val="Normal"/>
    <w:qFormat/>
    <w:rsid w:val="00693A27"/>
    <w:pPr>
      <w:spacing w:before="360"/>
      <w:ind w:left="431" w:hanging="431"/>
    </w:pPr>
  </w:style>
  <w:style xmlns:mc="http://schemas.openxmlformats.org/markup-compatibility/2006" xmlns:w14="http://schemas.microsoft.com/office/word/2010/wordml" w:type="paragraph" w:customStyle="1" w:styleId="teispeech">
    <w:name w:val="tei_speech"/>
    <w:basedOn w:val="Normal"/>
    <w:qFormat/>
    <w:rsid w:val="00693A27"/>
    <w:pPr>
      <w:ind w:left="432" w:hanging="432"/>
    </w:pPr>
  </w:style>
  <w:style xmlns:mc="http://schemas.openxmlformats.org/markup-compatibility/2006" xmlns:w14="http://schemas.microsoft.com/office/word/2010/wordml" w:type="paragraph" w:customStyle="1" w:styleId="GeneratedTitle">
    <w:name w:val="GeneratedTitle"/>
    <w:basedOn w:val="Title"/>
    <w:qFormat/>
    <w:rsid w:val="003F114A"/>
  </w:style>
  <w:style xmlns:mc="http://schemas.openxmlformats.org/markup-compatibility/2006" xmlns:w14="http://schemas.microsoft.com/office/word/2010/wordml" w:type="paragraph" w:customStyle="1" w:styleId="GeneratedSubTitle">
    <w:name w:val="GeneratedSubTitle"/>
    <w:basedOn w:val="Subtitle"/>
    <w:qFormat/>
    <w:rsid w:val="003F114A"/>
  </w:style>
  <w:style xmlns:mc="http://schemas.openxmlformats.org/markup-compatibility/2006" xmlns:w14="http://schemas.microsoft.com/office/word/2010/wordml" w:type="paragraph" w:customStyle="1" w:styleId="ANNEX">
    <w:name w:val="ANNEX"/>
    <w:basedOn w:val="Normal"/>
    <w:qFormat/>
    <w:rsid w:val="00D646DB"/>
    <w:pPr>
      <w:numPr>
        <w:numId w:val="3"/>
      </w:numPr>
    </w:pPr>
    <w:rPr>
      <w:b/>
      <w:sz w:val="32"/>
    </w:rPr>
  </w:style>
  <w:style xmlns:mc="http://schemas.openxmlformats.org/markup-compatibility/2006" xmlns:w14="http://schemas.microsoft.com/office/word/2010/wordml" w:type="paragraph" w:customStyle="1" w:styleId="egXML1">
    <w:name w:val="egXML"/>
    <w:basedOn w:val="Normal"/>
    <w:qFormat/>
    <w:rPr>
      <w:rFonts w:ascii="Courier" w:hAnsi="Courier"/>
      <w:sz w:val="20"/>
    </w:rPr>
  </w:style>
  <w:style xmlns:mc="http://schemas.openxmlformats.org/markup-compatibility/2006" xmlns:w14="http://schemas.microsoft.com/office/word/2010/wordml" w:type="paragraph" w:customStyle="1" w:styleId="egXMLTable1">
    <w:name w:val="egXMLTable"/>
    <w:basedOn w:val="Normal"/>
    <w:qFormat/>
    <w:pPr>
      <w:spacing w:before="80"/>
    </w:pPr>
    <w:rPr>
      <w:rFonts w:ascii="Courier" w:hAnsi="Courier"/>
      <w:sz w:val="18"/>
    </w:rPr>
  </w:style>
  <w:style xmlns:mc="http://schemas.openxmlformats.org/markup-compatibility/2006" xmlns:w14="http://schemas.microsoft.com/office/word/2010/wordml" w:type="paragraph" w:customStyle="1" w:styleId="egXML2">
    <w:name w:val="egXML"/>
    <w:basedOn w:val="Normal"/>
    <w:qFormat/>
    <w:rPr>
      <w:rFonts w:ascii="Courier" w:hAnsi="Courier"/>
      <w:sz w:val="20"/>
    </w:rPr>
  </w:style>
  <w:style xmlns:mc="http://schemas.openxmlformats.org/markup-compatibility/2006" xmlns:w14="http://schemas.microsoft.com/office/word/2010/wordml" w:type="paragraph" w:customStyle="1" w:styleId="egXMLTable2">
    <w:name w:val="egXMLTable"/>
    <w:basedOn w:val="Normal"/>
    <w:qFormat/>
    <w:pPr>
      <w:spacing w:before="80"/>
    </w:pPr>
    <w:rPr>
      <w:rFonts w:ascii="Courier" w:hAnsi="Courier"/>
      <w:sz w:val="18"/>
    </w:rPr>
  </w:style>
  <w:style xmlns:mc="http://schemas.openxmlformats.org/markup-compatibility/2006" xmlns:w14="http://schemas.microsoft.com/office/word/2010/wordml" w:type="paragraph" w:styleId="Quote">
    <w:name w:val="Quote"/>
    <w:basedOn w:val="Normal"/>
    <w:next w:val="Normal"/>
    <w:link w:val="QuoteChar"/>
    <w:uiPriority w:val="29"/>
    <w:semiHidden/>
    <w:qFormat/>
    <w:rsid w:val="00382EC4"/>
    <w:pPr>
      <w:ind w:left="170" w:right="170"/>
    </w:pPr>
    <w:rPr>
      <w:i/>
      <w:iCs/>
      <w:color w:val="000000" w:themeColor="text1"/>
    </w:rPr>
  </w:style>
  <w:style xmlns:mc="http://schemas.openxmlformats.org/markup-compatibility/2006" xmlns:w14="http://schemas.microsoft.com/office/word/2010/wordml" w:type="character" w:customStyle="1" w:styleId="QuoteChar">
    <w:name w:val="Quote Char"/>
    <w:basedOn w:val="DefaultParagraphFont"/>
    <w:link w:val="Quote"/>
    <w:uiPriority w:val="29"/>
    <w:semiHidden/>
    <w:rsid w:val="00382EC4"/>
    <w:rPr>
      <w:i/>
      <w:iCs/>
      <w:color w:val="000000" w:themeColor="text1"/>
    </w:rPr>
  </w:style>
  <w:style xmlns:mc="http://schemas.openxmlformats.org/markup-compatibility/2006" xmlns:w14="http://schemas.microsoft.com/office/word/2010/wordml" w:type="paragraph" w:customStyle="1" w:styleId="egXML3">
    <w:name w:val="egXML"/>
    <w:basedOn w:val="Normal"/>
    <w:qFormat/>
    <w:rPr>
      <w:rFonts w:ascii="Courier" w:hAnsi="Courier"/>
      <w:sz w:val="20"/>
    </w:rPr>
  </w:style>
  <w:style xmlns:mc="http://schemas.openxmlformats.org/markup-compatibility/2006" xmlns:w14="http://schemas.microsoft.com/office/word/2010/wordml" w:type="paragraph" w:customStyle="1" w:styleId="egXMLTable3">
    <w:name w:val="egXMLTable"/>
    <w:basedOn w:val="Normal"/>
    <w:qFormat/>
    <w:pPr>
      <w:spacing w:before="80"/>
    </w:pPr>
    <w:rPr>
      <w:rFonts w:ascii="Courier" w:hAnsi="Courier"/>
      <w:sz w:val="18"/>
    </w:rPr>
  </w:style>
  <w:style xmlns:mc="http://schemas.openxmlformats.org/markup-compatibility/2006" xmlns:w14="http://schemas.microsoft.com/office/word/2010/wordml" w:type="paragraph" w:customStyle="1" w:styleId="egXML4">
    <w:name w:val="egXML"/>
    <w:basedOn w:val="Normal"/>
    <w:qFormat/>
    <w:rPr>
      <w:rFonts w:ascii="Courier" w:hAnsi="Courier"/>
      <w:sz w:val="20"/>
    </w:rPr>
  </w:style>
  <w:style xmlns:mc="http://schemas.openxmlformats.org/markup-compatibility/2006" xmlns:w14="http://schemas.microsoft.com/office/word/2010/wordml" w:type="paragraph" w:customStyle="1" w:styleId="egXMLTable4">
    <w:name w:val="egXMLTable"/>
    <w:basedOn w:val="Normal"/>
    <w:qFormat/>
    <w:pPr>
      <w:spacing w:before="80"/>
    </w:pPr>
    <w:rPr>
      <w:rFonts w:ascii="Courier" w:hAnsi="Courier"/>
      <w:sz w:val="18"/>
    </w:rPr>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5"/>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5"/>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7"/>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FA08E9"/>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FA08E9"/>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egXMLTable">
    <w:name w:val="egXMLTable"/>
    <w:basedOn w:val="Normal"/>
    <w:qFormat/>
    <w:pPr>
      <w:spacing w:before="80"/>
    </w:pPr>
    <w:rPr>
      <w:rFonts w:ascii="Courier" w:hAnsi="Courier"/>
      <w:sz w:val="18"/>
    </w:rPr>
  </w:style>
  <w:style w:type="paragraph" w:customStyle="1" w:styleId="teilg">
    <w:name w:val="tei_lg"/>
    <w:basedOn w:val="teil"/>
    <w:qFormat/>
    <w:rsid w:val="00E535AB"/>
    <w:pPr>
      <w:spacing w:line="120" w:lineRule="auto"/>
    </w:pPr>
  </w:style>
  <w:style w:type="paragraph" w:customStyle="1" w:styleId="egXML">
    <w:name w:val="egXML"/>
    <w:basedOn w:val="Normal"/>
    <w:qFormat/>
    <w:rPr>
      <w:rFonts w:ascii="Courier" w:hAnsi="Courier"/>
      <w:sz w:val="20"/>
    </w:rPr>
  </w:style>
  <w:style w:type="paragraph" w:customStyle="1" w:styleId="egXML0">
    <w:name w:val="egXML"/>
    <w:basedOn w:val="Normal"/>
    <w:qFormat/>
    <w:rPr>
      <w:rFonts w:ascii="Courier" w:hAnsi="Courier"/>
      <w:sz w:val="20"/>
    </w:rPr>
  </w:style>
  <w:style w:type="paragraph" w:customStyle="1" w:styleId="egXMLTable0">
    <w:name w:val="egXMLTable"/>
    <w:basedOn w:val="Normal"/>
    <w:qFormat/>
    <w:pPr>
      <w:spacing w:before="80"/>
    </w:pPr>
    <w:rPr>
      <w:rFonts w:ascii="Courier" w:hAnsi="Courier"/>
      <w:sz w:val="18"/>
    </w:rPr>
  </w:style>
  <w:style w:type="paragraph" w:customStyle="1" w:styleId="Docdate">
    <w:name w:val="Docdate"/>
    <w:basedOn w:val="Title"/>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customStyle="1" w:styleId="egXML1">
    <w:name w:val="egXML"/>
    <w:basedOn w:val="Normal"/>
    <w:qFormat/>
    <w:rPr>
      <w:rFonts w:ascii="Courier" w:hAnsi="Courier"/>
      <w:sz w:val="20"/>
    </w:rPr>
  </w:style>
  <w:style w:type="paragraph" w:customStyle="1" w:styleId="egXMLTable1">
    <w:name w:val="egXMLTable"/>
    <w:basedOn w:val="Normal"/>
    <w:qFormat/>
    <w:pPr>
      <w:spacing w:before="80"/>
    </w:pPr>
    <w:rPr>
      <w:rFonts w:ascii="Courier" w:hAnsi="Courier"/>
      <w:sz w:val="18"/>
    </w:rPr>
  </w:style>
  <w:style w:type="paragraph" w:customStyle="1" w:styleId="egXML2">
    <w:name w:val="egXML"/>
    <w:basedOn w:val="Normal"/>
    <w:qFormat/>
    <w:rPr>
      <w:rFonts w:ascii="Courier" w:hAnsi="Courier"/>
      <w:sz w:val="20"/>
    </w:rPr>
  </w:style>
  <w:style w:type="paragraph" w:customStyle="1" w:styleId="egXMLTable2">
    <w:name w:val="egXMLTable"/>
    <w:basedOn w:val="Normal"/>
    <w:qFormat/>
    <w:pPr>
      <w:spacing w:before="80"/>
    </w:pPr>
    <w:rPr>
      <w:rFonts w:ascii="Courier" w:hAnsi="Courier"/>
      <w:sz w:val="18"/>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egXML3">
    <w:name w:val="egXML"/>
    <w:basedOn w:val="Normal"/>
    <w:qFormat/>
    <w:rPr>
      <w:rFonts w:ascii="Courier" w:hAnsi="Courier"/>
      <w:sz w:val="20"/>
    </w:rPr>
  </w:style>
  <w:style w:type="paragraph" w:customStyle="1" w:styleId="egXMLTable3">
    <w:name w:val="egXMLTable"/>
    <w:basedOn w:val="Normal"/>
    <w:qFormat/>
    <w:pPr>
      <w:spacing w:before="80"/>
    </w:pPr>
    <w:rPr>
      <w:rFonts w:ascii="Courier" w:hAnsi="Courier"/>
      <w:sz w:val="18"/>
    </w:rPr>
  </w:style>
  <w:style w:type="paragraph" w:customStyle="1" w:styleId="egXML4">
    <w:name w:val="egXML"/>
    <w:basedOn w:val="Normal"/>
    <w:qFormat/>
    <w:rPr>
      <w:rFonts w:ascii="Courier" w:hAnsi="Courier"/>
      <w:sz w:val="20"/>
    </w:rPr>
  </w:style>
  <w:style w:type="paragraph" w:customStyle="1" w:styleId="egXMLTable4">
    <w:name w:val="egXMLTable"/>
    <w:basedOn w:val="Normal"/>
    <w:qFormat/>
    <w:pPr>
      <w:spacing w:before="80"/>
    </w:pPr>
    <w:rPr>
      <w:rFonts w:ascii="Courier" w:hAnsi="Courier"/>
      <w:sz w:val="18"/>
    </w:rPr>
  </w:style>
</w:style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Type="http://schemas.openxmlformats.org/officeDocument/2006/relationships/hyperlink" Target="https://github.com/TEIC/Stylesheets" TargetMode="External" Id="rId3002"/><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TEI XSL stylesheets</Application>
  <DocSecurity>0</DocSecurity>
  <Lines>0</Lines>
  <Paragraphs>0</Paragraphs>
  <ScaleCrop>false</ScaleCrop>
  <Company>Text Encoding Initiative</Company>
  <LinksUpToDate>false</LinksUpToDate>
  <CharactersWithSpaces>0</CharactersWithSpaces>
  <SharedDoc>false</SharedDoc>
  <HyperlinksChanged>false</HyperlinksChanged>
  <AppVersion>7.3.0</AppVersion>
</Properties>
</file>

<file path=docProps/core.xml><?xml version="1.0" encoding="utf-8"?>
<cp:coreProperties xmlns:cp="http://schemas.openxmlformats.org/package/2006/metadata/core-properties">
  <dc:title xmlns:dc="http://purl.org/dc/elements/1.1/">TEI Simple: towards an amenable TEI</dc:title>
  <dc:creator xmlns:dc="http://purl.org/dc/elements/1.1/">Martin Mueller and Sebastian Rahtz</dc:creator>
  <cp:lastModifiedBy>TEI stylesheets</cp:lastModifiedBy>
  <cp:revision>5</cp:revision>
  <dcterms:created xmlns:dcterms="http://purl.org/dc/terms/" xmlns:xsi="http://www.w3.org/2001/XMLSchema-instance" xsi:type="dcterms:W3CDTF">2011-11-05T18:44:00Z</dcterms:created>
  <dcterms:modified xmlns:dcterms="http://purl.org/dc/terms/" xmlns:xsi="http://www.w3.org/2001/XMLSchema-instance" xsi:type="dcterms:W3CDTF">2014-04-23T23:30:21Z</dcterms:modified>
</cp:coreProperties>
</file>

<file path=docProps/custom.xml><?xml version="1.0" encoding="utf-8"?>
<Properties xmlns="http://schemas.openxmlformats.org/officeDocument/2006/custom-properties" xmlns:vt="http://schemas.openxmlformats.org/officeDocument/2006/docPropsVTypes">
  <property pid="1001" name="TEI_toDOCX" fmtid="{D5CDD505-2E9C-101B-9397-08002B2CF9AE}">
    <vt:lpwstr>2.15.0</vt:lpwstr>
  </property>
  <property name="TEI_fromDOCX" pid="1002" fmtid="{D5CDD505-2E9C-101B-9397-08002B2CF9AE}">
    <vt:lpwstr>2.15.0</vt:lpwstr>
  </property>
</Properties>
</file>