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Summary Report: Predictive Insights for Collections Strategy</w:t>
      </w:r>
    </w:p>
    <w:p>
      <w:pPr>
        <w:pStyle w:val="Heading2"/>
      </w:pPr>
      <w:r>
        <w:t>1. Summary of Predictive Insights</w:t>
      </w:r>
    </w:p>
    <w:p>
      <w:r>
        <w:t>After reviewing the customer data and the predictive model, several patterns emerged that can help Geldium identify customers who are more likely to become delinquent. Customers with multiple missed payments, high credit utilization, and high debt-to-income ratios were consistently more likely to miss future repayments. Customers with newer accounts also appeared to have a higher level of repayment risk.</w:t>
      </w:r>
    </w:p>
    <w:p>
      <w:pPr>
        <w:pStyle w:val="Heading3"/>
      </w:pPr>
      <w:r>
        <w:t>Top 3 Risk Factors</w:t>
      </w:r>
    </w:p>
    <w:p>
      <w:pPr>
        <w:pStyle w:val="ListBullet"/>
      </w:pPr>
      <w:r>
        <w:t>Customers with two or more missed payments are the most likely to become delinquent.</w:t>
      </w:r>
    </w:p>
    <w:p>
      <w:pPr>
        <w:pStyle w:val="ListBullet"/>
      </w:pPr>
      <w:r>
        <w:t>High credit utilization (using a large portion of available credit) is strongly linked with repayment difficulties.</w:t>
      </w:r>
    </w:p>
    <w:p>
      <w:pPr>
        <w:pStyle w:val="ListBullet"/>
      </w:pPr>
      <w:r>
        <w:t>Customers with a high debt-to-income ratio have a greater chance of falling behind on payments because a large share of their income is already committed to debt.</w:t>
      </w:r>
    </w:p>
    <w:p>
      <w:r>
        <w:t>These insights allow the collections team to identify high-risk customers earlier and provide support before payment problems become more serious.</w:t>
      </w:r>
    </w:p>
    <w:p>
      <w:pPr>
        <w:pStyle w:val="Heading2"/>
      </w:pPr>
      <w:r>
        <w:t>2. Business Recommendation</w:t>
      </w:r>
    </w:p>
    <w:p>
      <w:pPr>
        <w:pStyle w:val="Heading3"/>
      </w:pPr>
      <w:r>
        <w:t>SMART Goal</w:t>
      </w:r>
    </w:p>
    <w:p>
      <w:r>
        <w:t>Over the next six weeks, identify customers with high credit utilization and multiple missed payments, then send personalised payment reminders and offer repayment assistance. The objective is to reduce the number of customers becoming 30-day delinquent while improving customer engagement.</w:t>
      </w:r>
    </w:p>
    <w:p>
      <w:pPr>
        <w:pStyle w:val="Heading3"/>
      </w:pPr>
      <w:r>
        <w:t>Why this Recommendation?</w:t>
      </w:r>
    </w:p>
    <w:p>
      <w:r>
        <w:t>This recommendation focuses on customers who are most likely to miss future payments. Early communication gives customers an opportunity to take action before their financial situation worsens. It is a practical, low-cost approach that supports Geldium's goal of reducing delinquency while maintaining positive customer relationships.</w:t>
      </w:r>
    </w:p>
    <w:p>
      <w:pPr>
        <w:pStyle w:val="Heading2"/>
      </w:pPr>
      <w:r>
        <w:t>3. Ethical and Responsible AI Considerations</w:t>
      </w:r>
    </w:p>
    <w:p>
      <w:pPr>
        <w:pStyle w:val="Heading3"/>
      </w:pPr>
      <w:r>
        <w:t>Fairness Risk 1</w:t>
      </w:r>
    </w:p>
    <w:p>
      <w:r>
        <w:t>Historical customer data may contain hidden biases, causing some groups of customers to receive higher risk scores than others.</w:t>
      </w:r>
    </w:p>
    <w:p>
      <w:r>
        <w:t>Mitigation: Regularly test the model across different customer groups and update it if unfair patterns are detected.</w:t>
      </w:r>
    </w:p>
    <w:p>
      <w:pPr>
        <w:pStyle w:val="Heading3"/>
      </w:pPr>
      <w:r>
        <w:t>Fairness Risk 2</w:t>
      </w:r>
    </w:p>
    <w:p>
      <w:r>
        <w:t>The model could incorrectly classify some customers as high risk, resulting in unnecessary collection activities.</w:t>
      </w:r>
    </w:p>
    <w:p>
      <w:r>
        <w:t>Mitigation: Use AI predictions to support—not replace—human decision-making. Collection officers should review high-risk cases before taking action.</w:t>
      </w:r>
    </w:p>
    <w:p>
      <w:pPr>
        <w:pStyle w:val="Heading3"/>
      </w:pPr>
      <w:r>
        <w:t>Explaining the Model to Stakeholders</w:t>
      </w:r>
    </w:p>
    <w:p>
      <w:r>
        <w:t>The model does not make decisions automatically. Instead, it estimates the likelihood that a customer may become delinquent based on factors such as payment history, credit utilization, and debt-to-income ratio. These predictions help the collections team prioritise customers who may benefit from early support while ensuring that final decisions remain with trained employees.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