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10 IPO Charts</w:t>
      </w:r>
    </w:p>
    <w:p>
      <w:pPr>
        <w:pStyle w:val="Heading2"/>
      </w:pPr>
      <w:r>
        <w:t>M10P1 – Sales Forecast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Last name, month, sales amount, yes/no response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Determine forecast percent based on month (0.10–0.25). Compute next month’s sales = sales × (1 + forecast percent). Repeat while user says 'Yes'.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Display next month’s forecasted sales amount.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M10P2 – Room Paint Calculation (with Bonus)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Length, width, height, yes/no response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Compute wall area = 2 × length × height + 2 × width × height. Compute gallons = wall area / 50. Bonus: compute ceiling/floor area = length × width; compute gallons for ceiling/floor = area / 50.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Display wall gallons, and bonus ceiling/floor gallons.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M10P3 – Car Price Calculation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Make, model, electric vehicle code (Y/N), MSRP, yes/no response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Determine discount percent based on car type or EV. Compute discounted MSRP, then add 7% tax. Sum MSRP and final sale price for all cars.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Display total sale price for each car and grand totals.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M10P4 – Train Ticket Price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Last name, miles from downtown Chicago, yes/no response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Determine ticket price based on miles range (&gt;=30=$12, 20–29=$10, 10–19=$8, &lt;10=$5). Sum ticket prices for all entries.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Display ticket price and total of all tickets.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M10P5 – Home Assessment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County, market value, yes/no response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Determine assessment percent by county. Compute assessed value = market value × assessment percent. Sum market and assessed values.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Display assessed value and totals for all homes.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