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348118</wp:posOffset>
                </wp:positionH>
                <wp:positionV relativeFrom="margin">
                  <wp:posOffset>-890908</wp:posOffset>
                </wp:positionV>
                <wp:extent cx="446253" cy="10701655"/>
                <wp:effectExtent b="0" l="0" r="0" t="0"/>
                <wp:wrapNone/>
                <wp:docPr id="1949084925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27636" y="0"/>
                          <a:ext cx="436728" cy="7560000"/>
                        </a:xfrm>
                        <a:prstGeom prst="rect">
                          <a:avLst/>
                        </a:prstGeom>
                        <a:solidFill>
                          <a:srgbClr val="F8BABA"/>
                        </a:solidFill>
                        <a:ln cap="flat" cmpd="sng" w="9525">
                          <a:solidFill>
                            <a:srgbClr val="F8BA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348118</wp:posOffset>
                </wp:positionH>
                <wp:positionV relativeFrom="margin">
                  <wp:posOffset>-890908</wp:posOffset>
                </wp:positionV>
                <wp:extent cx="446253" cy="10701655"/>
                <wp:effectExtent b="0" l="0" r="0" t="0"/>
                <wp:wrapNone/>
                <wp:docPr id="194908492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6253" cy="107016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-225086</wp:posOffset>
                </wp:positionH>
                <wp:positionV relativeFrom="margin">
                  <wp:posOffset>-904556</wp:posOffset>
                </wp:positionV>
                <wp:extent cx="582731" cy="10701655"/>
                <wp:effectExtent b="0" l="0" r="0" t="0"/>
                <wp:wrapNone/>
                <wp:docPr id="194908492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59397" y="0"/>
                          <a:ext cx="573206" cy="7560000"/>
                        </a:xfrm>
                        <a:prstGeom prst="rect">
                          <a:avLst/>
                        </a:prstGeom>
                        <a:solidFill>
                          <a:srgbClr val="F2BCD8"/>
                        </a:solidFill>
                        <a:ln cap="flat" cmpd="sng" w="9525">
                          <a:solidFill>
                            <a:srgbClr val="F2BCD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-225086</wp:posOffset>
                </wp:positionH>
                <wp:positionV relativeFrom="margin">
                  <wp:posOffset>-904556</wp:posOffset>
                </wp:positionV>
                <wp:extent cx="582731" cy="10701655"/>
                <wp:effectExtent b="0" l="0" r="0" t="0"/>
                <wp:wrapNone/>
                <wp:docPr id="1949084924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731" cy="107016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-1109026</wp:posOffset>
                </wp:positionH>
                <wp:positionV relativeFrom="margin">
                  <wp:posOffset>-904556</wp:posOffset>
                </wp:positionV>
                <wp:extent cx="923925" cy="10701655"/>
                <wp:effectExtent b="0" l="0" r="0" t="0"/>
                <wp:wrapNone/>
                <wp:docPr id="1949084926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888800" y="0"/>
                          <a:ext cx="914400" cy="7560000"/>
                        </a:xfrm>
                        <a:prstGeom prst="rect">
                          <a:avLst/>
                        </a:prstGeom>
                        <a:solidFill>
                          <a:srgbClr val="EDB9EB"/>
                        </a:solidFill>
                        <a:ln cap="flat" cmpd="sng" w="9525">
                          <a:solidFill>
                            <a:srgbClr val="EDB9EB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-1109026</wp:posOffset>
                </wp:positionH>
                <wp:positionV relativeFrom="margin">
                  <wp:posOffset>-904556</wp:posOffset>
                </wp:positionV>
                <wp:extent cx="923925" cy="10701655"/>
                <wp:effectExtent b="0" l="0" r="0" t="0"/>
                <wp:wrapNone/>
                <wp:docPr id="1949084926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107016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1615100</wp:posOffset>
            </wp:positionH>
            <wp:positionV relativeFrom="paragraph">
              <wp:posOffset>224982</wp:posOffset>
            </wp:positionV>
            <wp:extent cx="3890126" cy="1025718"/>
            <wp:effectExtent b="0" l="0" r="0" t="0"/>
            <wp:wrapNone/>
            <wp:docPr descr="Instituto Velázquez de Sevilla | Opiniones y Precios 2024 - Micole" id="1949084927" name="image1.png"/>
            <a:graphic>
              <a:graphicData uri="http://schemas.openxmlformats.org/drawingml/2006/picture">
                <pic:pic>
                  <pic:nvPicPr>
                    <pic:cNvPr descr="Instituto Velázquez de Sevilla | Opiniones y Precios 2024 - Micole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126" cy="10257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993305</wp:posOffset>
                </wp:positionH>
                <wp:positionV relativeFrom="margin">
                  <wp:posOffset>2184828</wp:posOffset>
                </wp:positionV>
                <wp:extent cx="5168265" cy="6420485"/>
                <wp:effectExtent b="0" l="0" r="0" t="0"/>
                <wp:wrapNone/>
                <wp:docPr id="194908492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766630" y="574520"/>
                          <a:ext cx="5158740" cy="6410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0" w:right="69.00000095367432" w:firstLine="0"/>
                              <w:jc w:val="center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0" w:right="69.00000095367432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17406d"/>
                                <w:sz w:val="5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52"/>
                                <w:vertAlign w:val="baseline"/>
                              </w:rPr>
                              <w:t xml:space="preserve">UNIDAD 15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Protocolos de la capa de aplicación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SISTEMAS INFORMÁTICOS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Técnico de Grado Superior Desarrollo de Aplicaciones Web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2023-2024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ENTREGABLE UNIDAD 15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993305</wp:posOffset>
                </wp:positionH>
                <wp:positionV relativeFrom="margin">
                  <wp:posOffset>2184828</wp:posOffset>
                </wp:positionV>
                <wp:extent cx="5168265" cy="6420485"/>
                <wp:effectExtent b="0" l="0" r="0" t="0"/>
                <wp:wrapNone/>
                <wp:docPr id="1949084923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8265" cy="6420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A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0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14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C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F">
      <w:pPr>
        <w:ind w:left="0" w:firstLine="0"/>
        <w:rPr>
          <w:rFonts w:ascii="Montserrat" w:cs="Montserrat" w:eastAsia="Montserrat" w:hAnsi="Montserrat"/>
          <w:b w:val="1"/>
          <w:color w:val="000000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40"/>
          <w:szCs w:val="40"/>
          <w:rtl w:val="0"/>
        </w:rPr>
        <w:t xml:space="preserve">Introducción [RA6]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24" w:right="69" w:hanging="4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siguiente entregable está destinado al estudio de los protocolos de la capa de aplicación.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24" w:right="69" w:hanging="4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Consiste en dos partes que serán evaluadas de forma independiente sobre 10 puntos cada una.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84" w:right="69" w:hanging="36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Apartado A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investigación individual acerca de temas sobre seguridad en la red. Contesta con el mayor detalle posible a las preguntas planteadas.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684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Apartado B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trabajo grupal acerca de un protocolo de la capa de aplicación en concreto (presentación y exposición oral).</w:t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rPr>
          <w:rFonts w:ascii="Montserrat" w:cs="Montserrat" w:eastAsia="Montserrat" w:hAnsi="Montserrat"/>
          <w:b w:val="1"/>
          <w:color w:val="000000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36"/>
          <w:szCs w:val="36"/>
          <w:rtl w:val="0"/>
        </w:rPr>
        <w:t xml:space="preserve">Apartado A: Seguridad en el sistema</w:t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rPr>
          <w:rFonts w:ascii="Open Sans" w:cs="Open Sans" w:eastAsia="Open Sans" w:hAnsi="Open Sans"/>
          <w:b w:val="1"/>
          <w:color w:val="000000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32"/>
          <w:szCs w:val="32"/>
          <w:rtl w:val="0"/>
        </w:rPr>
        <w:t xml:space="preserve">Ejercicio 1</w:t>
      </w:r>
    </w:p>
    <w:p w:rsidR="00000000" w:rsidDel="00000000" w:rsidP="00000000" w:rsidRDefault="00000000" w:rsidRPr="00000000" w14:paraId="00000026">
      <w:pPr>
        <w:pStyle w:val="Subtitle"/>
        <w:spacing w:line="360" w:lineRule="auto"/>
        <w:ind w:left="0" w:firstLine="0"/>
        <w:rPr/>
      </w:pPr>
      <w:bookmarkStart w:colFirst="0" w:colLast="0" w:name="_heading=h.rjjuzsl125a" w:id="0"/>
      <w:bookmarkEnd w:id="0"/>
      <w:r w:rsidDel="00000000" w:rsidR="00000000" w:rsidRPr="00000000">
        <w:rPr>
          <w:rtl w:val="0"/>
        </w:rPr>
        <w:t xml:space="preserve">¿Cuál es el objetivo de la seguridad informática? ¿Qué tipos de seguridad informática existen, para qué sirve cada una de ellas?</w:t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rPr>
          <w:rFonts w:ascii="Open Sans" w:cs="Open Sans" w:eastAsia="Open Sans" w:hAnsi="Open Sans"/>
          <w:b w:val="1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Indica para cada ejemplo si se trata de seguridad pasiva o activa.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Restaurar las copias de seguridad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Antivirus actualizado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 con parches de seguridad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es necesario restaurar la imagen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Escaneo completo de la máquina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69" w:hanging="36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Utilizar usuarios no administradores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El objetivo principal de la seguridad informática es proteger la confidencialidad, integridad y disponibilidad de los datos y sistemas de información frente a accesos no autorizados, ataques, daños y robos. Esto se logra mediante la implementación de diversas medidas y controles de seguridad.</w:t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Tipos de Seguridad Informática y Sus Funciones</w:t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rPr>
          <w:rFonts w:ascii="Open Sans" w:cs="Open Sans" w:eastAsia="Open Sans" w:hAnsi="Open Sans"/>
          <w:b w:val="1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sz w:val="22"/>
          <w:szCs w:val="22"/>
          <w:rtl w:val="0"/>
        </w:rPr>
        <w:t xml:space="preserve">Seguridad de la Información:</w:t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Función: Proteger la información contra accesos no autorizados, alteración y destrucción.</w:t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Ejemplo: Encriptación de datos.</w:t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Tipo: Activa.</w:t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rPr>
          <w:rFonts w:ascii="Open Sans" w:cs="Open Sans" w:eastAsia="Open Sans" w:hAnsi="Open Sans"/>
          <w:b w:val="1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sz w:val="22"/>
          <w:szCs w:val="22"/>
          <w:rtl w:val="0"/>
        </w:rPr>
        <w:t xml:space="preserve">Seguridad de Redes:</w:t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Función: Proteger la infraestructura de red y el tráfico de datos contra intrusiones y ataques.</w:t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Ejemplo: Firewalls y sistemas de detección de intrusos (IDS).</w:t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Tipo: Activa.</w:t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rPr>
          <w:rFonts w:ascii="Open Sans" w:cs="Open Sans" w:eastAsia="Open Sans" w:hAnsi="Open Sans"/>
          <w:b w:val="1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sz w:val="22"/>
          <w:szCs w:val="22"/>
          <w:rtl w:val="0"/>
        </w:rPr>
        <w:t xml:space="preserve">Seguridad de Sistemas:</w:t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Función: Proteger los sistemas operativos y aplicaciones contra vulnerabilidades y exploits.</w:t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Ejemplo: Aplicar parches de seguridad.</w:t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Tipo: Activa.</w:t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rPr>
          <w:rFonts w:ascii="Open Sans" w:cs="Open Sans" w:eastAsia="Open Sans" w:hAnsi="Open Sans"/>
          <w:b w:val="1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sz w:val="22"/>
          <w:szCs w:val="22"/>
          <w:rtl w:val="0"/>
        </w:rPr>
        <w:t xml:space="preserve">Seguridad Física:</w:t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Función: Proteger el hardware y las instalaciones físicas contra daños y accesos no autorizados.</w:t>
      </w:r>
    </w:p>
    <w:p w:rsidR="00000000" w:rsidDel="00000000" w:rsidP="00000000" w:rsidRDefault="00000000" w:rsidRPr="00000000" w14:paraId="0000003E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Ejemplo: Controles de acceso y cámaras de vigilancia.</w:t>
      </w:r>
    </w:p>
    <w:p w:rsidR="00000000" w:rsidDel="00000000" w:rsidP="00000000" w:rsidRDefault="00000000" w:rsidRPr="00000000" w14:paraId="0000003F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Tipo: Activa.</w:t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rPr>
          <w:rFonts w:ascii="Open Sans" w:cs="Open Sans" w:eastAsia="Open Sans" w:hAnsi="Open Sans"/>
          <w:b w:val="1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sz w:val="22"/>
          <w:szCs w:val="22"/>
          <w:rtl w:val="0"/>
        </w:rPr>
        <w:t xml:space="preserve">Seguridad en la Nube:</w:t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Función: Proteger los datos y aplicaciones almacenados en servicios de nube.</w:t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Ejemplo: Controles de acceso y cifrado en la nube.</w:t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Tipo: Activa</w:t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hyperlink r:id="rId12">
        <w:r w:rsidDel="00000000" w:rsidR="00000000" w:rsidRPr="00000000">
          <w:rPr>
            <w:rFonts w:ascii="Open Sans" w:cs="Open Sans" w:eastAsia="Open Sans" w:hAnsi="Open Sans"/>
            <w:color w:val="1155cc"/>
            <w:sz w:val="22"/>
            <w:szCs w:val="22"/>
            <w:u w:val="single"/>
            <w:rtl w:val="0"/>
          </w:rPr>
          <w:t xml:space="preserve">https://www.nist.gov/cyberframework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hyperlink r:id="rId13">
        <w:r w:rsidDel="00000000" w:rsidR="00000000" w:rsidRPr="00000000">
          <w:rPr>
            <w:rFonts w:ascii="Open Sans" w:cs="Open Sans" w:eastAsia="Open Sans" w:hAnsi="Open Sans"/>
            <w:color w:val="1155cc"/>
            <w:sz w:val="22"/>
            <w:szCs w:val="22"/>
            <w:u w:val="single"/>
            <w:rtl w:val="0"/>
          </w:rPr>
          <w:t xml:space="preserve">https://learn.microsoft.com/en-us/windows/security/operating-system-security/data-protection/bitlocker/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rPr>
          <w:rFonts w:ascii="Open Sans" w:cs="Open Sans" w:eastAsia="Open Sans" w:hAnsi="Open Sans"/>
          <w:b w:val="1"/>
          <w:color w:val="000000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32"/>
          <w:szCs w:val="32"/>
          <w:rtl w:val="0"/>
        </w:rPr>
        <w:t xml:space="preserve">Ejercicio 2</w:t>
      </w:r>
    </w:p>
    <w:p w:rsidR="00000000" w:rsidDel="00000000" w:rsidP="00000000" w:rsidRDefault="00000000" w:rsidRPr="00000000" w14:paraId="00000049">
      <w:pPr>
        <w:pStyle w:val="Subtitle"/>
        <w:spacing w:line="360" w:lineRule="auto"/>
        <w:ind w:left="0" w:firstLine="0"/>
        <w:rPr/>
      </w:pPr>
      <w:bookmarkStart w:colFirst="0" w:colLast="0" w:name="_heading=h.o9g9i1dqasgw" w:id="1"/>
      <w:bookmarkEnd w:id="1"/>
      <w:r w:rsidDel="00000000" w:rsidR="00000000" w:rsidRPr="00000000">
        <w:rPr>
          <w:rtl w:val="0"/>
        </w:rPr>
        <w:t xml:space="preserve">¿Qué es BitLocker? ¿Para qué sirve? ¿Cómo se usa? ¿Qué ventajas e inconvenientes tiene su uso?</w:t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BitLocker es una herramienta de cifrado de disco completa de Microsoft que protege los datos almacenados en discos duros mediante cifrado. Sirve para prevenir accesos no autorizados y proteger datos en caso de pérdida o robo del dispositivo. Se usa habilitando desde el panel de control de Windows o a través de la línea de comandos, y requiere una clave de recuperación para desbloquear los datos. Sus ventajas incluyen alta seguridad y facilidad de integración en sistemas Windows, pero puede afectar el rendimiento y es irrelevante si se olvida la clave de recuperación.</w:t>
      </w:r>
    </w:p>
    <w:p w:rsidR="00000000" w:rsidDel="00000000" w:rsidP="00000000" w:rsidRDefault="00000000" w:rsidRPr="00000000" w14:paraId="0000004B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hyperlink r:id="rId14">
        <w:r w:rsidDel="00000000" w:rsidR="00000000" w:rsidRPr="00000000">
          <w:rPr>
            <w:rFonts w:ascii="Open Sans" w:cs="Open Sans" w:eastAsia="Open Sans" w:hAnsi="Open Sans"/>
            <w:color w:val="1155cc"/>
            <w:sz w:val="22"/>
            <w:szCs w:val="22"/>
            <w:u w:val="single"/>
            <w:rtl w:val="0"/>
          </w:rPr>
          <w:t xml:space="preserve">https://learn.microsoft.com/en-us/windows/security/operating-system-security/data-protection/bitlocker/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hyperlink r:id="rId15">
        <w:r w:rsidDel="00000000" w:rsidR="00000000" w:rsidRPr="00000000">
          <w:rPr>
            <w:rFonts w:ascii="Open Sans" w:cs="Open Sans" w:eastAsia="Open Sans" w:hAnsi="Open Sans"/>
            <w:color w:val="1155cc"/>
            <w:sz w:val="22"/>
            <w:szCs w:val="22"/>
            <w:u w:val="single"/>
            <w:rtl w:val="0"/>
          </w:rPr>
          <w:t xml:space="preserve">https://nvlpubs.nist.gov/nistpubs/Legacy/SP/nistspecialpublication800-111.pdf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0" w:firstLine="0"/>
        <w:rPr>
          <w:rFonts w:ascii="Open Sans" w:cs="Open Sans" w:eastAsia="Open Sans" w:hAnsi="Open Sans"/>
          <w:b w:val="1"/>
          <w:color w:val="000000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32"/>
          <w:szCs w:val="32"/>
          <w:rtl w:val="0"/>
        </w:rPr>
        <w:t xml:space="preserve">Ejercicio 3</w:t>
      </w:r>
    </w:p>
    <w:p w:rsidR="00000000" w:rsidDel="00000000" w:rsidP="00000000" w:rsidRDefault="00000000" w:rsidRPr="00000000" w14:paraId="00000052">
      <w:pPr>
        <w:pStyle w:val="Subtitle"/>
        <w:spacing w:line="360" w:lineRule="auto"/>
        <w:ind w:left="0" w:firstLine="0"/>
        <w:rPr/>
      </w:pPr>
      <w:bookmarkStart w:colFirst="0" w:colLast="0" w:name="_heading=h.25fgxktxmmo5" w:id="2"/>
      <w:bookmarkEnd w:id="2"/>
      <w:r w:rsidDel="00000000" w:rsidR="00000000" w:rsidRPr="00000000">
        <w:rPr>
          <w:rtl w:val="0"/>
        </w:rPr>
        <w:t xml:space="preserve">¿Qué es un firewall o cortafuegos en informática? ¿Para qué sirve? ¿Cómo funciona? ¿Qué limitaciones presenta?</w:t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Un firewall o cortafuegos es un dispositivo de seguridad de red que monitoriza y controla el tráfico de red entrante y saliente basado en reglas de seguridad predefinidas.Sirve para proteger la red , control de acceso, monitoreo y registro, prevención de amenazas.Funciona evaluando el tráfico de red contra un conjunto de reglas predefinidas.Presenta limitaciones como el nivel de red, la incapacidad para detectar amenazas más avanzadas, falsos positivos y negativos y el impacto en el rendimiento.</w:t>
      </w:r>
    </w:p>
    <w:p w:rsidR="00000000" w:rsidDel="00000000" w:rsidP="00000000" w:rsidRDefault="00000000" w:rsidRPr="00000000" w14:paraId="00000054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hyperlink r:id="rId16">
        <w:r w:rsidDel="00000000" w:rsidR="00000000" w:rsidRPr="00000000">
          <w:rPr>
            <w:rFonts w:ascii="Open Sans" w:cs="Open Sans" w:eastAsia="Open Sans" w:hAnsi="Open Sans"/>
            <w:color w:val="1155cc"/>
            <w:sz w:val="22"/>
            <w:szCs w:val="22"/>
            <w:u w:val="single"/>
            <w:rtl w:val="0"/>
          </w:rPr>
          <w:t xml:space="preserve">https://www.ibm.com/docs/en/i/7.1?topic=options-firewalls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hyperlink r:id="rId17">
        <w:r w:rsidDel="00000000" w:rsidR="00000000" w:rsidRPr="00000000">
          <w:rPr>
            <w:rFonts w:ascii="Open Sans" w:cs="Open Sans" w:eastAsia="Open Sans" w:hAnsi="Open Sans"/>
            <w:color w:val="1155cc"/>
            <w:sz w:val="22"/>
            <w:szCs w:val="22"/>
            <w:u w:val="single"/>
            <w:rtl w:val="0"/>
          </w:rPr>
          <w:t xml:space="preserve">https://www.cisco.com/c/en/us/products/security/firewalls/what-is-a-firewall.html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0" w:firstLine="0"/>
        <w:rPr>
          <w:rFonts w:ascii="Open Sans" w:cs="Open Sans" w:eastAsia="Open Sans" w:hAnsi="Open Sans"/>
          <w:b w:val="1"/>
          <w:color w:val="000000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32"/>
          <w:szCs w:val="32"/>
          <w:rtl w:val="0"/>
        </w:rPr>
        <w:t xml:space="preserve">Ejercicio 4</w:t>
      </w:r>
    </w:p>
    <w:p w:rsidR="00000000" w:rsidDel="00000000" w:rsidP="00000000" w:rsidRDefault="00000000" w:rsidRPr="00000000" w14:paraId="0000005A">
      <w:pPr>
        <w:pStyle w:val="Subtitle"/>
        <w:spacing w:line="360" w:lineRule="auto"/>
        <w:ind w:left="0" w:firstLine="0"/>
        <w:rPr/>
      </w:pPr>
      <w:bookmarkStart w:colFirst="0" w:colLast="0" w:name="_heading=h.hztfg0ghlc3d" w:id="3"/>
      <w:bookmarkEnd w:id="3"/>
      <w:r w:rsidDel="00000000" w:rsidR="00000000" w:rsidRPr="00000000">
        <w:rPr>
          <w:rtl w:val="0"/>
        </w:rPr>
        <w:t xml:space="preserve">¿Cuáles con los principales ataques y cómo podemos protegernos de estos?</w:t>
      </w:r>
    </w:p>
    <w:p w:rsidR="00000000" w:rsidDel="00000000" w:rsidP="00000000" w:rsidRDefault="00000000" w:rsidRPr="00000000" w14:paraId="0000005B">
      <w:pPr>
        <w:pStyle w:val="Subtitle"/>
        <w:spacing w:line="360" w:lineRule="auto"/>
        <w:ind w:left="0" w:firstLine="0"/>
        <w:rPr/>
      </w:pPr>
      <w:bookmarkStart w:colFirst="0" w:colLast="0" w:name="_heading=h.yspn71ctm45k" w:id="4"/>
      <w:bookmarkEnd w:id="4"/>
      <w:r w:rsidDel="00000000" w:rsidR="00000000" w:rsidRPr="00000000">
        <w:rPr>
          <w:rtl w:val="0"/>
        </w:rPr>
        <w:t xml:space="preserve">Pon 3 casos reales de ataques informáticos y qué podemos hacer para protegernos de ellos.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Phishing: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Ataque en el que los atacantes se hacen pasar por entidades de confianza para obtener información sensible, como contraseñas y datos financieros.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Protección: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Educación y Conciencia: Capacitar a los usuarios para reconocer correos electrónicos y mensajes sospechosos.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Autenticación Multifactor (MFA): Añadir capas adicionales de verificación.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b w:val="1"/>
          <w:rtl w:val="0"/>
        </w:rPr>
        <w:t xml:space="preserve">Malware: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Software malicioso diseñado para dañar, interrumpir o tomar control de sistemas y redes.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Protección: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Software Antivirus: Instalar y mantener actualizado un buen antivirus.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Actualizaciones: Mantener todos los sistemas y aplicaciones actualizadas para corregir vulnerabilidades.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Ataques DDoS: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Ataques que sobrecargan un sistema con tráfico, impidiendo su funcionamiento normal.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Protección: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CDN y Redes de Distribución: Usar redes de distribución de contenido que puedan mitigar el tráfico excesivo.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Firewall y Sistemas de Prevención de Intrusiones (IPS): Configurar para detectar y bloquear tráfico malicioso.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Casos Reales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Ataque a Sony Pictures (2014):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Un ataque devastador que resultó en la filtración de datos confidenciales, correos electrónicos internos y películas inéditas.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WannaCry Ransomware (2017):</w:t>
      </w:r>
    </w:p>
    <w:p w:rsidR="00000000" w:rsidDel="00000000" w:rsidP="00000000" w:rsidRDefault="00000000" w:rsidRPr="00000000" w14:paraId="00000072">
      <w:pPr>
        <w:ind w:left="227" w:firstLine="0"/>
        <w:rPr/>
      </w:pPr>
      <w:r w:rsidDel="00000000" w:rsidR="00000000" w:rsidRPr="00000000">
        <w:rPr>
          <w:rtl w:val="0"/>
        </w:rPr>
        <w:t xml:space="preserve">Ransomware que explotó una vulnerabilidad en Windows para infectar y cifrar archivos en miles de sistemas en todo el mundo, pidiendo rescates en bitcoin.</w:t>
      </w:r>
    </w:p>
    <w:p w:rsidR="00000000" w:rsidDel="00000000" w:rsidP="00000000" w:rsidRDefault="00000000" w:rsidRPr="00000000" w14:paraId="00000073">
      <w:pPr>
        <w:ind w:firstLine="227"/>
        <w:rPr/>
      </w:pPr>
      <w:r w:rsidDel="00000000" w:rsidR="00000000" w:rsidRPr="00000000">
        <w:rPr>
          <w:rtl w:val="0"/>
        </w:rPr>
        <w:t xml:space="preserve">Equifax Data Breach (2017):</w:t>
      </w:r>
    </w:p>
    <w:p w:rsidR="00000000" w:rsidDel="00000000" w:rsidP="00000000" w:rsidRDefault="00000000" w:rsidRPr="00000000" w14:paraId="00000074">
      <w:pPr>
        <w:ind w:firstLine="227"/>
        <w:rPr/>
      </w:pPr>
      <w:r w:rsidDel="00000000" w:rsidR="00000000" w:rsidRPr="00000000">
        <w:rPr>
          <w:rtl w:val="0"/>
        </w:rPr>
        <w:t xml:space="preserve">Violación masiva de datos que expuso información personal de aproximadamente 147 millones de personas debido a una vulnerabilidad no parcheada.</w:t>
      </w:r>
    </w:p>
    <w:p w:rsidR="00000000" w:rsidDel="00000000" w:rsidP="00000000" w:rsidRDefault="00000000" w:rsidRPr="00000000" w14:paraId="00000075">
      <w:pPr>
        <w:ind w:left="22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32"/>
          <w:szCs w:val="32"/>
          <w:rtl w:val="0"/>
        </w:rPr>
        <w:t xml:space="preserve">Ejercicio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Subtitle"/>
        <w:spacing w:line="360" w:lineRule="auto"/>
        <w:ind w:left="0" w:firstLine="0"/>
        <w:rPr/>
      </w:pPr>
      <w:bookmarkStart w:colFirst="0" w:colLast="0" w:name="_heading=h.ndsnjulfmwvb" w:id="5"/>
      <w:bookmarkEnd w:id="5"/>
      <w:r w:rsidDel="00000000" w:rsidR="00000000" w:rsidRPr="00000000">
        <w:rPr>
          <w:rtl w:val="0"/>
        </w:rPr>
        <w:t xml:space="preserve">¿Qué es el Cloud Computing? ¿Qué tipos hay? ¿Qué ventajas ofrece?</w:t>
      </w:r>
    </w:p>
    <w:p w:rsidR="00000000" w:rsidDel="00000000" w:rsidP="00000000" w:rsidRDefault="00000000" w:rsidRPr="00000000" w14:paraId="0000007B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El Cloud Computing, o computación en la nube, es un modelo que permite el acceso remoto a servicios y recursos de computación a través de internet.</w:t>
      </w:r>
    </w:p>
    <w:p w:rsidR="00000000" w:rsidDel="00000000" w:rsidP="00000000" w:rsidRDefault="00000000" w:rsidRPr="00000000" w14:paraId="0000007D">
      <w:pPr>
        <w:spacing w:line="360" w:lineRule="auto"/>
        <w:ind w:left="0" w:firstLine="0"/>
        <w:rPr>
          <w:rFonts w:ascii="Open Sans" w:cs="Open Sans" w:eastAsia="Open Sans" w:hAnsi="Open Sans"/>
          <w:b w:val="1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sz w:val="22"/>
          <w:szCs w:val="22"/>
          <w:rtl w:val="0"/>
        </w:rPr>
        <w:t xml:space="preserve">Modelos de Servicio:</w:t>
      </w:r>
    </w:p>
    <w:p w:rsidR="00000000" w:rsidDel="00000000" w:rsidP="00000000" w:rsidRDefault="00000000" w:rsidRPr="00000000" w14:paraId="0000007E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Infraestructura como Servicio (IaaS)</w:t>
      </w:r>
    </w:p>
    <w:p w:rsidR="00000000" w:rsidDel="00000000" w:rsidP="00000000" w:rsidRDefault="00000000" w:rsidRPr="00000000" w14:paraId="0000007F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Proporciona recursos básicos de computación, como máquinas virtuales, almacenamiento y redes.</w:t>
      </w:r>
    </w:p>
    <w:p w:rsidR="00000000" w:rsidDel="00000000" w:rsidP="00000000" w:rsidRDefault="00000000" w:rsidRPr="00000000" w14:paraId="00000080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Plataforma como Servicio (PaaS):</w:t>
      </w:r>
    </w:p>
    <w:p w:rsidR="00000000" w:rsidDel="00000000" w:rsidP="00000000" w:rsidRDefault="00000000" w:rsidRPr="00000000" w14:paraId="00000081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Ofrece herramientas y plataformas para desarrollar, probar y desplegar aplicaciones sin gestionar la infraestructura subyacente.</w:t>
      </w:r>
    </w:p>
    <w:p w:rsidR="00000000" w:rsidDel="00000000" w:rsidP="00000000" w:rsidRDefault="00000000" w:rsidRPr="00000000" w14:paraId="00000082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Software como Servicio (SaaS):</w:t>
      </w:r>
    </w:p>
    <w:p w:rsidR="00000000" w:rsidDel="00000000" w:rsidP="00000000" w:rsidRDefault="00000000" w:rsidRPr="00000000" w14:paraId="00000083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Proporciona aplicaciones completas y gestionadas que los usuarios pueden usar a través de internet.</w:t>
      </w:r>
    </w:p>
    <w:p w:rsidR="00000000" w:rsidDel="00000000" w:rsidP="00000000" w:rsidRDefault="00000000" w:rsidRPr="00000000" w14:paraId="00000084">
      <w:pPr>
        <w:spacing w:line="360" w:lineRule="auto"/>
        <w:ind w:left="0" w:firstLine="0"/>
        <w:rPr>
          <w:rFonts w:ascii="Open Sans" w:cs="Open Sans" w:eastAsia="Open Sans" w:hAnsi="Open Sans"/>
          <w:b w:val="1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sz w:val="22"/>
          <w:szCs w:val="22"/>
          <w:rtl w:val="0"/>
        </w:rPr>
        <w:t xml:space="preserve">Modelos de Implementación:</w:t>
      </w:r>
    </w:p>
    <w:p w:rsidR="00000000" w:rsidDel="00000000" w:rsidP="00000000" w:rsidRDefault="00000000" w:rsidRPr="00000000" w14:paraId="00000085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Nube Pública:</w:t>
      </w:r>
    </w:p>
    <w:p w:rsidR="00000000" w:rsidDel="00000000" w:rsidP="00000000" w:rsidRDefault="00000000" w:rsidRPr="00000000" w14:paraId="00000086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Servicios ofrecidos a través de internet por proveedores externos y compartidos entre múltiples organizaciones.</w:t>
      </w:r>
    </w:p>
    <w:p w:rsidR="00000000" w:rsidDel="00000000" w:rsidP="00000000" w:rsidRDefault="00000000" w:rsidRPr="00000000" w14:paraId="00000087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Nube Privada:</w:t>
      </w:r>
    </w:p>
    <w:p w:rsidR="00000000" w:rsidDel="00000000" w:rsidP="00000000" w:rsidRDefault="00000000" w:rsidRPr="00000000" w14:paraId="00000088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Infraestructura dedicada exclusivamente a una organización, ya sea gestionada internamente o por un tercero.</w:t>
      </w:r>
    </w:p>
    <w:p w:rsidR="00000000" w:rsidDel="00000000" w:rsidP="00000000" w:rsidRDefault="00000000" w:rsidRPr="00000000" w14:paraId="00000089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Ejemplo: una empresa que tiene su propio centro de datos privado.</w:t>
      </w:r>
    </w:p>
    <w:p w:rsidR="00000000" w:rsidDel="00000000" w:rsidP="00000000" w:rsidRDefault="00000000" w:rsidRPr="00000000" w14:paraId="0000008A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Nube Híbrida:</w:t>
      </w:r>
    </w:p>
    <w:p w:rsidR="00000000" w:rsidDel="00000000" w:rsidP="00000000" w:rsidRDefault="00000000" w:rsidRPr="00000000" w14:paraId="0000008B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Combinación de nubes públicas y privadas, permitiendo la transferencia de datos y aplicaciones entre ellas.</w:t>
      </w:r>
    </w:p>
    <w:p w:rsidR="00000000" w:rsidDel="00000000" w:rsidP="00000000" w:rsidRDefault="00000000" w:rsidRPr="00000000" w14:paraId="0000008C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Ejemplo: una empresa que usa una nube privada para datos sensibles y una nube pública para operaciones menos críticas.</w:t>
      </w:r>
    </w:p>
    <w:p w:rsidR="00000000" w:rsidDel="00000000" w:rsidP="00000000" w:rsidRDefault="00000000" w:rsidRPr="00000000" w14:paraId="0000008D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Nube Comunitaria:</w:t>
      </w:r>
    </w:p>
    <w:p w:rsidR="00000000" w:rsidDel="00000000" w:rsidP="00000000" w:rsidRDefault="00000000" w:rsidRPr="00000000" w14:paraId="0000008E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Infraestructura compartida entre varias organizaciones con intereses comunes, como misiones de seguridad o requisitos de cumplimiento.</w:t>
      </w:r>
    </w:p>
    <w:p w:rsidR="00000000" w:rsidDel="00000000" w:rsidP="00000000" w:rsidRDefault="00000000" w:rsidRPr="00000000" w14:paraId="0000008F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hyperlink r:id="rId18">
        <w:r w:rsidDel="00000000" w:rsidR="00000000" w:rsidRPr="00000000">
          <w:rPr>
            <w:rFonts w:ascii="Open Sans" w:cs="Open Sans" w:eastAsia="Open Sans" w:hAnsi="Open Sans"/>
            <w:color w:val="1155cc"/>
            <w:sz w:val="22"/>
            <w:szCs w:val="22"/>
            <w:u w:val="single"/>
            <w:rtl w:val="0"/>
          </w:rPr>
          <w:t xml:space="preserve">https://azure.microsoft.com/en-us/resources/cloud-computing-dictionary/what-is-cloud-computing/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hyperlink r:id="rId19">
        <w:r w:rsidDel="00000000" w:rsidR="00000000" w:rsidRPr="00000000">
          <w:rPr>
            <w:rFonts w:ascii="Open Sans" w:cs="Open Sans" w:eastAsia="Open Sans" w:hAnsi="Open Sans"/>
            <w:color w:val="1155cc"/>
            <w:sz w:val="22"/>
            <w:szCs w:val="22"/>
            <w:u w:val="single"/>
            <w:rtl w:val="0"/>
          </w:rPr>
          <w:t xml:space="preserve">https://nvlpubs.nist.gov/nistpubs/Legacy/SP/nistspecialpublication800-145.pdf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ind w:left="0" w:firstLine="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ind w:left="0" w:firstLine="0"/>
        <w:rPr>
          <w:rFonts w:ascii="Montserrat" w:cs="Montserrat" w:eastAsia="Montserrat" w:hAnsi="Montserrat"/>
          <w:b w:val="1"/>
          <w:color w:val="000000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36"/>
          <w:szCs w:val="36"/>
          <w:rtl w:val="0"/>
        </w:rPr>
        <w:t xml:space="preserve">Apartado B: Trabajo de investigación</w:t>
      </w:r>
    </w:p>
    <w:p w:rsidR="00000000" w:rsidDel="00000000" w:rsidP="00000000" w:rsidRDefault="00000000" w:rsidRPr="00000000" w14:paraId="00000095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El trabajo de investigación es grupal y deberá estudiar en profundidad uno de los temas (sorteados en clase).</w:t>
      </w:r>
    </w:p>
    <w:p w:rsidR="00000000" w:rsidDel="00000000" w:rsidP="00000000" w:rsidRDefault="00000000" w:rsidRPr="00000000" w14:paraId="00000096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Deberá realizar un trabajo de presentación y una exposición de 10-15 minutos aproximadamente.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 puntos se destinará a la evaluación del documento de la presentación (grupal).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puntos individuales según la exposición de cada una.</w:t>
      </w:r>
    </w:p>
    <w:p w:rsidR="00000000" w:rsidDel="00000000" w:rsidP="00000000" w:rsidRDefault="00000000" w:rsidRPr="00000000" w14:paraId="00000099">
      <w:pPr>
        <w:spacing w:line="360" w:lineRule="auto"/>
        <w:ind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Para cada uno de los protocolos a estudiar, se ofrece una orientación de los puntos clave a estudiar. Puedes añadir si lo crees conveniente o adaptarlos. </w:t>
      </w:r>
    </w:p>
    <w:p w:rsidR="00000000" w:rsidDel="00000000" w:rsidP="00000000" w:rsidRDefault="00000000" w:rsidRPr="00000000" w14:paraId="0000009A">
      <w:pPr>
        <w:spacing w:line="360" w:lineRule="auto"/>
        <w:ind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ind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ind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rtl w:val="0"/>
        </w:rPr>
        <w:t xml:space="preserve">Añade: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Portada.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Presentación del grupo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Índice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Conclusión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Bibliografía.</w:t>
      </w:r>
    </w:p>
    <w:p w:rsidR="00000000" w:rsidDel="00000000" w:rsidP="00000000" w:rsidRDefault="00000000" w:rsidRPr="00000000" w14:paraId="000000A2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ind w:left="0" w:firstLine="0"/>
        <w:rPr>
          <w:rFonts w:ascii="Open Sans" w:cs="Open Sans" w:eastAsia="Open Sans" w:hAnsi="Open Sans"/>
          <w:b w:val="1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Índice del estudio del protocolo DNS (Domain Name System)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¿Qué es el DNS?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Funcionamiento del DNS.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Resolución de nombres de dominio.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Servidores DNS raíz y servidores autoritativos.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69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Índice del estudio del protocolo DHCP (Dynamic Host Configuration Protocol)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Introducción al DHCP.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Asignación dinámica de direcciones IP.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Funcionamiento del servidor DHCP.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Ventajas y desventajas del DHCP.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69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Índice del estudio del protocolo SMTP (Simple Mail Transfer Protocol)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¿Qué es el SMTP?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Proceso de envío de correos electrónicos.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Servidores SMTP y clientes de correo.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Seguridad y autenticación en el SMTP.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69" w:firstLine="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Índice del estudio del protocolo FTP (File Transfer Protocol)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Concepto de FTP.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Transferencia de archivos mediante FTP.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Modos de transferencia (activo y pasivo).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Servidores FTP y clientes FTP.</w:t>
      </w:r>
    </w:p>
    <w:p w:rsidR="00000000" w:rsidDel="00000000" w:rsidP="00000000" w:rsidRDefault="00000000" w:rsidRPr="00000000" w14:paraId="000000BA">
      <w:pPr>
        <w:spacing w:line="360" w:lineRule="auto"/>
        <w:ind w:left="0" w:firstLine="0"/>
        <w:rPr>
          <w:rFonts w:ascii="Open Sans" w:cs="Open Sans" w:eastAsia="Open Sans" w:hAnsi="Open Sans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ind w:left="0" w:firstLine="0"/>
        <w:rPr>
          <w:rFonts w:ascii="Open Sans" w:cs="Open Sans" w:eastAsia="Open Sans" w:hAnsi="Open Sans"/>
          <w:color w:val="0000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Índice del estudio del protocolo HTTP (Hypertext Transfer Protocol)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Introducción al HTTP.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Funcionamiento de las solicitudes y respuestas HTTP.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Métodos HTTP (GET, POST, PUT, DELETE, etc.).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 y seguridad en las comunicaciones web.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69" w:firstLine="0"/>
        <w:jc w:val="both"/>
        <w:rPr>
          <w:rFonts w:ascii="Roboto" w:cs="Roboto" w:eastAsia="Roboto" w:hAnsi="Roboto"/>
          <w:b w:val="1"/>
          <w:color w:val="24232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42323"/>
          <w:sz w:val="24"/>
          <w:szCs w:val="24"/>
          <w:highlight w:val="white"/>
          <w:rtl w:val="0"/>
        </w:rPr>
        <w:t xml:space="preserve">Paso 1: Solicitud de Información</w:t>
      </w:r>
    </w:p>
    <w:p w:rsidR="00000000" w:rsidDel="00000000" w:rsidP="00000000" w:rsidRDefault="00000000" w:rsidRPr="00000000" w14:paraId="000000C4">
      <w:pPr>
        <w:pBdr>
          <w:top w:color="auto" w:space="6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360" w:line="360" w:lineRule="auto"/>
        <w:ind w:left="0" w:right="0" w:firstLine="0"/>
        <w:rPr>
          <w:rFonts w:ascii="Roboto" w:cs="Roboto" w:eastAsia="Roboto" w:hAnsi="Roboto"/>
          <w:b w:val="1"/>
          <w:color w:val="24232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42323"/>
          <w:sz w:val="24"/>
          <w:szCs w:val="24"/>
          <w:highlight w:val="white"/>
          <w:rtl w:val="0"/>
        </w:rPr>
        <w:t xml:space="preserve">Paso 2: Servidores de Nombres</w:t>
      </w:r>
    </w:p>
    <w:p w:rsidR="00000000" w:rsidDel="00000000" w:rsidP="00000000" w:rsidRDefault="00000000" w:rsidRPr="00000000" w14:paraId="000000C5">
      <w:pPr>
        <w:pBdr>
          <w:top w:color="auto" w:space="6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360" w:line="360" w:lineRule="auto"/>
        <w:ind w:left="0" w:right="0" w:firstLine="0"/>
        <w:rPr>
          <w:rFonts w:ascii="Roboto" w:cs="Roboto" w:eastAsia="Roboto" w:hAnsi="Roboto"/>
          <w:b w:val="1"/>
          <w:color w:val="24232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42323"/>
          <w:sz w:val="24"/>
          <w:szCs w:val="24"/>
          <w:highlight w:val="white"/>
          <w:rtl w:val="0"/>
        </w:rPr>
        <w:t xml:space="preserve">Paso 3: Servidores de Nombres de Dominios de Primer Nivel (TLD o Top Level Domain).</w:t>
      </w:r>
    </w:p>
    <w:p w:rsidR="00000000" w:rsidDel="00000000" w:rsidP="00000000" w:rsidRDefault="00000000" w:rsidRPr="00000000" w14:paraId="000000C6">
      <w:pPr>
        <w:pBdr>
          <w:top w:color="auto" w:space="6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360" w:line="360" w:lineRule="auto"/>
        <w:ind w:left="0" w:right="0" w:firstLine="0"/>
        <w:rPr>
          <w:rFonts w:ascii="Roboto" w:cs="Roboto" w:eastAsia="Roboto" w:hAnsi="Roboto"/>
          <w:b w:val="1"/>
          <w:color w:val="24232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42323"/>
          <w:sz w:val="24"/>
          <w:szCs w:val="24"/>
          <w:highlight w:val="white"/>
          <w:rtl w:val="0"/>
        </w:rPr>
        <w:t xml:space="preserve">Paso 4: Servidores de DNS Autorizados</w:t>
      </w:r>
    </w:p>
    <w:p w:rsidR="00000000" w:rsidDel="00000000" w:rsidP="00000000" w:rsidRDefault="00000000" w:rsidRPr="00000000" w14:paraId="000000C7">
      <w:pPr>
        <w:pBdr>
          <w:top w:color="auto" w:space="6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360" w:line="360" w:lineRule="auto"/>
        <w:ind w:left="0" w:right="0" w:firstLine="0"/>
        <w:rPr>
          <w:rFonts w:ascii="Roboto" w:cs="Roboto" w:eastAsia="Roboto" w:hAnsi="Roboto"/>
          <w:b w:val="1"/>
          <w:color w:val="24232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42323"/>
          <w:sz w:val="24"/>
          <w:szCs w:val="24"/>
          <w:highlight w:val="white"/>
          <w:rtl w:val="0"/>
        </w:rPr>
        <w:t xml:space="preserve">Paso 5: Recuperar el Registro</w:t>
      </w:r>
    </w:p>
    <w:p w:rsidR="00000000" w:rsidDel="00000000" w:rsidP="00000000" w:rsidRDefault="00000000" w:rsidRPr="00000000" w14:paraId="000000C8">
      <w:pPr>
        <w:pBdr>
          <w:top w:color="auto" w:space="6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360" w:line="360" w:lineRule="auto"/>
        <w:ind w:left="0" w:right="0" w:firstLine="0"/>
        <w:rPr>
          <w:rFonts w:ascii="Roboto" w:cs="Roboto" w:eastAsia="Roboto" w:hAnsi="Roboto"/>
          <w:b w:val="1"/>
          <w:color w:val="24232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42323"/>
          <w:sz w:val="24"/>
          <w:szCs w:val="24"/>
          <w:highlight w:val="white"/>
          <w:rtl w:val="0"/>
        </w:rPr>
        <w:t xml:space="preserve">Paso 6: Acceder al Sitio Web</w:t>
      </w:r>
    </w:p>
    <w:p w:rsidR="00000000" w:rsidDel="00000000" w:rsidP="00000000" w:rsidRDefault="00000000" w:rsidRPr="00000000" w14:paraId="000000C9">
      <w:pPr>
        <w:pBdr>
          <w:top w:color="auto" w:space="6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0" w:line="360" w:lineRule="auto"/>
        <w:ind w:left="0" w:right="0" w:firstLine="0"/>
        <w:rPr>
          <w:rFonts w:ascii="Roboto" w:cs="Roboto" w:eastAsia="Roboto" w:hAnsi="Roboto"/>
          <w:b w:val="1"/>
          <w:color w:val="2423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color="auto" w:space="6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360" w:line="360" w:lineRule="auto"/>
        <w:ind w:left="0" w:right="0" w:firstLine="0"/>
        <w:rPr>
          <w:rFonts w:ascii="Roboto" w:cs="Roboto" w:eastAsia="Roboto" w:hAnsi="Roboto"/>
          <w:b w:val="1"/>
          <w:color w:val="2423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color="auto" w:space="6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0" w:line="360" w:lineRule="auto"/>
        <w:ind w:left="0" w:right="0" w:firstLine="0"/>
        <w:rPr>
          <w:rFonts w:ascii="Roboto" w:cs="Roboto" w:eastAsia="Roboto" w:hAnsi="Roboto"/>
          <w:b w:val="1"/>
          <w:color w:val="2423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color="auto" w:space="6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360" w:line="360" w:lineRule="auto"/>
        <w:ind w:left="0" w:right="0" w:firstLine="0"/>
        <w:rPr>
          <w:rFonts w:ascii="Roboto" w:cs="Roboto" w:eastAsia="Roboto" w:hAnsi="Roboto"/>
          <w:b w:val="1"/>
          <w:color w:val="2423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color="auto" w:space="6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0" w:line="360" w:lineRule="auto"/>
        <w:ind w:left="0" w:right="0" w:firstLine="0"/>
        <w:rPr>
          <w:rFonts w:ascii="Roboto" w:cs="Roboto" w:eastAsia="Roboto" w:hAnsi="Roboto"/>
          <w:b w:val="1"/>
          <w:color w:val="2423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color="auto" w:space="6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360" w:line="360" w:lineRule="auto"/>
        <w:ind w:left="0" w:right="0" w:firstLine="0"/>
        <w:rPr>
          <w:rFonts w:ascii="Roboto" w:cs="Roboto" w:eastAsia="Roboto" w:hAnsi="Roboto"/>
          <w:b w:val="1"/>
          <w:color w:val="2423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color="auto" w:space="6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0" w:line="360" w:lineRule="auto"/>
        <w:ind w:left="0" w:right="0" w:firstLine="0"/>
        <w:rPr>
          <w:rFonts w:ascii="Roboto" w:cs="Roboto" w:eastAsia="Roboto" w:hAnsi="Roboto"/>
          <w:b w:val="1"/>
          <w:color w:val="2423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color="auto" w:space="6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360" w:line="360" w:lineRule="auto"/>
        <w:ind w:left="0" w:right="0" w:firstLine="0"/>
        <w:rPr>
          <w:rFonts w:ascii="Roboto" w:cs="Roboto" w:eastAsia="Roboto" w:hAnsi="Roboto"/>
          <w:b w:val="1"/>
          <w:color w:val="2423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360" w:lineRule="auto"/>
        <w:ind w:left="0" w:right="0" w:firstLine="0"/>
        <w:rPr>
          <w:rFonts w:ascii="Roboto" w:cs="Roboto" w:eastAsia="Roboto" w:hAnsi="Roboto"/>
          <w:b w:val="1"/>
          <w:color w:val="2423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69" w:firstLine="0"/>
        <w:jc w:val="both"/>
        <w:rPr>
          <w:rFonts w:ascii="Roboto" w:cs="Roboto" w:eastAsia="Roboto" w:hAnsi="Roboto"/>
          <w:b w:val="1"/>
          <w:color w:val="2423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6838" w:w="11906" w:orient="portrait"/>
      <w:pgMar w:bottom="1417" w:top="1417" w:left="1701" w:right="1701" w:header="708" w:footer="25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227" w:right="69" w:firstLine="170.99999999999997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5"/>
        <w:szCs w:val="25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5"/>
        <w:szCs w:val="25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227" w:right="69" w:firstLine="170.99999999999997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5"/>
        <w:szCs w:val="25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3">
    <w:pPr>
      <w:spacing w:after="0" w:line="240" w:lineRule="auto"/>
      <w:ind w:firstLine="0"/>
      <w:rPr>
        <w:color w:val="002c4e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1"/>
      <w:tblW w:w="8567.0" w:type="dxa"/>
      <w:jc w:val="left"/>
      <w:tblInd w:w="284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7829"/>
      <w:gridCol w:w="738"/>
      <w:tblGridChange w:id="0">
        <w:tblGrid>
          <w:gridCol w:w="7829"/>
          <w:gridCol w:w="738"/>
        </w:tblGrid>
      </w:tblGridChange>
    </w:tblGrid>
    <w:tr>
      <w:trPr>
        <w:cantSplit w:val="0"/>
        <w:trHeight w:val="465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2c4e" w:space="0" w:sz="4" w:val="single"/>
            <w:right w:color="ffffff" w:space="0" w:sz="4" w:val="single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bottom"/>
        </w:tcPr>
        <w:p w:rsidR="00000000" w:rsidDel="00000000" w:rsidP="00000000" w:rsidRDefault="00000000" w:rsidRPr="00000000" w14:paraId="000000D4">
          <w:pPr>
            <w:spacing w:after="40" w:line="240" w:lineRule="auto"/>
            <w:ind w:left="1839" w:firstLine="0"/>
            <w:jc w:val="left"/>
            <w:rPr>
              <w:rFonts w:ascii="Open Sans" w:cs="Open Sans" w:eastAsia="Open Sans" w:hAnsi="Open Sans"/>
              <w:b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Open Sans" w:cs="Open Sans" w:eastAsia="Open Sans" w:hAnsi="Open Sans"/>
              <w:b w:val="1"/>
              <w:color w:val="000000"/>
              <w:sz w:val="16"/>
              <w:szCs w:val="16"/>
              <w:rtl w:val="0"/>
            </w:rPr>
            <w:t xml:space="preserve">Desarrollo de Aplicaciones Web - Sistemas Informáticos</w:t>
            <w:br w:type="textWrapping"/>
          </w:r>
          <w:r w:rsidDel="00000000" w:rsidR="00000000" w:rsidRPr="00000000">
            <w:rPr>
              <w:rFonts w:ascii="Open Sans" w:cs="Open Sans" w:eastAsia="Open Sans" w:hAnsi="Open Sans"/>
              <w:color w:val="000000"/>
              <w:sz w:val="16"/>
              <w:szCs w:val="16"/>
              <w:rtl w:val="0"/>
            </w:rPr>
            <w:t xml:space="preserve">Entregable Unidad 15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-24129</wp:posOffset>
                </wp:positionH>
                <wp:positionV relativeFrom="paragraph">
                  <wp:posOffset>-3809</wp:posOffset>
                </wp:positionV>
                <wp:extent cx="984250" cy="259080"/>
                <wp:effectExtent b="0" l="0" r="0" t="0"/>
                <wp:wrapNone/>
                <wp:docPr descr="Instituto Velázquez de Sevilla | Opiniones y Precios 2024 - Micole" id="1949084928" name="image1.png"/>
                <a:graphic>
                  <a:graphicData uri="http://schemas.openxmlformats.org/drawingml/2006/picture">
                    <pic:pic>
                      <pic:nvPicPr>
                        <pic:cNvPr descr="Instituto Velázquez de Sevilla | Opiniones y Precios 2024 - Micole"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4250" cy="259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Borders>
            <w:top w:color="000000" w:space="0" w:sz="0" w:val="nil"/>
            <w:left w:color="ffffff" w:space="0" w:sz="4" w:val="single"/>
            <w:bottom w:color="002c4e" w:space="0" w:sz="4" w:val="single"/>
            <w:right w:color="000000" w:space="0" w:sz="0" w:val="nil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bottom"/>
        </w:tcPr>
        <w:p w:rsidR="00000000" w:rsidDel="00000000" w:rsidP="00000000" w:rsidRDefault="00000000" w:rsidRPr="00000000" w14:paraId="000000D5">
          <w:pPr>
            <w:spacing w:after="40" w:line="240" w:lineRule="auto"/>
            <w:ind w:firstLine="0"/>
            <w:jc w:val="right"/>
            <w:rPr>
              <w:rFonts w:ascii="Open Sans" w:cs="Open Sans" w:eastAsia="Open Sans" w:hAnsi="Open Sans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Open Sans" w:cs="Open Sans" w:eastAsia="Open Sans" w:hAnsi="Open Sans"/>
              <w:color w:val="000000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D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227" w:right="69" w:firstLine="170.99999999999997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5"/>
        <w:szCs w:val="25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0"/>
      <w:numFmt w:val="bullet"/>
      <w:lvlText w:val="●"/>
      <w:lvlJc w:val="left"/>
      <w:pPr>
        <w:ind w:left="1790" w:hanging="71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72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lowerLetter"/>
      <w:lvlText w:val="%1)"/>
      <w:lvlJc w:val="left"/>
      <w:pPr>
        <w:ind w:left="684" w:hanging="359.99999999999994"/>
      </w:pPr>
      <w:rPr>
        <w:b w:val="0"/>
      </w:rPr>
    </w:lvl>
    <w:lvl w:ilvl="1">
      <w:start w:val="1"/>
      <w:numFmt w:val="lowerLetter"/>
      <w:lvlText w:val="%2."/>
      <w:lvlJc w:val="left"/>
      <w:pPr>
        <w:ind w:left="1404" w:hanging="360"/>
      </w:pPr>
      <w:rPr/>
    </w:lvl>
    <w:lvl w:ilvl="2">
      <w:start w:val="1"/>
      <w:numFmt w:val="lowerRoman"/>
      <w:lvlText w:val="%3."/>
      <w:lvlJc w:val="right"/>
      <w:pPr>
        <w:ind w:left="2124" w:hanging="180"/>
      </w:pPr>
      <w:rPr/>
    </w:lvl>
    <w:lvl w:ilvl="3">
      <w:start w:val="1"/>
      <w:numFmt w:val="decimal"/>
      <w:lvlText w:val="%4."/>
      <w:lvlJc w:val="left"/>
      <w:pPr>
        <w:ind w:left="2844" w:hanging="360"/>
      </w:pPr>
      <w:rPr/>
    </w:lvl>
    <w:lvl w:ilvl="4">
      <w:start w:val="1"/>
      <w:numFmt w:val="lowerLetter"/>
      <w:lvlText w:val="%5."/>
      <w:lvlJc w:val="left"/>
      <w:pPr>
        <w:ind w:left="3564" w:hanging="360"/>
      </w:pPr>
      <w:rPr/>
    </w:lvl>
    <w:lvl w:ilvl="5">
      <w:start w:val="1"/>
      <w:numFmt w:val="lowerRoman"/>
      <w:lvlText w:val="%6."/>
      <w:lvlJc w:val="right"/>
      <w:pPr>
        <w:ind w:left="4284" w:hanging="180"/>
      </w:pPr>
      <w:rPr/>
    </w:lvl>
    <w:lvl w:ilvl="6">
      <w:start w:val="1"/>
      <w:numFmt w:val="decimal"/>
      <w:lvlText w:val="%7."/>
      <w:lvlJc w:val="left"/>
      <w:pPr>
        <w:ind w:left="5004" w:hanging="360"/>
      </w:pPr>
      <w:rPr/>
    </w:lvl>
    <w:lvl w:ilvl="7">
      <w:start w:val="1"/>
      <w:numFmt w:val="lowerLetter"/>
      <w:lvlText w:val="%8."/>
      <w:lvlJc w:val="left"/>
      <w:pPr>
        <w:ind w:left="5724" w:hanging="360"/>
      </w:pPr>
      <w:rPr/>
    </w:lvl>
    <w:lvl w:ilvl="8">
      <w:start w:val="1"/>
      <w:numFmt w:val="lowerRoman"/>
      <w:lvlText w:val="%9."/>
      <w:lvlJc w:val="right"/>
      <w:pPr>
        <w:ind w:left="6444" w:hanging="180"/>
      </w:pPr>
      <w:rPr/>
    </w:lvl>
  </w:abstractNum>
  <w:abstractNum w:abstractNumId="10">
    <w:lvl w:ilvl="0">
      <w:start w:val="1"/>
      <w:numFmt w:val="bullet"/>
      <w:lvlText w:val="−"/>
      <w:lvlJc w:val="left"/>
      <w:pPr>
        <w:ind w:left="324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−"/>
      <w:lvlJc w:val="left"/>
      <w:pPr>
        <w:ind w:left="1044" w:hanging="360"/>
      </w:pPr>
      <w:rPr>
        <w:rFonts w:ascii="Noto Sans Symbols" w:cs="Noto Sans Symbols" w:eastAsia="Noto Sans Symbols" w:hAnsi="Noto Sans Symbols"/>
      </w:rPr>
    </w:lvl>
    <w:lvl w:ilvl="2">
      <w:start w:val="0"/>
      <w:numFmt w:val="bullet"/>
      <w:lvlText w:val="-"/>
      <w:lvlJc w:val="left"/>
      <w:pPr>
        <w:ind w:left="2114" w:hanging="710"/>
      </w:pPr>
      <w:rPr>
        <w:rFonts w:ascii="Open Sans" w:cs="Open Sans" w:eastAsia="Open Sans" w:hAnsi="Open Sans"/>
      </w:rPr>
    </w:lvl>
    <w:lvl w:ilvl="3">
      <w:start w:val="1"/>
      <w:numFmt w:val="bullet"/>
      <w:lvlText w:val="●"/>
      <w:lvlJc w:val="left"/>
      <w:pPr>
        <w:ind w:left="248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0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2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4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36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084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5"/>
        <w:szCs w:val="25"/>
        <w:lang w:val="es-ES"/>
      </w:rPr>
    </w:rPrDefault>
    <w:pPrDefault>
      <w:pPr>
        <w:spacing w:after="120" w:line="287" w:lineRule="auto"/>
        <w:ind w:left="227" w:right="69" w:firstLine="170.9999999999999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C0085"/>
    <w:pPr>
      <w:spacing w:after="120" w:line="287" w:lineRule="auto"/>
      <w:ind w:left="227" w:right="69" w:firstLine="171"/>
      <w:jc w:val="both"/>
    </w:pPr>
    <w:rPr>
      <w:rFonts w:ascii="Arial" w:cs="Arial" w:eastAsia="Arial" w:hAnsi="Arial"/>
      <w:color w:val="000000"/>
      <w:sz w:val="25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527F22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527F22"/>
    <w:rPr>
      <w:rFonts w:ascii="Arial" w:cs="Arial" w:eastAsia="Arial" w:hAnsi="Arial"/>
      <w:color w:val="000000"/>
      <w:sz w:val="25"/>
      <w:lang w:val="en-US"/>
    </w:rPr>
  </w:style>
  <w:style w:type="paragraph" w:styleId="Piedepgina">
    <w:name w:val="footer"/>
    <w:basedOn w:val="Normal"/>
    <w:link w:val="PiedepginaCar"/>
    <w:uiPriority w:val="99"/>
    <w:unhideWhenUsed w:val="1"/>
    <w:rsid w:val="00527F22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527F22"/>
    <w:rPr>
      <w:rFonts w:ascii="Arial" w:cs="Arial" w:eastAsia="Arial" w:hAnsi="Arial"/>
      <w:color w:val="000000"/>
      <w:sz w:val="25"/>
      <w:lang w:val="en-US"/>
    </w:rPr>
  </w:style>
  <w:style w:type="paragraph" w:styleId="Prrafodelista">
    <w:name w:val="List Paragraph"/>
    <w:basedOn w:val="Normal"/>
    <w:uiPriority w:val="34"/>
    <w:qFormat w:val="1"/>
    <w:rsid w:val="00234E63"/>
    <w:pPr>
      <w:ind w:left="720"/>
      <w:contextualSpacing w:val="1"/>
    </w:pPr>
  </w:style>
  <w:style w:type="character" w:styleId="Hipervnculo">
    <w:name w:val="Hyperlink"/>
    <w:basedOn w:val="Fuentedeprrafopredeter"/>
    <w:uiPriority w:val="99"/>
    <w:unhideWhenUsed w:val="1"/>
    <w:rsid w:val="00DD4570"/>
    <w:rPr>
      <w:color w:val="f49100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DD4570"/>
    <w:rPr>
      <w:color w:val="605e5c"/>
      <w:shd w:color="auto" w:fill="e1dfdd" w:val="clear"/>
    </w:rPr>
  </w:style>
  <w:style w:type="table" w:styleId="Tablaconcuadrcula">
    <w:name w:val="Table Grid"/>
    <w:basedOn w:val="Tablanormal"/>
    <w:uiPriority w:val="39"/>
    <w:rsid w:val="009062C3"/>
    <w:pPr>
      <w:spacing w:after="0" w:line="240" w:lineRule="auto"/>
    </w:pPr>
    <w:rPr>
      <w:kern w:val="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21" Type="http://schemas.openxmlformats.org/officeDocument/2006/relationships/footer" Target="footer1.xml"/><Relationship Id="rId13" Type="http://schemas.openxmlformats.org/officeDocument/2006/relationships/hyperlink" Target="https://learn.microsoft.com/en-us/windows/security/operating-system-security/data-protection/bitlocker/" TargetMode="External"/><Relationship Id="rId12" Type="http://schemas.openxmlformats.org/officeDocument/2006/relationships/hyperlink" Target="https://www.nist.gov/cyberframewor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nvlpubs.nist.gov/nistpubs/Legacy/SP/nistspecialpublication800-111.pdf" TargetMode="External"/><Relationship Id="rId14" Type="http://schemas.openxmlformats.org/officeDocument/2006/relationships/hyperlink" Target="https://learn.microsoft.com/en-us/windows/security/operating-system-security/data-protection/bitlocker/" TargetMode="External"/><Relationship Id="rId17" Type="http://schemas.openxmlformats.org/officeDocument/2006/relationships/hyperlink" Target="https://www.cisco.com/c/en/us/products/security/firewalls/what-is-a-firewall.html" TargetMode="External"/><Relationship Id="rId16" Type="http://schemas.openxmlformats.org/officeDocument/2006/relationships/hyperlink" Target="https://www.ibm.com/docs/en/i/7.1?topic=options-firewalls" TargetMode="External"/><Relationship Id="rId5" Type="http://schemas.openxmlformats.org/officeDocument/2006/relationships/styles" Target="styles.xml"/><Relationship Id="rId19" Type="http://schemas.openxmlformats.org/officeDocument/2006/relationships/hyperlink" Target="https://nvlpubs.nist.gov/nistpubs/Legacy/SP/nistspecialpublication800-145.pdf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azure.microsoft.com/en-us/resources/cloud-computing-dictionary/what-is-cloud-computing/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NotoSansSymbols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toSansSymbols-regular.ttf"/><Relationship Id="rId14" Type="http://schemas.openxmlformats.org/officeDocument/2006/relationships/font" Target="fonts/OpenSans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shsDloLqPSYymPcPCcKGR6whgg==">CgMxLjAyDWgucmpqdXpzbDEyNWEyDmgubzlnOWkxZHFhc2d3Mg5oLjI1Zmd4a3R4bW1vNTIOaC5oenRmZzBnaGxjM2QyDmgueXNwbjcxY3RtNDVrMg5oLm5kc25qdWxmbXd2YjgAciExdmlNeDRyWkNhTE43eWFLREFORUZRMFlfOFIwV3NDXzQ=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2023-09-04T06:46:00Z</dcterms:created>
  <dc:creator>Juan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c0adf2b4-6820-410f-a379-2a2b5cace2d2</vt:lpwstr>
  </property>
</Properties>
</file>