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Species Richness Summary Statistics by Treatment, Period and Kraaling Intensity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74"/>
        <w:gridCol w:w="1853"/>
        <w:gridCol w:w="1352"/>
        <w:gridCol w:w="655"/>
        <w:gridCol w:w="973"/>
        <w:gridCol w:w="839"/>
        <w:gridCol w:w="839"/>
        <w:gridCol w:w="1632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Fencing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 ± SE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Pre-treatment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7.25 ± 0.59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7.75 ± 0.41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 ± 0.76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10.42 ± 0.61</w:t>
            </w:r>
          </w:p>
        </w:tc>
      </w:tr>
      <w:tr>
        <w:trPr>
          <w:trHeight w:val="57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7.83 ± 0.51</w:t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7.17 ± 0.39</w:t>
            </w:r>
          </w:p>
        </w:tc>
      </w:tr>
      <w:tr>
        <w:trPr>
          <w:trHeight w:val="57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10.42 ± 0.4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9.67 ± 0.48</w:t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± 0.65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7.42 ± 0.4</w:t>
            </w:r>
          </w:p>
        </w:tc>
      </w:tr>
      <w:tr>
        <w:trPr>
          <w:trHeight w:val="57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8.67 ± 0.66</w:t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8.58 ± 0.6</w:t>
            </w:r>
          </w:p>
        </w:tc>
      </w:tr>
      <w:tr>
        <w:trPr>
          <w:trHeight w:val="57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 ± 0.57</w:t>
            </w:r>
          </w:p>
        </w:tc>
      </w:tr>
      <w:tr>
        <w:trPr>
          <w:trHeight w:val="57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8.58 ± 0.54</w:t>
            </w:r>
          </w:p>
        </w:tc>
      </w:tr>
      <w:tr>
        <w:trPr>
          <w:trHeight w:val="57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 ± 0.6</w:t>
            </w:r>
          </w:p>
        </w:tc>
      </w:tr>
      <w:tr>
        <w:trPr>
          <w:trHeight w:val="574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Post-treatment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8.92 ± 0.67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2025-10-28T20:56:49Z</dcterms:modified>
  <cp:category/>
</cp:coreProperties>
</file>