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. Relative change in Shannon-Weiner index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1352"/>
        <w:gridCol w:w="1267"/>
        <w:gridCol w:w="839"/>
        <w:gridCol w:w="961"/>
        <w:gridCol w:w="1279"/>
        <w:gridCol w:w="1316"/>
        <w:gridCol w:w="1548"/>
        <w:gridCol w:w="1695"/>
        <w:gridCol w:w="1732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upper.CL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pct_change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CI_lower_pct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CI_upper_pct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12.38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13.83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14.36</w:t>
            </w:r>
          </w:p>
        </w:tc>
      </w:tr>
      <w:tr>
        <w:trPr>
          <w:trHeight w:val="57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9.64</w:t>
            </w:r>
          </w:p>
        </w:tc>
      </w:tr>
      <w:tr>
        <w:trPr>
          <w:trHeight w:val="57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11.54</w:t>
            </w:r>
          </w:p>
        </w:tc>
      </w:tr>
      <w:tr>
        <w:trPr>
          <w:trHeight w:val="574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16.72</w:t>
            </w:r>
          </w:p>
        </w:tc>
      </w:tr>
      <w:tr>
        <w:trPr>
          <w:trHeight w:val="57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TFB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11.59</w:t>
            </w:r>
          </w:p>
        </w:tc>
      </w:tr>
      <w:tr>
        <w:trPr>
          <w:trHeight w:val="574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Unfenced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2026-05-26T20:38:00Z</dcterms:modified>
  <cp:category/>
</cp:coreProperties>
</file>