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Relative change in mean tree density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352"/>
        <w:gridCol w:w="1267"/>
        <w:gridCol w:w="839"/>
        <w:gridCol w:w="839"/>
        <w:gridCol w:w="1279"/>
        <w:gridCol w:w="1316"/>
        <w:gridCol w:w="1548"/>
        <w:gridCol w:w="1695"/>
        <w:gridCol w:w="173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CI_lower_pct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CI_upper_pct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-33.28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7.23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-41.21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-41.52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-46.32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-31.96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20.76</w:t>
            </w:r>
          </w:p>
        </w:tc>
      </w:tr>
      <w:tr>
        <w:trPr>
          <w:trHeight w:val="57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-24.84</w:t>
            </w:r>
          </w:p>
        </w:tc>
      </w:tr>
      <w:tr>
        <w:trPr>
          <w:trHeight w:val="57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-30.70</w:t>
            </w:r>
          </w:p>
        </w:tc>
      </w:tr>
      <w:tr>
        <w:trPr>
          <w:trHeight w:val="57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-48.55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-59.42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-34.78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2026-05-25T17:43:17Z</dcterms:modified>
  <cp:category/>
</cp:coreProperties>
</file>