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1. Absolute change in mean aboveground grass biomass (bias-corrected)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13"/>
        <w:gridCol w:w="1352"/>
        <w:gridCol w:w="1866"/>
        <w:gridCol w:w="1866"/>
        <w:gridCol w:w="1340"/>
        <w:gridCol w:w="655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Fencing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Biomass_2024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Biomass_2026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delta_GR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60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Unfenced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1,564.83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1,888.97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324.15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0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Fenced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1,476.48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2,566.08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1,089.60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Unfenced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2,604.82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Fenced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1,766.83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3,422.67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1,655.84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Unfenced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1,849.01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3,792.65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1,943.64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Fenced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1,761.49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6,827.91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0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TFB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Unfenced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1,840.47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4,025.39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2,184.92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0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TFB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Fenced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1,719.45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6,167.44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4,447.98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Unfenced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1,651.23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3,736.11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2,084.88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00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THF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Fenced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1,812.60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7,380.06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5,567.47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2026-08-19T20:36:01Z</dcterms:modified>
  <cp:category/>
</cp:coreProperties>
</file>