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1ED62" w14:textId="77777777" w:rsidR="009D34D5" w:rsidRDefault="00000000">
      <w:r>
        <w:t>Table 1. Relative change in aboveground grass biomass relative to control (bias-corrected)</w:t>
      </w:r>
    </w:p>
    <w:tbl>
      <w:tblPr>
        <w:tblW w:w="10021" w:type="dxa"/>
        <w:jc w:val="center"/>
        <w:tblLayout w:type="fixed"/>
        <w:tblLook w:val="0420" w:firstRow="1" w:lastRow="0" w:firstColumn="0" w:lastColumn="0" w:noHBand="0" w:noVBand="1"/>
      </w:tblPr>
      <w:tblGrid>
        <w:gridCol w:w="1310"/>
        <w:gridCol w:w="1254"/>
        <w:gridCol w:w="1175"/>
        <w:gridCol w:w="778"/>
        <w:gridCol w:w="891"/>
        <w:gridCol w:w="1435"/>
        <w:gridCol w:w="1572"/>
        <w:gridCol w:w="1606"/>
      </w:tblGrid>
      <w:tr w:rsidR="00E51EF7" w14:paraId="38A3D75F" w14:textId="77777777" w:rsidTr="00E51EF7">
        <w:trPr>
          <w:trHeight w:val="451"/>
          <w:tblHeader/>
          <w:jc w:val="center"/>
        </w:trPr>
        <w:tc>
          <w:tcPr>
            <w:tcW w:w="13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C837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Treatment</w:t>
            </w:r>
          </w:p>
        </w:tc>
        <w:tc>
          <w:tcPr>
            <w:tcW w:w="125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D702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Fencing</w:t>
            </w:r>
          </w:p>
        </w:tc>
        <w:tc>
          <w:tcPr>
            <w:tcW w:w="117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3AFD4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emmean</w:t>
            </w:r>
            <w:proofErr w:type="spellEnd"/>
          </w:p>
        </w:tc>
        <w:tc>
          <w:tcPr>
            <w:tcW w:w="7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D2BF1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</w:t>
            </w:r>
          </w:p>
        </w:tc>
        <w:tc>
          <w:tcPr>
            <w:tcW w:w="8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B65F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</w:t>
            </w:r>
            <w:proofErr w:type="spellEnd"/>
          </w:p>
        </w:tc>
        <w:tc>
          <w:tcPr>
            <w:tcW w:w="14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1FC9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pct_change</w:t>
            </w:r>
            <w:proofErr w:type="spellEnd"/>
          </w:p>
        </w:tc>
        <w:tc>
          <w:tcPr>
            <w:tcW w:w="157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4EC7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CI_lower_pct</w:t>
            </w:r>
            <w:proofErr w:type="spellEnd"/>
          </w:p>
        </w:tc>
        <w:tc>
          <w:tcPr>
            <w:tcW w:w="16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1BFB2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CI_upper_pct</w:t>
            </w:r>
            <w:proofErr w:type="spellEnd"/>
          </w:p>
        </w:tc>
      </w:tr>
      <w:tr w:rsidR="00E51EF7" w14:paraId="72F788BF" w14:textId="77777777" w:rsidTr="00E51EF7">
        <w:trPr>
          <w:trHeight w:val="461"/>
          <w:jc w:val="center"/>
        </w:trPr>
        <w:tc>
          <w:tcPr>
            <w:tcW w:w="131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A2AD6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25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A069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17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CC20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7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D4C2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06A4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DF2F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8.04</w:t>
            </w:r>
          </w:p>
        </w:tc>
        <w:tc>
          <w:tcPr>
            <w:tcW w:w="15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DA24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-25.38</w:t>
            </w:r>
          </w:p>
        </w:tc>
        <w:tc>
          <w:tcPr>
            <w:tcW w:w="160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84EE6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56.43</w:t>
            </w:r>
          </w:p>
        </w:tc>
      </w:tr>
      <w:tr w:rsidR="00E51EF7" w14:paraId="77F794D4" w14:textId="77777777" w:rsidTr="00E51EF7">
        <w:trPr>
          <w:trHeight w:val="45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5F44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85EF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02582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BEF21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1850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0EFC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125.81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C927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55.97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CD1C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226.95</w:t>
            </w:r>
          </w:p>
        </w:tc>
      </w:tr>
      <w:tr w:rsidR="00E51EF7" w14:paraId="1DA0C12F" w14:textId="77777777" w:rsidTr="00E51EF7">
        <w:trPr>
          <w:trHeight w:val="45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5804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TFB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7EA6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868E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E417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12A8C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23877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86.78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CED9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29.00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3BB2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170.43</w:t>
            </w:r>
          </w:p>
        </w:tc>
      </w:tr>
      <w:tr w:rsidR="00E51EF7" w14:paraId="404D95AD" w14:textId="77777777" w:rsidTr="00E51EF7">
        <w:trPr>
          <w:trHeight w:val="45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FEA0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THF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148E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DC7A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2247C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EA61B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1CB3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121.19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E36BA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52.77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6628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220.25</w:t>
            </w:r>
          </w:p>
        </w:tc>
      </w:tr>
      <w:tr w:rsidR="00E51EF7" w14:paraId="578F9AB5" w14:textId="77777777" w:rsidTr="00E51EF7">
        <w:trPr>
          <w:trHeight w:val="46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3EB21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56A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96D07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8AB5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2F88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B31C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1D37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-30.13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B830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46.48</w:t>
            </w:r>
          </w:p>
        </w:tc>
      </w:tr>
      <w:tr w:rsidR="00E51EF7" w14:paraId="5AC71A90" w14:textId="77777777" w:rsidTr="00E51EF7">
        <w:trPr>
          <w:trHeight w:val="45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EFDCD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B787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942A6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EB6D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93C76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E8D31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62.59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B4FF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12.30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7954B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135.41</w:t>
            </w:r>
          </w:p>
        </w:tc>
      </w:tr>
      <w:tr w:rsidR="00E51EF7" w14:paraId="454D49AF" w14:textId="77777777" w:rsidTr="00E51EF7">
        <w:trPr>
          <w:trHeight w:val="45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2E89F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TFB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2DB3A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1142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E7B46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C104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03E1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81.69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BEB7B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25.49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57459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163.07</w:t>
            </w:r>
          </w:p>
        </w:tc>
      </w:tr>
      <w:tr w:rsidR="00E51EF7" w14:paraId="28D90426" w14:textId="77777777" w:rsidTr="00E51EF7">
        <w:trPr>
          <w:trHeight w:val="461"/>
          <w:jc w:val="center"/>
        </w:trPr>
        <w:tc>
          <w:tcPr>
            <w:tcW w:w="131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08B4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THF</w:t>
            </w:r>
          </w:p>
        </w:tc>
        <w:tc>
          <w:tcPr>
            <w:tcW w:w="125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B72D7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Unfenced</w:t>
            </w:r>
          </w:p>
        </w:tc>
        <w:tc>
          <w:tcPr>
            <w:tcW w:w="117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1725A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</w:t>
            </w:r>
          </w:p>
        </w:tc>
        <w:tc>
          <w:tcPr>
            <w:tcW w:w="7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CD523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8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995E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10.19</w:t>
            </w:r>
          </w:p>
        </w:tc>
        <w:tc>
          <w:tcPr>
            <w:tcW w:w="14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61E8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73.58</w:t>
            </w:r>
          </w:p>
        </w:tc>
        <w:tc>
          <w:tcPr>
            <w:tcW w:w="15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2FF50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19.88</w:t>
            </w:r>
          </w:p>
        </w:tc>
        <w:tc>
          <w:tcPr>
            <w:tcW w:w="16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9679E" w14:textId="77777777" w:rsidR="00E51EF7" w:rsidRDefault="00E51E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151.31</w:t>
            </w:r>
          </w:p>
        </w:tc>
      </w:tr>
    </w:tbl>
    <w:p w14:paraId="2880E0ED" w14:textId="77777777" w:rsidR="00000000" w:rsidRDefault="00000000"/>
    <w:p w14:paraId="53DB8B8B" w14:textId="77777777" w:rsidR="00E51EF7" w:rsidRPr="00E51EF7" w:rsidRDefault="00E51EF7" w:rsidP="00E51EF7">
      <w:pPr>
        <w:rPr>
          <w:rFonts w:ascii="Arial" w:hAnsi="Arial" w:cs="Arial"/>
        </w:rPr>
      </w:pPr>
      <w:r w:rsidRPr="00E51EF7">
        <w:rPr>
          <w:rFonts w:ascii="Arial" w:hAnsi="Arial" w:cs="Arial"/>
        </w:rPr>
        <w:t>Grass biomass</w:t>
      </w:r>
    </w:p>
    <w:p w14:paraId="28853D12" w14:textId="77777777" w:rsidR="00E51EF7" w:rsidRPr="00E51EF7" w:rsidRDefault="00E51EF7" w:rsidP="00E51EF7">
      <w:pPr>
        <w:rPr>
          <w:rFonts w:ascii="Arial" w:hAnsi="Arial" w:cs="Arial"/>
        </w:rPr>
      </w:pPr>
    </w:p>
    <w:p w14:paraId="1A84B2C2" w14:textId="77777777" w:rsidR="00E51EF7" w:rsidRPr="00E51EF7" w:rsidRDefault="00E51EF7" w:rsidP="00E51EF7">
      <w:pPr>
        <w:rPr>
          <w:rFonts w:ascii="Arial" w:hAnsi="Arial" w:cs="Arial"/>
        </w:rPr>
      </w:pPr>
      <w:r w:rsidRPr="00E51EF7">
        <w:rPr>
          <w:rFonts w:ascii="Arial" w:hAnsi="Arial" w:cs="Arial"/>
        </w:rPr>
        <w:t>Pre-treatment biomass was comparable across treatments (unfenced: 1,651–2,024 kg ha</w:t>
      </w:r>
      <w:r w:rsidRPr="00E51EF7">
        <w:rPr>
          <w:rFonts w:ascii="Cambria Math" w:hAnsi="Cambria Math" w:cs="Cambria Math"/>
        </w:rPr>
        <w:t>⁻</w:t>
      </w:r>
      <w:r w:rsidRPr="00E51EF7">
        <w:rPr>
          <w:rFonts w:ascii="Arial" w:hAnsi="Arial" w:cs="Arial"/>
        </w:rPr>
        <w:t>¹; fenced: 1,476–1,813 kg ha</w:t>
      </w:r>
      <w:r w:rsidRPr="00E51EF7">
        <w:rPr>
          <w:rFonts w:ascii="Cambria Math" w:hAnsi="Cambria Math" w:cs="Cambria Math"/>
        </w:rPr>
        <w:t>⁻</w:t>
      </w:r>
      <w:r w:rsidRPr="00E51EF7">
        <w:rPr>
          <w:rFonts w:ascii="Arial" w:hAnsi="Arial" w:cs="Arial"/>
        </w:rPr>
        <w:t>¹). By 2026, all bush-clearing treatments showed substantial increases relative to their controls, while fire-only plots (F) did not (unfenced: +1.2%, 95% CI −30.1 to +46.5%; fenced: +8.0%, 95% CI −25.4 to +56.4%).</w:t>
      </w:r>
    </w:p>
    <w:p w14:paraId="6FCA806F" w14:textId="77777777" w:rsidR="00E51EF7" w:rsidRPr="00E51EF7" w:rsidRDefault="00E51EF7" w:rsidP="00E51EF7">
      <w:pPr>
        <w:rPr>
          <w:rFonts w:ascii="Arial" w:hAnsi="Arial" w:cs="Arial"/>
        </w:rPr>
      </w:pPr>
    </w:p>
    <w:p w14:paraId="2F7357F2" w14:textId="46AE18DC" w:rsidR="00E51EF7" w:rsidRPr="00E51EF7" w:rsidRDefault="00E51EF7" w:rsidP="00E51EF7">
      <w:pPr>
        <w:rPr>
          <w:rFonts w:ascii="Arial" w:hAnsi="Arial" w:cs="Arial"/>
        </w:rPr>
      </w:pPr>
      <w:r w:rsidRPr="00E51EF7">
        <w:rPr>
          <w:rFonts w:ascii="Arial" w:hAnsi="Arial" w:cs="Arial"/>
        </w:rPr>
        <w:t>Among the clearing treatments, biomass gains relative to control were consistently large and significant in both fencing conditions. In unfenced plots, TF increased by 63% (95% CI 12–135%), TFB by 82% (26–163%), and THF by 74% (20–151%). In fenced plots, responses were numerically larger: TF +126% (56–227%), THF +121% (53–220%), and TFB +87% (29–170%).</w:t>
      </w:r>
    </w:p>
    <w:sectPr w:rsidR="00E51EF7" w:rsidRPr="00E51EF7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15696447">
    <w:abstractNumId w:val="1"/>
  </w:num>
  <w:num w:numId="2" w16cid:durableId="754785907">
    <w:abstractNumId w:val="2"/>
  </w:num>
  <w:num w:numId="3" w16cid:durableId="69087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4D5"/>
    <w:rsid w:val="00637EB6"/>
    <w:rsid w:val="009D34D5"/>
    <w:rsid w:val="00E51EF7"/>
    <w:rsid w:val="00FC4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A59FD"/>
  <w15:docId w15:val="{73C6A5FB-F644-4E01-9C64-A3DB21ECB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Gumbo, Tapiwa</cp:lastModifiedBy>
  <cp:revision>10</cp:revision>
  <dcterms:created xsi:type="dcterms:W3CDTF">2017-02-28T11:18:00Z</dcterms:created>
  <dcterms:modified xsi:type="dcterms:W3CDTF">2026-08-19T22:21:00Z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319a497c-6689-4891-ac4c-bbca8b0d272f</vt:lpwstr>
  </property>
</Properties>
</file>