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8"/>
        <w:tblLayout w:type="fixed"/>
        <w:tblLook w:firstRow="1" w:lastRow="0" w:firstColumn="0" w:lastColumn="0" w:noHBand="0" w:noVBand="0" w:val="0020"/>
      </w:tblPr>
      <w:tblGrid>
        <w:gridCol w:w="5333"/>
        <w:gridCol w:w="646"/>
        <w:gridCol w:w="888"/>
        <w:gridCol w:w="88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Reduced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Area Density (Airborne Lidar)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Intensity of Lidar Returns (Airborne Lidar)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Percentage 1st Returns (Airborne Lidar)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5.22e-05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Lidar Return Intensity (Airborne Lidar)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5.06e-07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Percentage of Returns Above Mean Canopy Height (Airborne Lidar)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Kurtosis of Canopy Height (Airborne Lidar)</w:t>
            </w:r>
          </w:p>
        </w:tc>
        <w:tc>
          <w:tcPr/>
          <w:p>
            <w:pPr>
              <w:pStyle w:val="Compact"/>
            </w:pPr>
            <w:r>
              <w:t xml:space="preserve">1.69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1.52e-07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391.7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2026-01-05T18:46:14Z</dcterms:created>
  <dcterms:modified xsi:type="dcterms:W3CDTF">2026-01-05T18:46:14Z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