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028"/>
        <w:tblLayout w:type="fixed"/>
        <w:tblLook w:firstRow="1" w:lastRow="0" w:firstColumn="0" w:lastColumn="0" w:noHBand="0" w:noVBand="0" w:val="0020"/>
      </w:tblPr>
      <w:tblGrid>
        <w:gridCol w:w="2420"/>
        <w:gridCol w:w="1100"/>
        <w:gridCol w:w="143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Most Parsimonious GLM Summary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S.E.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zsd_3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zskew_3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zkurt_3</w:t>
            </w:r>
          </w:p>
        </w:tc>
        <w:tc>
          <w:tcPr/>
          <w:p>
            <w:pPr>
              <w:pStyle w:val="Compact"/>
            </w:pPr>
            <w:r>
              <w:t xml:space="preserve">1.92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1.08e-11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wmean_nitrogen_1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6.06e-04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isd_3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3.06e-07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wmean_phh2o_1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p1th_3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5.70e-04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wmean_bdod_1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2.07e-05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HydroRiver_raster_1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8.34e-05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355.8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2026-01-12T17:06:22Z</dcterms:created>
  <dcterms:modified xsi:type="dcterms:W3CDTF">2026-01-12T17:06:22Z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