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90142" w14:textId="77777777" w:rsidR="002415EE" w:rsidRDefault="00000000">
      <w:pPr>
        <w:spacing w:after="60"/>
      </w:pPr>
      <w:r>
        <w:rPr>
          <w:noProof/>
        </w:rPr>
        <w:drawing>
          <wp:inline distT="0" distB="0" distL="0" distR="0" wp14:anchorId="06999234" wp14:editId="4C8A8AD7">
            <wp:extent cx="1790700" cy="466725"/>
            <wp:effectExtent l="0" t="0" r="0" b="0"/>
            <wp:docPr id="1" name="TESTARE" descr="Logo TESTÀRE" title="TESTÀ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9DE" w14:textId="77777777" w:rsidR="002415EE" w:rsidRDefault="00000000">
      <w:pPr>
        <w:pBdr>
          <w:bottom w:val="single" w:sz="12" w:space="6" w:color="E1492E"/>
        </w:pBdr>
        <w:spacing w:after="220"/>
      </w:pPr>
      <w:r>
        <w:rPr>
          <w:color w:val="586173"/>
          <w:spacing w:val="60"/>
          <w:sz w:val="15"/>
          <w:szCs w:val="15"/>
        </w:rPr>
        <w:t>EVIDENCE-BASED PERFORMANCE</w:t>
      </w:r>
    </w:p>
    <w:p w14:paraId="42A8C475" w14:textId="77777777" w:rsidR="002415EE" w:rsidRDefault="00000000">
      <w:pPr>
        <w:spacing w:after="60"/>
      </w:pPr>
      <w:r>
        <w:rPr>
          <w:b/>
          <w:bCs/>
          <w:sz w:val="36"/>
          <w:szCs w:val="36"/>
        </w:rPr>
        <w:t>Architettura informatica, sicurezza dei dati e conformità GDPR</w:t>
      </w:r>
    </w:p>
    <w:p w14:paraId="5F858B40" w14:textId="77777777" w:rsidR="002415EE" w:rsidRDefault="00000000">
      <w:pPr>
        <w:spacing w:after="40"/>
      </w:pPr>
      <w:r>
        <w:rPr>
          <w:color w:val="586173"/>
          <w:sz w:val="22"/>
          <w:szCs w:val="22"/>
        </w:rPr>
        <w:t>TESTÀRE Performance CRM — piattaforma di gestione per società di calcio professionistiche</w:t>
      </w:r>
    </w:p>
    <w:p w14:paraId="213C12C8" w14:textId="77777777" w:rsidR="002415EE" w:rsidRDefault="00000000">
      <w:pPr>
        <w:spacing w:after="220"/>
      </w:pPr>
      <w:r>
        <w:rPr>
          <w:i/>
          <w:iCs/>
          <w:color w:val="586173"/>
          <w:sz w:val="18"/>
          <w:szCs w:val="18"/>
        </w:rPr>
        <w:t xml:space="preserve">Documento informativo · </w:t>
      </w:r>
      <w:proofErr w:type="gramStart"/>
      <w:r>
        <w:rPr>
          <w:i/>
          <w:iCs/>
          <w:color w:val="586173"/>
          <w:sz w:val="18"/>
          <w:szCs w:val="18"/>
        </w:rPr>
        <w:t>Giugno</w:t>
      </w:r>
      <w:proofErr w:type="gramEnd"/>
      <w:r>
        <w:rPr>
          <w:i/>
          <w:iCs/>
          <w:color w:val="586173"/>
          <w:sz w:val="18"/>
          <w:szCs w:val="18"/>
        </w:rPr>
        <w:t xml:space="preserve"> 2026</w:t>
      </w:r>
    </w:p>
    <w:p w14:paraId="18A95827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1.  </w:t>
      </w:r>
      <w:r>
        <w:t>Premessa</w:t>
      </w:r>
    </w:p>
    <w:p w14:paraId="33A78D4F" w14:textId="0E271A6F" w:rsidR="002415EE" w:rsidRDefault="00000000">
      <w:pPr>
        <w:spacing w:after="140" w:line="276" w:lineRule="auto"/>
      </w:pPr>
      <w:r>
        <w:t>TESTÀRE è il partner informatico delle società sportive. La piattaforma raccoglie e mette in relazione dati di performance, organizzativi e</w:t>
      </w:r>
      <w:r w:rsidR="00D67E31">
        <w:t xml:space="preserve">, </w:t>
      </w:r>
      <w:r>
        <w:t>in modo particolare</w:t>
      </w:r>
      <w:r w:rsidR="00D67E31">
        <w:t>, i</w:t>
      </w:r>
      <w:r>
        <w:t xml:space="preserve"> dati relativi alla salute degli atleti, che rientrano tra le «categorie particolari di dati personali» ai sensi dell’art. 9 del GDPR.</w:t>
      </w:r>
    </w:p>
    <w:p w14:paraId="3DE4F1EE" w14:textId="77777777" w:rsidR="002415EE" w:rsidRDefault="00000000">
      <w:pPr>
        <w:spacing w:after="140" w:line="276" w:lineRule="auto"/>
      </w:pPr>
      <w:r>
        <w:t>Per questo la sicurezza delle informazioni e la tutela della riservatezza non sono un’aggiunta finale, ma un principio di progettazione: privacy e security by design &amp; by default. Questo documento illustra l’architettura informatica della piattaforma a progetto completato e l’approccio adottato per la gestione dei dati sensibili e la piena aderenza al GDPR.</w:t>
      </w:r>
    </w:p>
    <w:p w14:paraId="13221653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2.  </w:t>
      </w:r>
      <w:r>
        <w:t>Architettura tecnica</w:t>
      </w:r>
    </w:p>
    <w:p w14:paraId="1DBF1FFB" w14:textId="77777777" w:rsidR="002415EE" w:rsidRDefault="00000000">
      <w:pPr>
        <w:spacing w:after="140" w:line="276" w:lineRule="auto"/>
      </w:pPr>
      <w:r>
        <w:t>La piattaforma poggia su tre servizi gestiti, leader di settore, con elaborazione e archiviazione all’interno dell’Unione Europea. Ogni componente ha un ruolo netto e separato: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026"/>
      </w:tblGrid>
      <w:tr w:rsidR="002415EE" w14:paraId="5AB408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AB201" w14:textId="77777777" w:rsidR="002415EE" w:rsidRDefault="00000000"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3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CBB7B1" w14:textId="77777777" w:rsidR="002415EE" w:rsidRDefault="00000000">
            <w:r>
              <w:rPr>
                <w:b/>
                <w:bCs/>
                <w:sz w:val="19"/>
                <w:szCs w:val="19"/>
              </w:rPr>
              <w:t>Funzione</w:t>
            </w:r>
          </w:p>
        </w:tc>
        <w:tc>
          <w:tcPr>
            <w:tcW w:w="40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2C749" w14:textId="77777777" w:rsidR="002415EE" w:rsidRDefault="00000000">
            <w:r>
              <w:rPr>
                <w:b/>
                <w:bCs/>
                <w:sz w:val="19"/>
                <w:szCs w:val="19"/>
              </w:rPr>
              <w:t>Garanzie principali</w:t>
            </w:r>
          </w:p>
        </w:tc>
      </w:tr>
      <w:tr w:rsidR="002415EE" w14:paraId="7F9C03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4931D" w14:textId="77777777" w:rsidR="002415EE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C9D93" w14:textId="77777777" w:rsidR="002415EE" w:rsidRDefault="00000000">
            <w:r>
              <w:rPr>
                <w:sz w:val="20"/>
                <w:szCs w:val="20"/>
              </w:rPr>
              <w:t>Erogazione e hosting dell’applicazione</w:t>
            </w:r>
          </w:p>
        </w:tc>
        <w:tc>
          <w:tcPr>
            <w:tcW w:w="40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5C24D" w14:textId="77777777" w:rsidR="002415EE" w:rsidRDefault="00000000">
            <w:r>
              <w:rPr>
                <w:sz w:val="20"/>
                <w:szCs w:val="20"/>
              </w:rPr>
              <w:t xml:space="preserve">HTTPS/TLS, CDN,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controllati, SOC 2, DPA, esecuzione in UE</w:t>
            </w:r>
          </w:p>
        </w:tc>
      </w:tr>
      <w:tr w:rsidR="002415EE" w14:paraId="7D48C5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0C5E8" w14:textId="77777777" w:rsidR="002415E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522AF" w14:textId="77777777" w:rsidR="002415EE" w:rsidRDefault="00000000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(dove risiedono i dati)</w:t>
            </w:r>
          </w:p>
        </w:tc>
        <w:tc>
          <w:tcPr>
            <w:tcW w:w="40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05F68" w14:textId="77777777" w:rsidR="002415EE" w:rsidRDefault="00000000">
            <w:r>
              <w:rPr>
                <w:sz w:val="20"/>
                <w:szCs w:val="20"/>
              </w:rPr>
              <w:t xml:space="preserve">Row Level Security, cifratura, backup, SOC 2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II, DPA, hosting in UE</w:t>
            </w:r>
          </w:p>
        </w:tc>
      </w:tr>
      <w:tr w:rsidR="002415EE" w14:paraId="2A6718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85D8B" w14:textId="77777777" w:rsidR="002415EE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3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B998C2" w14:textId="77777777" w:rsidR="002415EE" w:rsidRDefault="00000000">
            <w:r>
              <w:rPr>
                <w:sz w:val="20"/>
                <w:szCs w:val="20"/>
              </w:rPr>
              <w:t>Codice sorgente e rilascio del software</w:t>
            </w:r>
          </w:p>
        </w:tc>
        <w:tc>
          <w:tcPr>
            <w:tcW w:w="40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5F64F" w14:textId="77777777" w:rsidR="002415EE" w:rsidRDefault="00000000">
            <w:proofErr w:type="spellStart"/>
            <w:r>
              <w:rPr>
                <w:sz w:val="20"/>
                <w:szCs w:val="20"/>
              </w:rPr>
              <w:t>Versionamento</w:t>
            </w:r>
            <w:proofErr w:type="spellEnd"/>
            <w:r>
              <w:rPr>
                <w:sz w:val="20"/>
                <w:szCs w:val="20"/>
              </w:rPr>
              <w:t>, code review, tracciabilità delle modifiche, SOC 2</w:t>
            </w:r>
          </w:p>
        </w:tc>
      </w:tr>
    </w:tbl>
    <w:p w14:paraId="5023F025" w14:textId="77777777" w:rsidR="002415EE" w:rsidRDefault="002415EE">
      <w:pPr>
        <w:spacing w:after="100"/>
      </w:pPr>
    </w:p>
    <w:p w14:paraId="0DC088C5" w14:textId="77777777" w:rsidR="002415EE" w:rsidRDefault="00000000">
      <w:pPr>
        <w:spacing w:after="60"/>
      </w:pPr>
      <w:r>
        <w:rPr>
          <w:b/>
          <w:bCs/>
          <w:color w:val="E1492E"/>
          <w:spacing w:val="40"/>
          <w:sz w:val="18"/>
          <w:szCs w:val="18"/>
        </w:rPr>
        <w:t>VERCEL — APPLICAZIONE &amp; HOSTING</w:t>
      </w:r>
    </w:p>
    <w:p w14:paraId="2E4BB26D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 xml:space="preserve">erogazione dell’app (interfaccia e funzioni </w:t>
      </w:r>
      <w:proofErr w:type="spellStart"/>
      <w:r>
        <w:t>serverless</w:t>
      </w:r>
      <w:proofErr w:type="spellEnd"/>
      <w:r>
        <w:t>), con HTTPS/TLS automatico e distribuzione su CDN.</w:t>
      </w:r>
    </w:p>
    <w:p w14:paraId="2908D6AB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rilasci senza interruzioni e ambienti separati per sviluppo e produzione.</w:t>
      </w:r>
    </w:p>
    <w:p w14:paraId="53201425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→ </w:t>
      </w:r>
      <w:r>
        <w:t xml:space="preserve">nessun dato sanitario è conservato su </w:t>
      </w:r>
      <w:proofErr w:type="spellStart"/>
      <w:r>
        <w:t>Vercel</w:t>
      </w:r>
      <w:proofErr w:type="spellEnd"/>
      <w:r>
        <w:t>: si occupa solo dell’erogazione.</w:t>
      </w:r>
    </w:p>
    <w:p w14:paraId="10B1A7DC" w14:textId="77777777" w:rsidR="002415EE" w:rsidRDefault="00000000">
      <w:pPr>
        <w:spacing w:after="60"/>
      </w:pPr>
      <w:r>
        <w:rPr>
          <w:b/>
          <w:bCs/>
          <w:color w:val="E1492E"/>
          <w:spacing w:val="40"/>
          <w:sz w:val="18"/>
          <w:szCs w:val="18"/>
        </w:rPr>
        <w:t>SUPABASE — DATABASE &amp; BACKEND (</w:t>
      </w:r>
      <w:proofErr w:type="spellStart"/>
      <w:r>
        <w:rPr>
          <w:b/>
          <w:bCs/>
          <w:color w:val="E1492E"/>
          <w:spacing w:val="40"/>
          <w:sz w:val="18"/>
          <w:szCs w:val="18"/>
        </w:rPr>
        <w:t>PostgreSQL</w:t>
      </w:r>
      <w:proofErr w:type="spellEnd"/>
      <w:r>
        <w:rPr>
          <w:b/>
          <w:bCs/>
          <w:color w:val="E1492E"/>
          <w:spacing w:val="40"/>
          <w:sz w:val="18"/>
          <w:szCs w:val="18"/>
        </w:rPr>
        <w:t>)</w:t>
      </w:r>
    </w:p>
    <w:p w14:paraId="0A81634A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è il luogo dove risiedono i dati; ogni operazione passa da componenti server, mai direttamente dal browser.</w:t>
      </w:r>
    </w:p>
    <w:p w14:paraId="20CAC27C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Row Level Security (RLS): isola i dati di ciascuna società e li limita per ruolo.</w:t>
      </w:r>
    </w:p>
    <w:p w14:paraId="1D93D628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→ </w:t>
      </w:r>
      <w:r>
        <w:t>autenticazione, archiviazione cifrata dei referti, backup automatici e ripristino; hosting in regione UE.</w:t>
      </w:r>
    </w:p>
    <w:p w14:paraId="4B8B7E78" w14:textId="77777777" w:rsidR="002415EE" w:rsidRDefault="00000000">
      <w:pPr>
        <w:spacing w:after="60"/>
      </w:pPr>
      <w:r>
        <w:rPr>
          <w:b/>
          <w:bCs/>
          <w:color w:val="E1492E"/>
          <w:spacing w:val="40"/>
          <w:sz w:val="18"/>
          <w:szCs w:val="18"/>
        </w:rPr>
        <w:t>GITHUB — CODICE SORGENTE &amp; RILASCIO</w:t>
      </w:r>
    </w:p>
    <w:p w14:paraId="417F9570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proofErr w:type="spellStart"/>
      <w:r>
        <w:t>versionamento</w:t>
      </w:r>
      <w:proofErr w:type="spellEnd"/>
      <w:r>
        <w:t xml:space="preserve"> del codice, revisione (code review) e tracciabilità completa di ogni modifica.</w:t>
      </w:r>
    </w:p>
    <w:p w14:paraId="5694CD57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lastRenderedPageBreak/>
        <w:t xml:space="preserve">→ </w:t>
      </w:r>
      <w:r>
        <w:t>nessun dato personale o sanitario è contenuto nel codice.</w:t>
      </w:r>
    </w:p>
    <w:p w14:paraId="259672C6" w14:textId="77777777" w:rsidR="002415EE" w:rsidRDefault="00000000">
      <w:pPr>
        <w:pBdr>
          <w:left w:val="single" w:sz="18" w:space="12" w:color="E1492E"/>
        </w:pBdr>
        <w:shd w:val="clear" w:color="auto" w:fill="FAFBFC"/>
        <w:spacing w:before="120" w:after="140"/>
      </w:pPr>
      <w:r>
        <w:rPr>
          <w:b/>
          <w:bCs/>
        </w:rPr>
        <w:t xml:space="preserve">Flusso dei dati.  </w:t>
      </w:r>
      <w:r>
        <w:t xml:space="preserve">Il codice (GitHub) viene compilato e distribuito su </w:t>
      </w:r>
      <w:proofErr w:type="spellStart"/>
      <w:r>
        <w:t>Vercel</w:t>
      </w:r>
      <w:proofErr w:type="spellEnd"/>
      <w:r>
        <w:t xml:space="preserve">, che eroga l’applicazione all’utente solo via connessione cifrata (HTTPS). I dati vengono letti e scritti su </w:t>
      </w:r>
      <w:proofErr w:type="spellStart"/>
      <w:r>
        <w:t>Supabase</w:t>
      </w:r>
      <w:proofErr w:type="spellEnd"/>
      <w:r>
        <w:t>, all’interno dell’UE. Le credenziali del database non transitano mai dal browser, secondo il principio del privilegio minimo.</w:t>
      </w:r>
    </w:p>
    <w:p w14:paraId="17BDEC8D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3.  </w:t>
      </w:r>
      <w:r>
        <w:t>Sicurezza dei dati</w:t>
      </w:r>
    </w:p>
    <w:p w14:paraId="6C288FCC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Cifratura. </w:t>
      </w:r>
      <w:r>
        <w:t>dei dati in transito (TLS) e a riposo (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rest</w:t>
      </w:r>
      <w:proofErr w:type="spellEnd"/>
      <w:r>
        <w:t>).</w:t>
      </w:r>
    </w:p>
    <w:p w14:paraId="6B217640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Accessi. </w:t>
      </w:r>
      <w:r>
        <w:t>segregazione per società e per ruolo tramite Row Level Security: medico, preparatore, allenatore e dirigenza accedono solo ai dati di propria competenza.</w:t>
      </w:r>
    </w:p>
    <w:p w14:paraId="7DC259BA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Segreti. </w:t>
      </w:r>
      <w:r>
        <w:t>le chiavi di servizio non sono mai esposte al client; accesso al database solo lato server.</w:t>
      </w:r>
    </w:p>
    <w:p w14:paraId="23F924BD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Identità. </w:t>
      </w:r>
      <w:r>
        <w:t>autenticazione degli utenti e gestione sicura delle sessioni.</w:t>
      </w:r>
    </w:p>
    <w:p w14:paraId="28033D5B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Continuità. </w:t>
      </w:r>
      <w:r>
        <w:t xml:space="preserve">backup automatici e procedure di ripristino (business </w:t>
      </w:r>
      <w:proofErr w:type="spellStart"/>
      <w:r>
        <w:t>continuity</w:t>
      </w:r>
      <w:proofErr w:type="spellEnd"/>
      <w:r>
        <w:t>).</w:t>
      </w:r>
    </w:p>
    <w:p w14:paraId="1F55859B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Tracciabilità. </w:t>
      </w:r>
      <w:r>
        <w:t>tracciamento degli accessi ai dati sanitari (audit log) e principio del privilegio minimo.</w:t>
      </w:r>
    </w:p>
    <w:p w14:paraId="2EF351F8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4.  </w:t>
      </w:r>
      <w:r>
        <w:t>Conformità GDPR</w:t>
      </w:r>
    </w:p>
    <w:p w14:paraId="479C5595" w14:textId="77777777" w:rsidR="002415EE" w:rsidRDefault="00000000">
      <w:pPr>
        <w:spacing w:after="140" w:line="276" w:lineRule="auto"/>
      </w:pPr>
      <w:r>
        <w:t>I dati sanitari sono categorie particolari (art. 9 GDPR) e ricevono il livello di tutela più elevato. La piattaforma è progettata per garantire:</w:t>
      </w:r>
    </w:p>
    <w:p w14:paraId="538C21B3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residency</w:t>
      </w:r>
      <w:proofErr w:type="spellEnd"/>
      <w:r>
        <w:rPr>
          <w:b/>
          <w:bCs/>
        </w:rPr>
        <w:t xml:space="preserve"> UE. </w:t>
      </w:r>
      <w:r>
        <w:t>archiviazione ed elaborazione nell’Unione Europea.</w:t>
      </w:r>
    </w:p>
    <w:p w14:paraId="41F5B16F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Progettazione. </w:t>
      </w:r>
      <w:r>
        <w:t>privacy by design e by default in ogni funzione.</w:t>
      </w:r>
    </w:p>
    <w:p w14:paraId="09A4CE43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Minimizzazione. </w:t>
      </w:r>
      <w:r>
        <w:t>si trattano solo i dati necessari alle finalità dichiarate.</w:t>
      </w:r>
    </w:p>
    <w:p w14:paraId="12899923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Liceità. </w:t>
      </w:r>
      <w:r>
        <w:t>base giuridica e consenso esplicito per i dati sanitari.</w:t>
      </w:r>
    </w:p>
    <w:p w14:paraId="43C4A16A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Diritti dell’interessato. </w:t>
      </w:r>
      <w:r>
        <w:t>accesso, rettifica, cancellazione, limitazione e portabilità.</w:t>
      </w:r>
    </w:p>
    <w:p w14:paraId="69714735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Conservazione. </w:t>
      </w:r>
      <w:r>
        <w:t>politiche di conservazione e cancellazione definite; pseudonimizzazione ove possibile.</w:t>
      </w:r>
    </w:p>
    <w:p w14:paraId="39C5A514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Governance. </w:t>
      </w:r>
      <w:r>
        <w:t>registro dei trattamenti e procedura di gestione delle violazioni (notifica entro 72 ore).</w:t>
      </w:r>
    </w:p>
    <w:p w14:paraId="6E5ACE86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Contratti. </w:t>
      </w:r>
      <w:r>
        <w:t>accordi sul trattamento (DPA) con i fornitori infrastrutturali e tra TESTÀRE e la società.</w:t>
      </w:r>
    </w:p>
    <w:p w14:paraId="2CB1D7DA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5.  </w:t>
      </w:r>
      <w:r>
        <w:t>Ruoli e responsabilità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4426"/>
      </w:tblGrid>
      <w:tr w:rsidR="002415EE" w14:paraId="200C9F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292B3" w14:textId="77777777" w:rsidR="002415EE" w:rsidRDefault="00000000">
            <w:r>
              <w:rPr>
                <w:b/>
                <w:bCs/>
                <w:sz w:val="19"/>
                <w:szCs w:val="19"/>
              </w:rPr>
              <w:t>Ruolo GDPR</w:t>
            </w:r>
          </w:p>
        </w:tc>
        <w:tc>
          <w:tcPr>
            <w:tcW w:w="2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B2A1F7" w14:textId="77777777" w:rsidR="002415EE" w:rsidRDefault="00000000">
            <w:r>
              <w:rPr>
                <w:b/>
                <w:bCs/>
                <w:sz w:val="19"/>
                <w:szCs w:val="19"/>
              </w:rPr>
              <w:t>Soggetto</w:t>
            </w:r>
          </w:p>
        </w:tc>
        <w:tc>
          <w:tcPr>
            <w:tcW w:w="44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shd w:val="clear" w:color="auto" w:fill="F4F5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C3868" w14:textId="77777777" w:rsidR="002415EE" w:rsidRDefault="00000000">
            <w:r>
              <w:rPr>
                <w:b/>
                <w:bCs/>
                <w:sz w:val="19"/>
                <w:szCs w:val="19"/>
              </w:rPr>
              <w:t>Responsabilità</w:t>
            </w:r>
          </w:p>
        </w:tc>
      </w:tr>
      <w:tr w:rsidR="002415EE" w14:paraId="4D93D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6D55E" w14:textId="77777777" w:rsidR="002415EE" w:rsidRDefault="00000000">
            <w:r>
              <w:rPr>
                <w:b/>
                <w:bCs/>
                <w:sz w:val="20"/>
                <w:szCs w:val="20"/>
              </w:rPr>
              <w:t>Titolare del trattamento</w:t>
            </w:r>
          </w:p>
        </w:tc>
        <w:tc>
          <w:tcPr>
            <w:tcW w:w="2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4433FD" w14:textId="77777777" w:rsidR="002415EE" w:rsidRDefault="00000000">
            <w:r>
              <w:rPr>
                <w:sz w:val="20"/>
                <w:szCs w:val="20"/>
              </w:rPr>
              <w:t>La società sportiva</w:t>
            </w:r>
          </w:p>
        </w:tc>
        <w:tc>
          <w:tcPr>
            <w:tcW w:w="44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B5DA2" w14:textId="77777777" w:rsidR="002415EE" w:rsidRDefault="00000000">
            <w:r>
              <w:rPr>
                <w:sz w:val="20"/>
                <w:szCs w:val="20"/>
              </w:rPr>
              <w:t>Determina finalità e mezzi del trattamento dei propri dati.</w:t>
            </w:r>
          </w:p>
        </w:tc>
      </w:tr>
      <w:tr w:rsidR="002415EE" w14:paraId="4C5F05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23A12" w14:textId="77777777" w:rsidR="002415EE" w:rsidRDefault="00000000">
            <w:r>
              <w:rPr>
                <w:b/>
                <w:bCs/>
                <w:sz w:val="20"/>
                <w:szCs w:val="20"/>
              </w:rPr>
              <w:t>Responsabile del trattamento</w:t>
            </w:r>
          </w:p>
        </w:tc>
        <w:tc>
          <w:tcPr>
            <w:tcW w:w="2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AAA472" w14:textId="77777777" w:rsidR="002415EE" w:rsidRDefault="00000000">
            <w:r>
              <w:rPr>
                <w:sz w:val="20"/>
                <w:szCs w:val="20"/>
              </w:rPr>
              <w:t>TESTÀRE</w:t>
            </w:r>
          </w:p>
        </w:tc>
        <w:tc>
          <w:tcPr>
            <w:tcW w:w="44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3966F" w14:textId="77777777" w:rsidR="002415EE" w:rsidRDefault="00000000">
            <w:r>
              <w:rPr>
                <w:sz w:val="20"/>
                <w:szCs w:val="20"/>
              </w:rPr>
              <w:t>Tratta i dati per conto della società, secondo istruzioni documentate e DPA.</w:t>
            </w:r>
          </w:p>
        </w:tc>
      </w:tr>
      <w:tr w:rsidR="002415EE" w14:paraId="49211C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67BEA" w14:textId="77777777" w:rsidR="002415EE" w:rsidRDefault="00000000">
            <w:r>
              <w:rPr>
                <w:b/>
                <w:bCs/>
                <w:sz w:val="20"/>
                <w:szCs w:val="20"/>
              </w:rPr>
              <w:t>Sub-responsabili</w:t>
            </w:r>
          </w:p>
        </w:tc>
        <w:tc>
          <w:tcPr>
            <w:tcW w:w="2100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CC7C7" w14:textId="77777777" w:rsidR="002415EE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426" w:type="dxa"/>
            <w:tcBorders>
              <w:top w:val="single" w:sz="1" w:space="0" w:color="E3E5EA"/>
              <w:left w:val="single" w:sz="1" w:space="0" w:color="E3E5EA"/>
              <w:bottom w:val="single" w:sz="1" w:space="0" w:color="E3E5EA"/>
              <w:right w:val="single" w:sz="1" w:space="0" w:color="E3E5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8FC3B" w14:textId="77777777" w:rsidR="002415EE" w:rsidRDefault="00000000">
            <w:r>
              <w:rPr>
                <w:sz w:val="20"/>
                <w:szCs w:val="20"/>
              </w:rPr>
              <w:t>Forniscono l’infrastruttura, con propri DPA e garanzie di conformità UE.</w:t>
            </w:r>
          </w:p>
        </w:tc>
      </w:tr>
    </w:tbl>
    <w:p w14:paraId="1644D123" w14:textId="77777777" w:rsidR="002415EE" w:rsidRDefault="00000000">
      <w:pPr>
        <w:pStyle w:val="Titolo2"/>
        <w:pBdr>
          <w:bottom w:val="single" w:sz="6" w:space="6" w:color="E3E5EA"/>
        </w:pBdr>
      </w:pPr>
      <w:r>
        <w:rPr>
          <w:color w:val="E1492E"/>
        </w:rPr>
        <w:t xml:space="preserve">6.  </w:t>
      </w:r>
      <w:r>
        <w:t>Stato del progetto e roadmap</w:t>
      </w:r>
    </w:p>
    <w:p w14:paraId="6917ED0D" w14:textId="77777777" w:rsidR="002415EE" w:rsidRDefault="00000000">
      <w:pPr>
        <w:spacing w:after="60"/>
      </w:pPr>
      <w:r>
        <w:rPr>
          <w:b/>
          <w:bCs/>
          <w:color w:val="E1492E"/>
          <w:spacing w:val="40"/>
          <w:sz w:val="18"/>
          <w:szCs w:val="18"/>
        </w:rPr>
        <w:t>GIÀ OPERATIVO</w:t>
      </w:r>
    </w:p>
    <w:p w14:paraId="55EDF48C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lastRenderedPageBreak/>
        <w:t xml:space="preserve">database </w:t>
      </w:r>
      <w:proofErr w:type="spellStart"/>
      <w:r>
        <w:t>Supabase</w:t>
      </w:r>
      <w:proofErr w:type="spellEnd"/>
      <w:r>
        <w:t xml:space="preserve"> con persistenza condivisa e sicura; </w:t>
      </w:r>
      <w:proofErr w:type="spellStart"/>
      <w:r>
        <w:t>deploy</w:t>
      </w:r>
      <w:proofErr w:type="spellEnd"/>
      <w:r>
        <w:t xml:space="preserve"> su </w:t>
      </w:r>
      <w:proofErr w:type="spellStart"/>
      <w:r>
        <w:t>Vercel</w:t>
      </w:r>
      <w:proofErr w:type="spellEnd"/>
      <w:r>
        <w:t>; codice su GitHub.</w:t>
      </w:r>
    </w:p>
    <w:p w14:paraId="24CB7D1F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area medica con cartelle cliniche, diario riabilitativo, criteri di rientro e storico/sorveglianza.</w:t>
      </w:r>
    </w:p>
    <w:p w14:paraId="2D8BD512" w14:textId="77777777" w:rsidR="002415EE" w:rsidRDefault="00000000">
      <w:pPr>
        <w:spacing w:after="60"/>
      </w:pPr>
      <w:r>
        <w:rPr>
          <w:b/>
          <w:bCs/>
          <w:color w:val="E1492E"/>
          <w:spacing w:val="40"/>
          <w:sz w:val="18"/>
          <w:szCs w:val="18"/>
        </w:rPr>
        <w:t>IN COMPLETAMENTO</w:t>
      </w:r>
    </w:p>
    <w:p w14:paraId="6879DFF7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autenticazione e sistema di ruoli/permessi per i diversi profili dello staff.</w:t>
      </w:r>
    </w:p>
    <w:p w14:paraId="2691EB10" w14:textId="77777777" w:rsidR="002415EE" w:rsidRDefault="00000000">
      <w:pPr>
        <w:pStyle w:val="Paragrafoelenco"/>
        <w:numPr>
          <w:ilvl w:val="0"/>
          <w:numId w:val="2"/>
        </w:numPr>
        <w:spacing w:after="70" w:line="268" w:lineRule="auto"/>
      </w:pPr>
      <w:r>
        <w:t>raccolta dei consensi, informativa privacy, audit log e formalizzazione dei DPA.</w:t>
      </w:r>
    </w:p>
    <w:p w14:paraId="46F3809B" w14:textId="77777777" w:rsidR="002415EE" w:rsidRDefault="00000000">
      <w:pPr>
        <w:pBdr>
          <w:top w:val="single" w:sz="4" w:space="8" w:color="E3E5EA"/>
        </w:pBdr>
        <w:spacing w:before="260"/>
      </w:pPr>
      <w:r>
        <w:rPr>
          <w:i/>
          <w:iCs/>
          <w:color w:val="586173"/>
          <w:sz w:val="16"/>
          <w:szCs w:val="16"/>
        </w:rPr>
        <w:t>Il presente documento ha finalità illustrative e descrive l’impostazione tecnica e organizzativa della piattaforma. Non sostituisce l’informativa privacy, il contratto di trattamento dei dati (DPA) e l’eventuale valutazione d’impatto (DPIA), che verranno formalizzati con la società sportiva. Le certificazioni citate (es. SOC 2) sono dei rispettivi fornitori di infrastruttura.</w:t>
      </w:r>
    </w:p>
    <w:sectPr w:rsidR="002415EE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E49D64" w14:textId="77777777" w:rsidR="00D72197" w:rsidRDefault="00D72197">
      <w:r>
        <w:separator/>
      </w:r>
    </w:p>
  </w:endnote>
  <w:endnote w:type="continuationSeparator" w:id="0">
    <w:p w14:paraId="7754803A" w14:textId="77777777" w:rsidR="00D72197" w:rsidRDefault="00D7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2E948" w14:textId="77777777" w:rsidR="002415EE" w:rsidRDefault="00000000">
    <w:pPr>
      <w:pBdr>
        <w:top w:val="single" w:sz="4" w:space="8" w:color="E3E5EA"/>
      </w:pBdr>
      <w:tabs>
        <w:tab w:val="right" w:pos="9026"/>
      </w:tabs>
    </w:pPr>
    <w:r>
      <w:rPr>
        <w:color w:val="586173"/>
        <w:sz w:val="16"/>
        <w:szCs w:val="16"/>
      </w:rPr>
      <w:t xml:space="preserve">TESTÀRE · </w:t>
    </w:r>
    <w:proofErr w:type="spellStart"/>
    <w:r>
      <w:rPr>
        <w:color w:val="586173"/>
        <w:sz w:val="16"/>
        <w:szCs w:val="16"/>
      </w:rPr>
      <w:t>Evidence</w:t>
    </w:r>
    <w:proofErr w:type="spellEnd"/>
    <w:r>
      <w:rPr>
        <w:color w:val="586173"/>
        <w:sz w:val="16"/>
        <w:szCs w:val="16"/>
      </w:rPr>
      <w:t>-Based Performance · www.testare.pro</w:t>
    </w:r>
    <w:r>
      <w:rPr>
        <w:color w:val="586173"/>
        <w:sz w:val="16"/>
        <w:szCs w:val="16"/>
      </w:rPr>
      <w:tab/>
      <w:t xml:space="preserve">Documento riservato · Pag. </w:t>
    </w:r>
    <w:r>
      <w:rPr>
        <w:color w:val="586173"/>
        <w:sz w:val="16"/>
        <w:szCs w:val="16"/>
      </w:rPr>
      <w:fldChar w:fldCharType="begin"/>
    </w:r>
    <w:r>
      <w:rPr>
        <w:color w:val="586173"/>
        <w:sz w:val="16"/>
        <w:szCs w:val="16"/>
      </w:rPr>
      <w:instrText>PAGE</w:instrText>
    </w:r>
    <w:r>
      <w:rPr>
        <w:color w:val="586173"/>
        <w:sz w:val="16"/>
        <w:szCs w:val="16"/>
      </w:rPr>
      <w:fldChar w:fldCharType="separate"/>
    </w:r>
    <w:r w:rsidR="00D67E31">
      <w:rPr>
        <w:noProof/>
        <w:color w:val="586173"/>
        <w:sz w:val="16"/>
        <w:szCs w:val="16"/>
      </w:rPr>
      <w:t>1</w:t>
    </w:r>
    <w:r>
      <w:rPr>
        <w:color w:val="5861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92DCAC" w14:textId="77777777" w:rsidR="00D72197" w:rsidRDefault="00D72197">
      <w:r>
        <w:separator/>
      </w:r>
    </w:p>
  </w:footnote>
  <w:footnote w:type="continuationSeparator" w:id="0">
    <w:p w14:paraId="51489610" w14:textId="77777777" w:rsidR="00D72197" w:rsidRDefault="00D72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B34816"/>
    <w:multiLevelType w:val="hybridMultilevel"/>
    <w:tmpl w:val="5C1C1EE8"/>
    <w:lvl w:ilvl="0" w:tplc="FDB006DA">
      <w:start w:val="1"/>
      <w:numFmt w:val="bullet"/>
      <w:lvlText w:val="•"/>
      <w:lvlJc w:val="left"/>
      <w:pPr>
        <w:ind w:left="460" w:hanging="240"/>
      </w:pPr>
      <w:rPr>
        <w:color w:val="E1492E"/>
      </w:rPr>
    </w:lvl>
    <w:lvl w:ilvl="1" w:tplc="20802CC4">
      <w:numFmt w:val="decimal"/>
      <w:lvlText w:val=""/>
      <w:lvlJc w:val="left"/>
    </w:lvl>
    <w:lvl w:ilvl="2" w:tplc="BCD84D3C">
      <w:numFmt w:val="decimal"/>
      <w:lvlText w:val=""/>
      <w:lvlJc w:val="left"/>
    </w:lvl>
    <w:lvl w:ilvl="3" w:tplc="4F26DBFE">
      <w:numFmt w:val="decimal"/>
      <w:lvlText w:val=""/>
      <w:lvlJc w:val="left"/>
    </w:lvl>
    <w:lvl w:ilvl="4" w:tplc="3FA4D932">
      <w:numFmt w:val="decimal"/>
      <w:lvlText w:val=""/>
      <w:lvlJc w:val="left"/>
    </w:lvl>
    <w:lvl w:ilvl="5" w:tplc="F29E5568">
      <w:numFmt w:val="decimal"/>
      <w:lvlText w:val=""/>
      <w:lvlJc w:val="left"/>
    </w:lvl>
    <w:lvl w:ilvl="6" w:tplc="CA500B0A">
      <w:numFmt w:val="decimal"/>
      <w:lvlText w:val=""/>
      <w:lvlJc w:val="left"/>
    </w:lvl>
    <w:lvl w:ilvl="7" w:tplc="E594209E">
      <w:numFmt w:val="decimal"/>
      <w:lvlText w:val=""/>
      <w:lvlJc w:val="left"/>
    </w:lvl>
    <w:lvl w:ilvl="8" w:tplc="C096E462">
      <w:numFmt w:val="decimal"/>
      <w:lvlText w:val=""/>
      <w:lvlJc w:val="left"/>
    </w:lvl>
  </w:abstractNum>
  <w:abstractNum w:abstractNumId="1" w15:restartNumberingAfterBreak="0">
    <w:nsid w:val="4C2C6B30"/>
    <w:multiLevelType w:val="hybridMultilevel"/>
    <w:tmpl w:val="4FE0CA98"/>
    <w:lvl w:ilvl="0" w:tplc="DA9ADC84">
      <w:start w:val="1"/>
      <w:numFmt w:val="bullet"/>
      <w:lvlText w:val="●"/>
      <w:lvlJc w:val="left"/>
      <w:pPr>
        <w:ind w:left="720" w:hanging="360"/>
      </w:pPr>
    </w:lvl>
    <w:lvl w:ilvl="1" w:tplc="5282C226">
      <w:start w:val="1"/>
      <w:numFmt w:val="bullet"/>
      <w:lvlText w:val="○"/>
      <w:lvlJc w:val="left"/>
      <w:pPr>
        <w:ind w:left="1440" w:hanging="360"/>
      </w:pPr>
    </w:lvl>
    <w:lvl w:ilvl="2" w:tplc="BEEC1654">
      <w:start w:val="1"/>
      <w:numFmt w:val="bullet"/>
      <w:lvlText w:val="■"/>
      <w:lvlJc w:val="left"/>
      <w:pPr>
        <w:ind w:left="2160" w:hanging="360"/>
      </w:pPr>
    </w:lvl>
    <w:lvl w:ilvl="3" w:tplc="1658716A">
      <w:start w:val="1"/>
      <w:numFmt w:val="bullet"/>
      <w:lvlText w:val="●"/>
      <w:lvlJc w:val="left"/>
      <w:pPr>
        <w:ind w:left="2880" w:hanging="360"/>
      </w:pPr>
    </w:lvl>
    <w:lvl w:ilvl="4" w:tplc="67F80DF0">
      <w:start w:val="1"/>
      <w:numFmt w:val="bullet"/>
      <w:lvlText w:val="○"/>
      <w:lvlJc w:val="left"/>
      <w:pPr>
        <w:ind w:left="3600" w:hanging="360"/>
      </w:pPr>
    </w:lvl>
    <w:lvl w:ilvl="5" w:tplc="29F864D4">
      <w:start w:val="1"/>
      <w:numFmt w:val="bullet"/>
      <w:lvlText w:val="■"/>
      <w:lvlJc w:val="left"/>
      <w:pPr>
        <w:ind w:left="4320" w:hanging="360"/>
      </w:pPr>
    </w:lvl>
    <w:lvl w:ilvl="6" w:tplc="870677D6">
      <w:start w:val="1"/>
      <w:numFmt w:val="bullet"/>
      <w:lvlText w:val="●"/>
      <w:lvlJc w:val="left"/>
      <w:pPr>
        <w:ind w:left="5040" w:hanging="360"/>
      </w:pPr>
    </w:lvl>
    <w:lvl w:ilvl="7" w:tplc="F252D2C8">
      <w:start w:val="1"/>
      <w:numFmt w:val="bullet"/>
      <w:lvlText w:val="●"/>
      <w:lvlJc w:val="left"/>
      <w:pPr>
        <w:ind w:left="5760" w:hanging="360"/>
      </w:pPr>
    </w:lvl>
    <w:lvl w:ilvl="8" w:tplc="F76A3766">
      <w:start w:val="1"/>
      <w:numFmt w:val="bullet"/>
      <w:lvlText w:val="●"/>
      <w:lvlJc w:val="left"/>
      <w:pPr>
        <w:ind w:left="6480" w:hanging="360"/>
      </w:pPr>
    </w:lvl>
  </w:abstractNum>
  <w:num w:numId="1" w16cid:durableId="1448429482">
    <w:abstractNumId w:val="1"/>
    <w:lvlOverride w:ilvl="0">
      <w:startOverride w:val="1"/>
    </w:lvlOverride>
  </w:num>
  <w:num w:numId="2" w16cid:durableId="198931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5EE"/>
    <w:rsid w:val="001153ED"/>
    <w:rsid w:val="002415EE"/>
    <w:rsid w:val="00D67E31"/>
    <w:rsid w:val="00D7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5FED7C"/>
  <w15:docId w15:val="{D70D5339-4CFE-6E40-A9D4-F9D94B93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4181F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729</Words>
  <Characters>4544</Characters>
  <Application>Microsoft Office Word</Application>
  <DocSecurity>0</DocSecurity>
  <Lines>110</Lines>
  <Paragraphs>81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Paolo Spicuglia</cp:lastModifiedBy>
  <cp:revision>2</cp:revision>
  <dcterms:created xsi:type="dcterms:W3CDTF">2026-06-28T23:29:00Z</dcterms:created>
  <dcterms:modified xsi:type="dcterms:W3CDTF">2026-06-28T23:33:00Z</dcterms:modified>
</cp:coreProperties>
</file>