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DBB00" w14:textId="2BA31282" w:rsidR="001C3251" w:rsidRPr="001C3251" w:rsidRDefault="004C0415" w:rsidP="009E124E">
      <w:pPr>
        <w:rPr>
          <w:rFonts w:cstheme="minorHAnsi"/>
          <w:sz w:val="24"/>
          <w:szCs w:val="24"/>
        </w:rPr>
      </w:pPr>
      <w:r>
        <w:rPr>
          <w:rFonts w:cstheme="minorHAnsi"/>
          <w:sz w:val="24"/>
          <w:szCs w:val="24"/>
        </w:rPr>
        <w:t>Updated 10/13/2021 (Julien)</w:t>
      </w:r>
    </w:p>
    <w:tbl>
      <w:tblPr>
        <w:tblStyle w:val="TableGrid"/>
        <w:tblW w:w="0" w:type="auto"/>
        <w:tblLook w:val="04A0" w:firstRow="1" w:lastRow="0" w:firstColumn="1" w:lastColumn="0" w:noHBand="0" w:noVBand="1"/>
      </w:tblPr>
      <w:tblGrid>
        <w:gridCol w:w="1497"/>
        <w:gridCol w:w="3296"/>
        <w:gridCol w:w="5285"/>
        <w:gridCol w:w="2872"/>
      </w:tblGrid>
      <w:tr w:rsidR="007F43BF" w14:paraId="05854C99" w14:textId="08D4E72E" w:rsidTr="008361F4">
        <w:tc>
          <w:tcPr>
            <w:tcW w:w="1497" w:type="dxa"/>
          </w:tcPr>
          <w:p w14:paraId="5CDC0905" w14:textId="1CD357B3" w:rsidR="007F43BF" w:rsidRDefault="007F43BF" w:rsidP="009E124E">
            <w:pPr>
              <w:rPr>
                <w:rFonts w:cstheme="minorHAnsi"/>
                <w:sz w:val="24"/>
                <w:szCs w:val="24"/>
              </w:rPr>
            </w:pPr>
            <w:r>
              <w:rPr>
                <w:rFonts w:cstheme="minorHAnsi"/>
                <w:sz w:val="24"/>
                <w:szCs w:val="24"/>
              </w:rPr>
              <w:t>Reference</w:t>
            </w:r>
          </w:p>
        </w:tc>
        <w:tc>
          <w:tcPr>
            <w:tcW w:w="3296" w:type="dxa"/>
          </w:tcPr>
          <w:p w14:paraId="0052DA17" w14:textId="7F795B2E" w:rsidR="007F43BF" w:rsidRDefault="007F43BF" w:rsidP="009E124E">
            <w:pPr>
              <w:rPr>
                <w:rFonts w:cstheme="minorHAnsi"/>
                <w:sz w:val="24"/>
                <w:szCs w:val="24"/>
              </w:rPr>
            </w:pPr>
            <w:r>
              <w:rPr>
                <w:rFonts w:cstheme="minorHAnsi"/>
                <w:sz w:val="24"/>
                <w:szCs w:val="24"/>
              </w:rPr>
              <w:t>Contact</w:t>
            </w:r>
          </w:p>
        </w:tc>
        <w:tc>
          <w:tcPr>
            <w:tcW w:w="5285" w:type="dxa"/>
          </w:tcPr>
          <w:p w14:paraId="6E794A6A" w14:textId="0AEA3190" w:rsidR="007F43BF" w:rsidRDefault="007F43BF" w:rsidP="009E124E">
            <w:pPr>
              <w:rPr>
                <w:rFonts w:cstheme="minorHAnsi"/>
                <w:sz w:val="24"/>
                <w:szCs w:val="24"/>
              </w:rPr>
            </w:pPr>
            <w:r>
              <w:rPr>
                <w:rFonts w:cstheme="minorHAnsi"/>
                <w:sz w:val="24"/>
                <w:szCs w:val="24"/>
              </w:rPr>
              <w:t>Data availability</w:t>
            </w:r>
          </w:p>
        </w:tc>
        <w:tc>
          <w:tcPr>
            <w:tcW w:w="2872" w:type="dxa"/>
          </w:tcPr>
          <w:p w14:paraId="6AB57686" w14:textId="6F8F9D35" w:rsidR="007F43BF" w:rsidRDefault="007F43BF" w:rsidP="009E124E">
            <w:pPr>
              <w:rPr>
                <w:rFonts w:cstheme="minorHAnsi"/>
                <w:sz w:val="24"/>
                <w:szCs w:val="24"/>
              </w:rPr>
            </w:pPr>
            <w:r>
              <w:rPr>
                <w:rFonts w:cstheme="minorHAnsi"/>
                <w:sz w:val="24"/>
                <w:szCs w:val="24"/>
              </w:rPr>
              <w:t>Fitting method</w:t>
            </w:r>
          </w:p>
        </w:tc>
      </w:tr>
      <w:tr w:rsidR="007F43BF" w14:paraId="46B3CB4E" w14:textId="4E90CFF7" w:rsidTr="008361F4">
        <w:tc>
          <w:tcPr>
            <w:tcW w:w="1497" w:type="dxa"/>
          </w:tcPr>
          <w:p w14:paraId="74F7B66B" w14:textId="1FCB7754" w:rsidR="007F43BF" w:rsidRDefault="007F43BF" w:rsidP="009E124E">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{"citationID":"OF6u1v4j","properties":{"formattedCitation":"(Doughty {\\i{}et al.}, 2011)","plainCitation":"(Doughty et al., 2011)","noteIndex":0},"citationItems":[{"id":166,"uris":["http://zotero.org/users/local/lNNKczaB/items/WWL9HRUF"],"uri":["http://zotero.org/users/local/lNNKczaB/items/WWL9HRUF"],"itemData":{"id":166,"type":"article-journal","abstract":"A broad regional understanding of tropical forest leaf photosynthesis has long been a goal for tropical forest ecologists, but it has remained elusive due to difficult canopy access and high species diversity. Here we develop an empirical model to predict sunlit, light-saturated, tropical leaf photosynthesis using leaf and simulated canopy spectra. To develop this model, we used partial least squares (PLS) analysis on three tropical forest datasets (159 species), two in Hawaii and one at the biosphere 2 laboratory (B2L). For each species, we measured light-saturated photosynthesis (A), light and CO2 saturated photosynthesis (Amax), respiration (R), leaf transmittance and reflectance spectra (400–2,500 nm), leaf nitrogen, chlorophyll a and b, carotenoids, and leaf mass per area (LMA). The model best predicted A [r2 = 0.74, root mean square error (RMSE) = 2.9 μmol m−2 s−1)] followed by R (r2 = 0.48), and Amax (r2 = 0.47). We combined leaf reflectance and transmittance with a canopy radiative transfer model to simulate top-of-canopy reflectance and found that canopy spectra are a better predictor of A (RMSE = 2.5 ± 0.07 μmol m−2 s−1) than are leaf spectra. The results indicate the potential for this technique to be used with high-fidelity imaging spectrometers to remotely sense tropical forest canopy photosynthesis.","container-title":"Oecologia","DOI":"10.1007/s00442-010-1800-4","ISSN":"1432-1939","issue":"2","journalAbbreviation":"Oecologia","language":"en","page":"289-299","source":"Springer Link","title":"Predicting tropical plant physiology from leaf and canopy spectroscopy","volume":"165","author":[{"family":"Doughty","given":"Christopher E."},{"family":"Asner","given":"Gregory P."},{"family":"Martin","given":"Roberta E."}],"issued":{"date-parts":[["2011",2,1]]}}}],"schema":"https://github.com/citation-style-language/schema/raw/master/csl-citation.json"} </w:instrText>
            </w:r>
            <w:r>
              <w:rPr>
                <w:rFonts w:cstheme="minorHAnsi"/>
                <w:sz w:val="24"/>
                <w:szCs w:val="24"/>
              </w:rPr>
              <w:fldChar w:fldCharType="separate"/>
            </w:r>
            <w:r w:rsidRPr="00492AC9">
              <w:rPr>
                <w:rFonts w:ascii="Calibri" w:hAnsi="Calibri" w:cs="Calibri"/>
                <w:sz w:val="24"/>
                <w:szCs w:val="24"/>
              </w:rPr>
              <w:t xml:space="preserve">(Doughty </w:t>
            </w:r>
            <w:r w:rsidRPr="00492AC9">
              <w:rPr>
                <w:rFonts w:ascii="Calibri" w:hAnsi="Calibri" w:cs="Calibri"/>
                <w:i/>
                <w:iCs/>
                <w:sz w:val="24"/>
                <w:szCs w:val="24"/>
              </w:rPr>
              <w:t>et al.</w:t>
            </w:r>
            <w:r w:rsidRPr="00492AC9">
              <w:rPr>
                <w:rFonts w:ascii="Calibri" w:hAnsi="Calibri" w:cs="Calibri"/>
                <w:sz w:val="24"/>
                <w:szCs w:val="24"/>
              </w:rPr>
              <w:t>, 2011)</w:t>
            </w:r>
            <w:r>
              <w:rPr>
                <w:rFonts w:cstheme="minorHAnsi"/>
                <w:sz w:val="24"/>
                <w:szCs w:val="24"/>
              </w:rPr>
              <w:fldChar w:fldCharType="end"/>
            </w:r>
          </w:p>
        </w:tc>
        <w:tc>
          <w:tcPr>
            <w:tcW w:w="3296" w:type="dxa"/>
          </w:tcPr>
          <w:p w14:paraId="5E1E2D11" w14:textId="14DFEF40" w:rsidR="007F43BF" w:rsidRDefault="007F43BF" w:rsidP="009E124E">
            <w:pPr>
              <w:rPr>
                <w:rFonts w:cstheme="minorHAnsi"/>
                <w:sz w:val="24"/>
                <w:szCs w:val="24"/>
              </w:rPr>
            </w:pPr>
            <w:r>
              <w:t>chris.doughty@ouce.ox.ac.uk</w:t>
            </w:r>
          </w:p>
        </w:tc>
        <w:tc>
          <w:tcPr>
            <w:tcW w:w="5285" w:type="dxa"/>
          </w:tcPr>
          <w:p w14:paraId="39497751" w14:textId="7265619E" w:rsidR="007F43BF" w:rsidRDefault="009817B4" w:rsidP="009E124E">
            <w:r>
              <w:t>Not available</w:t>
            </w:r>
          </w:p>
        </w:tc>
        <w:tc>
          <w:tcPr>
            <w:tcW w:w="2872" w:type="dxa"/>
          </w:tcPr>
          <w:p w14:paraId="2487160B" w14:textId="4C538A30" w:rsidR="007F43BF" w:rsidRDefault="009817B4" w:rsidP="009E124E">
            <w:r>
              <w:t>Sharkey 2007</w:t>
            </w:r>
          </w:p>
        </w:tc>
      </w:tr>
      <w:tr w:rsidR="007F43BF" w14:paraId="1265B993" w14:textId="6D655945" w:rsidTr="008361F4">
        <w:tc>
          <w:tcPr>
            <w:tcW w:w="1497" w:type="dxa"/>
          </w:tcPr>
          <w:p w14:paraId="35AF9F69"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{"citationID":"1yavV3WC","properties":{"formattedCitation":"(Sexton {\\i{}et al.}, 2021)","plainCitation":"(Sexton et al., 2021)","noteIndex":0},"citationItems":[{"id":590,"uris":["http://zotero.org/users/local/lNNKczaB/items/4AKTWYYB"],"uri":["http://zotero.org/users/local/lNNKczaB/items/4AKTWYYB"],"itemData":{"id":590,"type":"article-journal","container-title":"Journal of Experimental Botany","DOI":"10.1093/jxb/erab118","issue":"12","note":"publisher: Oxford University Press (OUP)","page":"4373–4383","title":"Predicting photosynthetic capacity in tobacco using shortwave infrared spectral reflectance","volume":"72","author":[{"family":"Sexton","given":"Thomas"},{"family":"Sankaran","given":"Sindhuja"},{"family":"Cousins","given":"Asaph B."}],"editor":[{"family":"Lawson","given":"Tracy"}],"issued":{"date-parts":[["2021",3]]}}}],"schema":"https://github.com/citation-style-language/schema/raw/master/csl-citation.json"}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(Sexton </w:t>
            </w:r>
            <w:r w:rsidRPr="001C3251">
              <w:rPr>
                <w:rFonts w:ascii="Calibri" w:hAnsi="Calibri" w:cs="Calibri"/>
                <w:i/>
                <w:iCs/>
                <w:sz w:val="24"/>
                <w:szCs w:val="24"/>
              </w:rPr>
              <w:t>et al.</w:t>
            </w:r>
            <w:r w:rsidRPr="001C3251">
              <w:rPr>
                <w:rFonts w:ascii="Calibri" w:hAnsi="Calibri" w:cs="Calibri"/>
                <w:sz w:val="24"/>
                <w:szCs w:val="24"/>
              </w:rPr>
              <w:t>, 2021)</w:t>
            </w:r>
            <w:r>
              <w:rPr>
                <w:rFonts w:cstheme="minorHAnsi"/>
                <w:sz w:val="24"/>
                <w:szCs w:val="24"/>
              </w:rPr>
              <w:fldChar w:fldCharType="end"/>
            </w:r>
          </w:p>
          <w:p w14:paraId="65D82B73" w14:textId="77777777" w:rsidR="007F43BF" w:rsidRDefault="007F43BF" w:rsidP="009E124E">
            <w:pPr>
              <w:rPr>
                <w:rFonts w:cstheme="minorHAnsi"/>
                <w:sz w:val="24"/>
                <w:szCs w:val="24"/>
              </w:rPr>
            </w:pPr>
          </w:p>
        </w:tc>
        <w:tc>
          <w:tcPr>
            <w:tcW w:w="3296" w:type="dxa"/>
          </w:tcPr>
          <w:p w14:paraId="3107C6E3" w14:textId="3EEEC6A6" w:rsidR="007F43BF" w:rsidRDefault="007F43BF" w:rsidP="009E124E">
            <w:pPr>
              <w:rPr>
                <w:rFonts w:cstheme="minorHAnsi"/>
                <w:sz w:val="24"/>
                <w:szCs w:val="24"/>
              </w:rPr>
            </w:pPr>
            <w:r w:rsidRPr="001C3251">
              <w:rPr>
                <w:rFonts w:cstheme="minorHAnsi"/>
                <w:sz w:val="24"/>
                <w:szCs w:val="24"/>
              </w:rPr>
              <w:t>acousins@wsu.edu</w:t>
            </w:r>
          </w:p>
        </w:tc>
        <w:tc>
          <w:tcPr>
            <w:tcW w:w="5285" w:type="dxa"/>
          </w:tcPr>
          <w:p w14:paraId="2AC668EB" w14:textId="6DA86F24" w:rsidR="007F43BF" w:rsidRPr="001C3251" w:rsidRDefault="007F43BF" w:rsidP="009E124E">
            <w:pPr>
              <w:rPr>
                <w:rFonts w:cstheme="minorHAnsi"/>
                <w:sz w:val="24"/>
                <w:szCs w:val="24"/>
              </w:rPr>
            </w:pPr>
            <w:r w:rsidRPr="00E5392B">
              <w:rPr>
                <w:rFonts w:cstheme="minorHAnsi"/>
                <w:sz w:val="24"/>
                <w:szCs w:val="24"/>
              </w:rPr>
              <w:t>https://zenodo.org/record/4480331#.YBSNFSMrJdh</w:t>
            </w:r>
          </w:p>
        </w:tc>
        <w:tc>
          <w:tcPr>
            <w:tcW w:w="2872" w:type="dxa"/>
          </w:tcPr>
          <w:p w14:paraId="641E8B86" w14:textId="39F71B1C" w:rsidR="007F43BF" w:rsidRPr="00E5392B" w:rsidRDefault="007F43BF" w:rsidP="009E124E">
            <w:pPr>
              <w:rPr>
                <w:rFonts w:cstheme="minorHAnsi"/>
                <w:sz w:val="24"/>
                <w:szCs w:val="24"/>
              </w:rPr>
            </w:pPr>
            <w:r>
              <w:rPr>
                <w:rFonts w:cstheme="minorHAnsi"/>
                <w:sz w:val="24"/>
                <w:szCs w:val="24"/>
              </w:rPr>
              <w:t>Sharkey 2007</w:t>
            </w:r>
          </w:p>
        </w:tc>
      </w:tr>
      <w:tr w:rsidR="007F43BF" w14:paraId="0D8AD66F" w14:textId="02DB7D68" w:rsidTr="008361F4">
        <w:tc>
          <w:tcPr>
            <w:tcW w:w="1497" w:type="dxa"/>
          </w:tcPr>
          <w:p w14:paraId="23610891"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{"citationID":"UfsGFfW1","properties":{"formattedCitation":"(Barnes {\\i{}et al.}, 2017)","plainCitation":"(Barnes et al., 2017)","noteIndex":0},"citationItems":[{"id":168,"uris":["http://zotero.org/users/local/lNNKczaB/items/J5ZB6YM4"],"uri":["http://zotero.org/users/local/lNNKczaB/items/J5ZB6YM4"],"itemData":{"id":168,"type":"article-journal","abstract":"Earth's future carbon balance and regional carbon exchange dynamics are inextricably linked to plant photosynthesis. Spectral vegetation indices are widely used as proxies for vegetation greenness and to estimate state variables such as vegetation cover and leaf area index. However, the capacity of green leaves to take up carbon can change throughout the season. We quantify photosynthetic capacity as the maximum rate of RuBP carboxylation (Vcmax) and regeneration (Jmax). Vcmax and Jmax vary within-season due to interactions between ontogenetic processes and meteorological variables. Remote sensing-based estimation of Vcmax and Jmax using leaf reflectance spectra is promising, but temporal variation in relationships between these key determinants of photosynthetic capacity, leaf reflectance spectra, and the models that link these variables has not been evaluated. To address this issue, we studied hybrid poplar (Populus spp.) during a 7-week mid-summer period to quantify seasonally-dynamic relationships between Vcmax, Jmax, and leaf spectra. We compared in situ estimates of Vcmax and Jmax from gas exchange measurements to estimates of Vcmax and Jmax derived from partial least squares regression (PLSR) and fresh-leaf reflectance spectroscopy. PLSR models were robust despite dynamic temporal variation in Vcmax and Jmax throughout the study period. Within-population variation in plant stress modestly reduced PLSR model predictive capacity. Hyperspectral vegetation indices were well-correlated to Vcmax and Jmax, including the widely-used Normalized Difference Vegetation Index. Our results show that hyperspectral estimation of plant physiological traits using PLSR may be robust to temporal variation. Additionally, hyperspectral vegetation indices may be sufficient to detect temporal changes in photosynthetic capacity in contexts similar to those studied here. Overall, our results highlight the potential for hyperspectral remote sensing to estimate determinants of photosynthetic capacity during periods with dynamic temporal variations related to seasonality and plant stress, thereby improving estimates of plant productivity and characterization of the associated carbon budget.","container-title":"PLOS ONE","DOI":"10.1371/journal.pone.0189539","ISSN":"1932-6203","issue":"12","journalAbbreviation":"PLOS ONE","language":"en","note":"publisher: Public Library of Science","page":"e0189539","source":"PLoS Journals","title":"Beyond greenness: Detecting temporal changes in photosynthetic capacity with hyperspectral reflectance data","title-short":"Beyond greenness","volume":"12","author":[{"family":"Barnes","given":"Mallory L."},{"family":"Breshears","given":"David D."},{"family":"Law","given":"Darin J."},{"family":"Leeuwen","given":"Willem J. D.","dropping-particle":"van"},{"family":"Monson","given":"Russell K."},{"family":"Fojtik","given":"Alec C."},{"family":"Barron-Gafford","given":"Greg A."},{"family":"Moore","given":"David J. P."}],"issued":{"date-parts":[["2017",12,27]]}}}],"schema":"https://github.com/citation-style-language/schema/raw/master/csl-citation.json"}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(Barnes </w:t>
            </w:r>
            <w:r w:rsidRPr="001C3251">
              <w:rPr>
                <w:rFonts w:ascii="Calibri" w:hAnsi="Calibri" w:cs="Calibri"/>
                <w:i/>
                <w:iCs/>
                <w:sz w:val="24"/>
                <w:szCs w:val="24"/>
              </w:rPr>
              <w:t>et al.</w:t>
            </w:r>
            <w:r w:rsidRPr="001C3251">
              <w:rPr>
                <w:rFonts w:ascii="Calibri" w:hAnsi="Calibri" w:cs="Calibri"/>
                <w:sz w:val="24"/>
                <w:szCs w:val="24"/>
              </w:rPr>
              <w:t>, 2017)</w:t>
            </w:r>
            <w:r>
              <w:rPr>
                <w:rFonts w:cstheme="minorHAnsi"/>
                <w:sz w:val="24"/>
                <w:szCs w:val="24"/>
              </w:rPr>
              <w:fldChar w:fldCharType="end"/>
            </w:r>
          </w:p>
          <w:p w14:paraId="638CFE56" w14:textId="77777777" w:rsidR="007F43BF" w:rsidRDefault="007F43BF" w:rsidP="009E124E">
            <w:pPr>
              <w:rPr>
                <w:rFonts w:cstheme="minorHAnsi"/>
                <w:sz w:val="24"/>
                <w:szCs w:val="24"/>
              </w:rPr>
            </w:pPr>
          </w:p>
        </w:tc>
        <w:tc>
          <w:tcPr>
            <w:tcW w:w="3296" w:type="dxa"/>
          </w:tcPr>
          <w:p w14:paraId="33062374" w14:textId="524C9D3A" w:rsidR="007F43BF" w:rsidRDefault="007F43BF" w:rsidP="009E124E">
            <w:pPr>
              <w:rPr>
                <w:rFonts w:cstheme="minorHAnsi"/>
                <w:sz w:val="24"/>
                <w:szCs w:val="24"/>
              </w:rPr>
            </w:pPr>
            <w:r>
              <w:t>mallorybarnes@email.arizona.edu</w:t>
            </w:r>
          </w:p>
        </w:tc>
        <w:tc>
          <w:tcPr>
            <w:tcW w:w="5285" w:type="dxa"/>
          </w:tcPr>
          <w:p w14:paraId="43ACC04D" w14:textId="67E77A61" w:rsidR="007F43BF" w:rsidRDefault="007F43BF" w:rsidP="009E124E">
            <w:r w:rsidRPr="00E5392B">
              <w:t>https://osf.io/zur8e/</w:t>
            </w:r>
          </w:p>
        </w:tc>
        <w:tc>
          <w:tcPr>
            <w:tcW w:w="2872" w:type="dxa"/>
          </w:tcPr>
          <w:p w14:paraId="3966BD92" w14:textId="1B1696AC" w:rsidR="007F43BF" w:rsidRPr="00E5392B" w:rsidRDefault="00BD1DCA" w:rsidP="009E124E">
            <w:r>
              <w:rPr>
                <w:rFonts w:cstheme="minorHAnsi"/>
                <w:sz w:val="24"/>
                <w:szCs w:val="24"/>
              </w:rPr>
              <w:t>fitaci (plantecophys)</w:t>
            </w:r>
          </w:p>
        </w:tc>
      </w:tr>
      <w:tr w:rsidR="007F43BF" w14:paraId="4805B540" w14:textId="35836C20" w:rsidTr="008361F4">
        <w:tc>
          <w:tcPr>
            <w:tcW w:w="1497" w:type="dxa"/>
          </w:tcPr>
          <w:p w14:paraId="22512A21" w14:textId="4D7BA1B7" w:rsidR="007F43BF" w:rsidRDefault="007F43BF" w:rsidP="009E124E">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{"citationID":"ovLvZLKi","properties":{"formattedCitation":"(Coast {\\i{}et al.}, 2019)","plainCitation":"(Coast et al., 2019)","noteIndex":0},"citationItems":[{"id":227,"uris":["http://zotero.org/users/local/lNNKczaB/items/GL3RWWRB"],"uri":["http://zotero.org/users/local/lNNKczaB/items/GL3RWWRB"],"itemData":{"id":227,"type":"article-journal","container-title":"Plant, Cell &amp; Environment","DOI":"10.1111/pce.13544","issue":"7","note":"publisher: Wiley","page":"2133–2150","title":"Predicting dark respiration rates of wheat leaves from hyperspectral reflectance","volume":"42","author":[{"family":"Coast","given":"Onoriode"},{"family":"Shah","given":"Shahen"},{"family":"Ivakov","given":"Alexander"},{"family":"Gaju","given":"Oorbessy"},{"family":"Wilson","given":"Philippa B."},{"family":"Posch","given":"Bradley C."},{"family":"Bryant","given":"Callum J."},{"family":"Negrini","given":"Anna Clarissa A."},{"family":"Evans","given":"John R."},{"family":"Condon","given":"Anthony G."},{"family":"Silva-Pérez","given":"Viridiana"},{"family":"Reynolds","given":"Matthew P."},{"family":"Pogson","given":"Barry J."},{"family":"Millar","given":"A. Harvey"},{"family":"Furbank","given":"Robert T."},{"family":"Atkin","given":"Owen K."}],"issued":{"date-parts":[["2019",3]]}}}],"schema":"https://github.com/citation-style-language/schema/raw/master/csl-citation.json"}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(Coast </w:t>
            </w:r>
            <w:r w:rsidRPr="001C3251">
              <w:rPr>
                <w:rFonts w:ascii="Calibri" w:hAnsi="Calibri" w:cs="Calibri"/>
                <w:i/>
                <w:iCs/>
                <w:sz w:val="24"/>
                <w:szCs w:val="24"/>
              </w:rPr>
              <w:t>et al.</w:t>
            </w:r>
            <w:r w:rsidRPr="001C3251">
              <w:rPr>
                <w:rFonts w:ascii="Calibri" w:hAnsi="Calibri" w:cs="Calibri"/>
                <w:sz w:val="24"/>
                <w:szCs w:val="24"/>
              </w:rPr>
              <w:t>, 2019)</w:t>
            </w:r>
            <w:r>
              <w:rPr>
                <w:rFonts w:cstheme="minorHAnsi"/>
                <w:sz w:val="24"/>
                <w:szCs w:val="24"/>
              </w:rPr>
              <w:fldChar w:fldCharType="end"/>
            </w:r>
          </w:p>
        </w:tc>
        <w:tc>
          <w:tcPr>
            <w:tcW w:w="3296" w:type="dxa"/>
          </w:tcPr>
          <w:p w14:paraId="21740035" w14:textId="541F3E66" w:rsidR="007F43BF" w:rsidRDefault="007F43BF" w:rsidP="001C3251">
            <w:pPr>
              <w:rPr>
                <w:rFonts w:cstheme="minorHAnsi"/>
                <w:sz w:val="24"/>
                <w:szCs w:val="24"/>
              </w:rPr>
            </w:pPr>
            <w:r w:rsidRPr="001C3251">
              <w:rPr>
                <w:rFonts w:cstheme="minorHAnsi"/>
                <w:sz w:val="24"/>
                <w:szCs w:val="24"/>
              </w:rPr>
              <w:t>owen.atkin@anu.edu.au</w:t>
            </w:r>
          </w:p>
          <w:p w14:paraId="1ECA0A9C" w14:textId="77777777" w:rsidR="007F43BF" w:rsidRDefault="007F43BF" w:rsidP="009E124E">
            <w:pPr>
              <w:rPr>
                <w:rFonts w:cstheme="minorHAnsi"/>
                <w:sz w:val="24"/>
                <w:szCs w:val="24"/>
              </w:rPr>
            </w:pPr>
          </w:p>
        </w:tc>
        <w:tc>
          <w:tcPr>
            <w:tcW w:w="5285" w:type="dxa"/>
          </w:tcPr>
          <w:p w14:paraId="7F7E4453" w14:textId="48D1538D" w:rsidR="007F43BF" w:rsidRPr="001C3251" w:rsidRDefault="009817B4" w:rsidP="001C3251">
            <w:pPr>
              <w:rPr>
                <w:rFonts w:cstheme="minorHAnsi"/>
                <w:sz w:val="24"/>
                <w:szCs w:val="24"/>
              </w:rPr>
            </w:pPr>
            <w:r>
              <w:rPr>
                <w:rFonts w:cstheme="minorHAnsi"/>
                <w:sz w:val="24"/>
                <w:szCs w:val="24"/>
              </w:rPr>
              <w:t>(Not relevant directly for Vcmax</w:t>
            </w:r>
            <w:r w:rsidR="00BD1DCA">
              <w:rPr>
                <w:rFonts w:cstheme="minorHAnsi"/>
                <w:sz w:val="24"/>
                <w:szCs w:val="24"/>
              </w:rPr>
              <w:t xml:space="preserve">, but </w:t>
            </w:r>
            <w:r w:rsidR="008361F4">
              <w:rPr>
                <w:rFonts w:cstheme="minorHAnsi"/>
                <w:sz w:val="24"/>
                <w:szCs w:val="24"/>
              </w:rPr>
              <w:t xml:space="preserve">maybe </w:t>
            </w:r>
            <w:r w:rsidR="00BD1DCA">
              <w:rPr>
                <w:rFonts w:cstheme="minorHAnsi"/>
                <w:sz w:val="24"/>
                <w:szCs w:val="24"/>
              </w:rPr>
              <w:t>good contact</w:t>
            </w:r>
            <w:r>
              <w:rPr>
                <w:rFonts w:cstheme="minorHAnsi"/>
                <w:sz w:val="24"/>
                <w:szCs w:val="24"/>
              </w:rPr>
              <w:t>)</w:t>
            </w:r>
          </w:p>
        </w:tc>
        <w:tc>
          <w:tcPr>
            <w:tcW w:w="2872" w:type="dxa"/>
          </w:tcPr>
          <w:p w14:paraId="0DD7C931" w14:textId="77777777" w:rsidR="007F43BF" w:rsidRPr="001C3251" w:rsidRDefault="007F43BF" w:rsidP="001C3251">
            <w:pPr>
              <w:rPr>
                <w:rFonts w:cstheme="minorHAnsi"/>
                <w:sz w:val="24"/>
                <w:szCs w:val="24"/>
              </w:rPr>
            </w:pPr>
          </w:p>
        </w:tc>
      </w:tr>
      <w:tr w:rsidR="007F43BF" w14:paraId="7655B7E8" w14:textId="2A4E0DCE" w:rsidTr="008361F4">
        <w:tc>
          <w:tcPr>
            <w:tcW w:w="1497" w:type="dxa"/>
          </w:tcPr>
          <w:p w14:paraId="74A6F932"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{"citationID":"dffmIEC2","properties":{"formattedCitation":"(Dechant {\\i{}et al.}, 2017)","plainCitation":"(Dechant et al., 2017)","noteIndex":0},"citationItems":[{"id":176,"uris":["http://zotero.org/users/local/lNNKczaB/items/ASZR45F9"],"uri":["http://zotero.org/users/local/lNNKczaB/items/ASZR45F9"],"itemData":{"id":176,"type":"article-journal","abstract":"Numerous studies have investigated reflectance-based estimations of physico-chemical leaf traits such as the contents of light absorbing pigments, leaf mass per area, or carbon and nitrogen contents. Only few studies, however, attempted to estimate leaf traits that are more directly linked to photosynthesis. We tested the feasibility of estimating two important photosynthesis traits, the maximum carboxylation capacity (Vcmax,25) and the maximum electron transport rate (Jmax,25), from in-situ leaf reflectance spectra using approaches that are applicable also on larger spatial scales. We conducted measurements of reflectance, CO2 response curves, leaf mass per area (LMA), and nitrogen content per area (Na) for 37 temperate deciduous tree species and a total of 242 leaves from widely differing light environments. Partial least squares (PLS) regression was used to estimate Vcmax,25, Jmax,25, LMA, and Na from reflectance spectra. The results showed that both Vcmax,25 and Jmax,25 can be estimated from leaf reflectance measurements with good accuracy (R2=0.64 for Vcmax,25, R2=0.70 for Jmax,25) even for a large number of tree species and varying light environments. Detailed analysis of reflectance-based PLS and linear regression models with regard to prediction performances and regression coefficients led to the conclusion that the correlation to Na was the dominating mechanism on which the Vcmax,25 and Jmax,25 PLS models were based. The PLS regression coefficients of Na,Vcmax,25 and Jmax,25 showed clear signatures of nitrogen-related absorption features. The finding that Vcmax,25 and Jmax,25 estimations from leaf reflectance are predominantly based on their relationships to Na has important implications for large scale estimations of these photosynthesis parameters. We suggest that future studies should focus more on large scale estimation of Na from remote sensing and estimate Vcmax,25 and Jmax,25 in a separate step using their respective relationships to Na.","container-title":"Remote Sensing of Environment","DOI":"10.1016/j.rse.2017.05.019","ISSN":"0034-4257","journalAbbreviation":"Remote Sensing of Environment","language":"en","page":"279-292","source":"ScienceDirect","title":"Estimation of photosynthesis traits from leaf reflectance spectra: Correlation to nitrogen content as the dominant mechanism","title-short":"Estimation of photosynthesis traits from leaf reflectance spectra","volume":"196","author":[{"family":"Dechant","given":"Benjamin"},{"family":"Cuntz","given":"Matthias"},{"family":"Vohland","given":"Michael"},{"family":"Schulz","given":"Elke"},{"family":"Doktor","given":"Daniel"}],"issued":{"date-parts":[["2017",7,1]]}}}],"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(Dechant </w:t>
            </w:r>
            <w:r w:rsidRPr="001C3251">
              <w:rPr>
                <w:rFonts w:ascii="Calibri" w:hAnsi="Calibri" w:cs="Calibri"/>
                <w:i/>
                <w:iCs/>
                <w:sz w:val="24"/>
                <w:szCs w:val="24"/>
              </w:rPr>
              <w:t>et al.</w:t>
            </w:r>
            <w:r w:rsidRPr="001C3251">
              <w:rPr>
                <w:rFonts w:ascii="Calibri" w:hAnsi="Calibri" w:cs="Calibri"/>
                <w:sz w:val="24"/>
                <w:szCs w:val="24"/>
              </w:rPr>
              <w:t>, 2017)</w:t>
            </w:r>
            <w:r>
              <w:rPr>
                <w:rFonts w:cstheme="minorHAnsi"/>
                <w:sz w:val="24"/>
                <w:szCs w:val="24"/>
              </w:rPr>
              <w:fldChar w:fldCharType="end"/>
            </w:r>
          </w:p>
          <w:p w14:paraId="1E072308" w14:textId="77777777" w:rsidR="007F43BF" w:rsidRDefault="007F43BF" w:rsidP="009E124E">
            <w:pPr>
              <w:rPr>
                <w:rFonts w:cstheme="minorHAnsi"/>
                <w:sz w:val="24"/>
                <w:szCs w:val="24"/>
              </w:rPr>
            </w:pPr>
          </w:p>
        </w:tc>
        <w:tc>
          <w:tcPr>
            <w:tcW w:w="3296" w:type="dxa"/>
          </w:tcPr>
          <w:p w14:paraId="12D7A806" w14:textId="772F6F8C" w:rsidR="007F43BF" w:rsidRDefault="007F43BF" w:rsidP="009E124E">
            <w:pPr>
              <w:rPr>
                <w:rFonts w:cstheme="minorHAnsi"/>
                <w:sz w:val="24"/>
                <w:szCs w:val="24"/>
              </w:rPr>
            </w:pPr>
            <w:r w:rsidRPr="0074196C">
              <w:rPr>
                <w:rFonts w:cstheme="minorHAnsi"/>
                <w:sz w:val="24"/>
                <w:szCs w:val="24"/>
              </w:rPr>
              <w:t>dechant.benjamin@gmail.com</w:t>
            </w:r>
          </w:p>
        </w:tc>
        <w:tc>
          <w:tcPr>
            <w:tcW w:w="5285" w:type="dxa"/>
          </w:tcPr>
          <w:p w14:paraId="4704F79A" w14:textId="4AFBDBDF" w:rsidR="007F43BF" w:rsidRPr="0074196C" w:rsidRDefault="009817B4" w:rsidP="009E124E">
            <w:pPr>
              <w:rPr>
                <w:rFonts w:cstheme="minorHAnsi"/>
                <w:sz w:val="24"/>
                <w:szCs w:val="24"/>
              </w:rPr>
            </w:pPr>
            <w:r>
              <w:rPr>
                <w:rFonts w:cstheme="minorHAnsi"/>
                <w:sz w:val="24"/>
                <w:szCs w:val="24"/>
              </w:rPr>
              <w:t>Not available</w:t>
            </w:r>
          </w:p>
        </w:tc>
        <w:tc>
          <w:tcPr>
            <w:tcW w:w="2872" w:type="dxa"/>
          </w:tcPr>
          <w:p w14:paraId="0F7469BC" w14:textId="3E527FD9" w:rsidR="007F43BF" w:rsidRPr="0074196C" w:rsidRDefault="009817B4" w:rsidP="009E124E">
            <w:pPr>
              <w:rPr>
                <w:rFonts w:cstheme="minorHAnsi"/>
                <w:sz w:val="24"/>
                <w:szCs w:val="24"/>
              </w:rPr>
            </w:pPr>
            <w:r>
              <w:rPr>
                <w:rFonts w:cstheme="minorHAnsi"/>
                <w:sz w:val="24"/>
                <w:szCs w:val="24"/>
              </w:rPr>
              <w:t>DEoptim (A-Ci), manual point selection?</w:t>
            </w:r>
          </w:p>
        </w:tc>
      </w:tr>
      <w:tr w:rsidR="007F43BF" w14:paraId="7D288FF8" w14:textId="0009193B" w:rsidTr="008361F4">
        <w:tc>
          <w:tcPr>
            <w:tcW w:w="1497" w:type="dxa"/>
          </w:tcPr>
          <w:p w14:paraId="6EF6D359"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{"citationID":"YYYhllE3","properties":{"formattedCitation":"(Meacham-Hensold {\\i{}et al.}, 2019)","plainCitation":"(Meacham-Hensold et al., 2019)","noteIndex":0},"citationItems":[{"id":250,"uris":["http://zotero.org/users/local/lNNKczaB/items/D798JLXE"],"uri":["http://zotero.org/users/local/lNNKczaB/items/D798JLXE"],"itemData":{"id":250,"type":"article-journal","container-title":"Remote Sensing of Environment","DOI":"10.1016/j.rse.2019.04.029","note":"publisher: Elsevier BV","page":"111176","title":"High-throughput field phenotyping using hyperspectral reflectance and partial least squares regression (PLSR) reveals genetic modifications to photosynthetic capacity","volume":"231","author":[{"family":"Meacham-Hensold","given":"Katherine"},{"family":"Montes","given":"Christopher M."},{"family":"Wu","given":"Jin"},{"family":"Guan","given":"Kaiyu"},{"family":"Fu","given":"Peng"},{"family":"Ainsworth","given":"Elizabeth A."},{"family":"Pederson","given":"Taylor"},{"family":"Moore","given":"Caitlin E."},{"family":"Brown","given":"Kenny Lee"},{"family":"Raines","given":"Christine"},{"family":"Bernacchi","given":"Carl J."}],"issued":{"date-parts":[["2019",9]]}}}],"schema":"https://github.com/citation-style-language/schema/raw/master/csl-citation.json"}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(Meacham-Hensold </w:t>
            </w:r>
            <w:r w:rsidRPr="001C3251">
              <w:rPr>
                <w:rFonts w:ascii="Calibri" w:hAnsi="Calibri" w:cs="Calibri"/>
                <w:i/>
                <w:iCs/>
                <w:sz w:val="24"/>
                <w:szCs w:val="24"/>
              </w:rPr>
              <w:t>et al.</w:t>
            </w:r>
            <w:r w:rsidRPr="001C3251">
              <w:rPr>
                <w:rFonts w:ascii="Calibri" w:hAnsi="Calibri" w:cs="Calibri"/>
                <w:sz w:val="24"/>
                <w:szCs w:val="24"/>
              </w:rPr>
              <w:t>, 2019)</w:t>
            </w:r>
            <w:r>
              <w:rPr>
                <w:rFonts w:cstheme="minorHAnsi"/>
                <w:sz w:val="24"/>
                <w:szCs w:val="24"/>
              </w:rPr>
              <w:fldChar w:fldCharType="end"/>
            </w:r>
          </w:p>
          <w:p w14:paraId="517D354B" w14:textId="77777777" w:rsidR="007F43BF" w:rsidRDefault="007F43BF" w:rsidP="009E124E">
            <w:pPr>
              <w:rPr>
                <w:rFonts w:cstheme="minorHAnsi"/>
                <w:sz w:val="24"/>
                <w:szCs w:val="24"/>
              </w:rPr>
            </w:pPr>
          </w:p>
        </w:tc>
        <w:tc>
          <w:tcPr>
            <w:tcW w:w="3296" w:type="dxa"/>
          </w:tcPr>
          <w:p w14:paraId="4B725B62" w14:textId="6F832C9A" w:rsidR="007F43BF" w:rsidRDefault="007F43BF" w:rsidP="009E124E">
            <w:pPr>
              <w:rPr>
                <w:rFonts w:cstheme="minorHAnsi"/>
                <w:sz w:val="24"/>
                <w:szCs w:val="24"/>
              </w:rPr>
            </w:pPr>
            <w:r w:rsidRPr="001C3251">
              <w:rPr>
                <w:rFonts w:cstheme="minorHAnsi"/>
                <w:sz w:val="24"/>
                <w:szCs w:val="24"/>
              </w:rPr>
              <w:t>Carl.bernacchi@ars.usda.gov</w:t>
            </w:r>
          </w:p>
        </w:tc>
        <w:tc>
          <w:tcPr>
            <w:tcW w:w="5285" w:type="dxa"/>
          </w:tcPr>
          <w:p w14:paraId="049E0210" w14:textId="57D7D983" w:rsidR="007F43BF" w:rsidRPr="001C3251" w:rsidRDefault="007F43BF" w:rsidP="009E124E">
            <w:pPr>
              <w:rPr>
                <w:rFonts w:cstheme="minorHAnsi"/>
                <w:sz w:val="24"/>
                <w:szCs w:val="24"/>
              </w:rPr>
            </w:pPr>
            <w:r>
              <w:rPr>
                <w:rFonts w:cstheme="minorHAnsi"/>
                <w:sz w:val="24"/>
                <w:szCs w:val="24"/>
              </w:rPr>
              <w:t xml:space="preserve">Available in sup mat. Without raw gasex data. </w:t>
            </w:r>
          </w:p>
        </w:tc>
        <w:tc>
          <w:tcPr>
            <w:tcW w:w="2872" w:type="dxa"/>
          </w:tcPr>
          <w:p w14:paraId="7819AE4B" w14:textId="4B139550" w:rsidR="007F43BF" w:rsidRDefault="007F43BF" w:rsidP="009E124E">
            <w:pPr>
              <w:rPr>
                <w:rFonts w:cstheme="minorHAnsi"/>
                <w:sz w:val="24"/>
                <w:szCs w:val="24"/>
              </w:rPr>
            </w:pPr>
            <w:r>
              <w:rPr>
                <w:rFonts w:cstheme="minorHAnsi"/>
                <w:sz w:val="24"/>
                <w:szCs w:val="24"/>
              </w:rPr>
              <w:t>Sharkey 2007</w:t>
            </w:r>
          </w:p>
        </w:tc>
      </w:tr>
      <w:tr w:rsidR="007F43BF" w14:paraId="51D5A111" w14:textId="0C40667E" w:rsidTr="008361F4">
        <w:tc>
          <w:tcPr>
            <w:tcW w:w="1497" w:type="dxa"/>
          </w:tcPr>
          <w:p w14:paraId="06363486"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{"citationID":"TKw4cWkS","properties":{"formattedCitation":"(Yendrek {\\i{}et al.}, 2017)","plainCitation":"(Yendrek et al., 2017)","noteIndex":0},"citationItems":[{"id":178,"uris":["http://zotero.org/users/local/lNNKczaB/items/KZZUVA52"],"uri":["http://zotero.org/users/local/lNNKczaB/items/KZZUVA52"],"itemData":{"id":178,"type":"article-journal","abstract":"High-throughput, noninvasive field phenotyping has revealed genetic variation in crop morphological, developmental, and agronomic traits, but rapid measurements of the underlying physiological and biochemical traits are needed to fully understand genetic variation in plant-environment interactions. This study tested the application of leaf hyperspectral reflectance (λ = 500–2,400 nm) as a high-throughput phenotyping approach for rapid and accurate assessment of leaf photosynthetic and biochemical traits in maize (Zea mays). Leaf traits were measured with standard wet-laboratory and gas-exchange approaches alongside measurements of leaf reflectance. Partial least-squares regression was used to develop a measure of leaf chlorophyll content, nitrogen content, sucrose content, specific leaf area, maximum rate of phosphoenolpyruvate carboxylation, [CO2]-saturated rate of photosynthesis, and leaf oxygen radical absorbance capacity from leaf reflectance spectra. Partial least-squares regression models accurately predicted five out of seven traits and were more accurate than previously used simple spectral indices for leaf chlorophyll, nitrogen content, and specific leaf area. Correlations among leaf traits and statistical inferences about differences among genotypes and treatments were similar for measured and modeled data. The hyperspectral reflectance approach to phenotyping was dramatically faster than traditional measurements, enabling over 1,000 rows to be phenotyped during midday hours over just 2 to 4 d, and offers a nondestructive method to accurately assess physiological and biochemical trait responses to environmental stress.","container-title":"Plant Physiology","DOI":"10.1104/pp.16.01447","ISSN":"0032-0889, 1532-2548","issue":"1","language":"en","note":"publisher: American Society of Plant Biologists\nsection: Articles\nPMID: 28049858","page":"614-626","source":"www.plantphysiol.org","title":"High-Throughput Phenotyping of Maize Leaf Physiological and Biochemical Traits Using Hyperspectral Reflectance","volume":"173","author":[{"family":"Yendrek","given":"Craig R."},{"family":"Tomaz","given":"Tiago"},{"family":"Montes","given":"Christopher M."},{"family":"Cao","given":"Youyuan"},{"family":"Morse","given":"Alison M."},{"family":"Brown","given":"Patrick J."},{"family":"McIntyre","given":"Lauren M."},{"family":"Leakey","given":"Andrew D. B."},{"family":"Ainsworth","given":"Elizabeth A."}],"issued":{"date-parts":[["2017",1,1]]}}}],"schema":"https://github.com/citation-style-language/schema/raw/master/csl-citation.json"}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(Yendrek </w:t>
            </w:r>
            <w:r w:rsidRPr="001C3251">
              <w:rPr>
                <w:rFonts w:ascii="Calibri" w:hAnsi="Calibri" w:cs="Calibri"/>
                <w:i/>
                <w:iCs/>
                <w:sz w:val="24"/>
                <w:szCs w:val="24"/>
              </w:rPr>
              <w:t>et al.</w:t>
            </w:r>
            <w:r w:rsidRPr="001C3251">
              <w:rPr>
                <w:rFonts w:ascii="Calibri" w:hAnsi="Calibri" w:cs="Calibri"/>
                <w:sz w:val="24"/>
                <w:szCs w:val="24"/>
              </w:rPr>
              <w:t>, 2017)</w:t>
            </w:r>
            <w:r>
              <w:rPr>
                <w:rFonts w:cstheme="minorHAnsi"/>
                <w:sz w:val="24"/>
                <w:szCs w:val="24"/>
              </w:rPr>
              <w:fldChar w:fldCharType="end"/>
            </w:r>
          </w:p>
          <w:p w14:paraId="03B59326" w14:textId="77777777" w:rsidR="007F43BF" w:rsidRDefault="007F43BF" w:rsidP="009E124E">
            <w:pPr>
              <w:rPr>
                <w:rFonts w:cstheme="minorHAnsi"/>
                <w:sz w:val="24"/>
                <w:szCs w:val="24"/>
              </w:rPr>
            </w:pPr>
          </w:p>
        </w:tc>
        <w:tc>
          <w:tcPr>
            <w:tcW w:w="3296" w:type="dxa"/>
          </w:tcPr>
          <w:p w14:paraId="67DAD977" w14:textId="2356CDBB" w:rsidR="007F43BF" w:rsidRDefault="007F43BF" w:rsidP="009E124E">
            <w:pPr>
              <w:rPr>
                <w:rFonts w:cstheme="minorHAnsi"/>
                <w:sz w:val="24"/>
                <w:szCs w:val="24"/>
              </w:rPr>
            </w:pPr>
            <w:r w:rsidRPr="0074196C">
              <w:rPr>
                <w:rFonts w:cstheme="minorHAnsi"/>
                <w:sz w:val="24"/>
                <w:szCs w:val="24"/>
              </w:rPr>
              <w:t>lisa.ainsworth@ars.usda.gov</w:t>
            </w:r>
          </w:p>
        </w:tc>
        <w:tc>
          <w:tcPr>
            <w:tcW w:w="5285" w:type="dxa"/>
          </w:tcPr>
          <w:p w14:paraId="73EA6302" w14:textId="5BDD95CF" w:rsidR="007F43BF" w:rsidRPr="0074196C" w:rsidRDefault="00D46A13" w:rsidP="009E124E">
            <w:pPr>
              <w:rPr>
                <w:rFonts w:cstheme="minorHAnsi"/>
                <w:sz w:val="24"/>
                <w:szCs w:val="24"/>
              </w:rPr>
            </w:pPr>
            <w:r>
              <w:rPr>
                <w:rFonts w:cstheme="minorHAnsi"/>
                <w:sz w:val="24"/>
                <w:szCs w:val="24"/>
              </w:rPr>
              <w:t>Available in sup mat. Without raw gasex data</w:t>
            </w:r>
          </w:p>
        </w:tc>
        <w:tc>
          <w:tcPr>
            <w:tcW w:w="2872" w:type="dxa"/>
          </w:tcPr>
          <w:p w14:paraId="1DA8989D" w14:textId="17ECDE42" w:rsidR="007F43BF" w:rsidRPr="0074196C" w:rsidRDefault="00D46A13" w:rsidP="009E124E">
            <w:pPr>
              <w:rPr>
                <w:rFonts w:cstheme="minorHAnsi"/>
                <w:sz w:val="24"/>
                <w:szCs w:val="24"/>
              </w:rPr>
            </w:pPr>
            <w:r>
              <w:rPr>
                <w:rFonts w:cstheme="minorHAnsi"/>
                <w:sz w:val="24"/>
                <w:szCs w:val="24"/>
              </w:rPr>
              <w:t>Other (hyperbolar function)</w:t>
            </w:r>
          </w:p>
        </w:tc>
      </w:tr>
      <w:tr w:rsidR="007F43BF" w14:paraId="685572D0" w14:textId="67F37249" w:rsidTr="008361F4">
        <w:tc>
          <w:tcPr>
            <w:tcW w:w="1497" w:type="dxa"/>
          </w:tcPr>
          <w:p w14:paraId="757FABDD" w14:textId="119FAE04"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{"citationID":"vYdskL4P","properties":{"formattedCitation":"(Qian {\\i{}et al.}, 2019)","plainCitation":"(Qian et al., 2019)","noteIndex":0},"citationItems":[{"id":252,"uris":["http://zotero.org/users/local/lNNKczaB/items/FI6KTM5X"],"uri":["http://zotero.org/users/local/lNNKczaB/items/FI6KTM5X"],"itemData":{"id":252,"type":"article-journal","container-title":"International Journal of Remote Sensing","DOI":"10.1080/01431161.2019.1579940","issue":"14","note":"publisher: Informa UK Limited","page":"5411–5428","title":"Exploring the potential of leaf reflectance spectra for retrieving the leaf maximum carboxylation rate","volume":"40","author":[{"family":"Qian","given":"Xiaojin"},{"family":"Zhang","given":"Yongjiang"},{"family":"Liu","given":"Liangyun"},{"family":"Du","given":"Shanshan"}],"issued":{"date-parts":[["2019",2]]}}}],"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(Qian </w:t>
            </w:r>
            <w:r w:rsidRPr="001C3251">
              <w:rPr>
                <w:rFonts w:ascii="Calibri" w:hAnsi="Calibri" w:cs="Calibri"/>
                <w:i/>
                <w:iCs/>
                <w:sz w:val="24"/>
                <w:szCs w:val="24"/>
              </w:rPr>
              <w:t>et al.</w:t>
            </w:r>
            <w:r w:rsidRPr="001C3251">
              <w:rPr>
                <w:rFonts w:ascii="Calibri" w:hAnsi="Calibri" w:cs="Calibri"/>
                <w:sz w:val="24"/>
                <w:szCs w:val="24"/>
              </w:rPr>
              <w:t>, 2019)</w:t>
            </w:r>
            <w:r>
              <w:rPr>
                <w:rFonts w:cstheme="minorHAnsi"/>
                <w:sz w:val="24"/>
                <w:szCs w:val="24"/>
              </w:rPr>
              <w:fldChar w:fldCharType="end"/>
            </w:r>
          </w:p>
        </w:tc>
        <w:tc>
          <w:tcPr>
            <w:tcW w:w="3296" w:type="dxa"/>
          </w:tcPr>
          <w:p w14:paraId="3DF12CEE" w14:textId="4B4912EF" w:rsidR="007F43BF" w:rsidRDefault="007F43BF" w:rsidP="009E124E">
            <w:pPr>
              <w:rPr>
                <w:rFonts w:cstheme="minorHAnsi"/>
                <w:sz w:val="24"/>
                <w:szCs w:val="24"/>
              </w:rPr>
            </w:pPr>
            <w:r w:rsidRPr="0074196C">
              <w:rPr>
                <w:rFonts w:cstheme="minorHAnsi"/>
                <w:sz w:val="24"/>
                <w:szCs w:val="24"/>
              </w:rPr>
              <w:t>liuly@radi.ac.cn</w:t>
            </w:r>
          </w:p>
        </w:tc>
        <w:tc>
          <w:tcPr>
            <w:tcW w:w="5285" w:type="dxa"/>
          </w:tcPr>
          <w:p w14:paraId="50F08FDD" w14:textId="75E0EB75" w:rsidR="007F43BF" w:rsidRPr="0074196C" w:rsidRDefault="00BD1DCA" w:rsidP="009E124E">
            <w:pPr>
              <w:rPr>
                <w:rFonts w:cstheme="minorHAnsi"/>
                <w:sz w:val="24"/>
                <w:szCs w:val="24"/>
              </w:rPr>
            </w:pPr>
            <w:r>
              <w:rPr>
                <w:rFonts w:cstheme="minorHAnsi"/>
                <w:sz w:val="24"/>
                <w:szCs w:val="24"/>
              </w:rPr>
              <w:t>Not available</w:t>
            </w:r>
          </w:p>
        </w:tc>
        <w:tc>
          <w:tcPr>
            <w:tcW w:w="2872" w:type="dxa"/>
          </w:tcPr>
          <w:p w14:paraId="01743DA7" w14:textId="09886F12" w:rsidR="007F43BF" w:rsidRPr="0074196C" w:rsidRDefault="00BD1DCA" w:rsidP="009E124E">
            <w:pPr>
              <w:rPr>
                <w:rFonts w:cstheme="minorHAnsi"/>
                <w:sz w:val="24"/>
                <w:szCs w:val="24"/>
              </w:rPr>
            </w:pPr>
            <w:r>
              <w:rPr>
                <w:rFonts w:cstheme="minorHAnsi"/>
                <w:sz w:val="24"/>
                <w:szCs w:val="24"/>
              </w:rPr>
              <w:t>fitaci (plantecophys)</w:t>
            </w:r>
          </w:p>
        </w:tc>
      </w:tr>
      <w:tr w:rsidR="008361F4" w14:paraId="4B7466FB" w14:textId="636DEF0E" w:rsidTr="008361F4">
        <w:tc>
          <w:tcPr>
            <w:tcW w:w="1497" w:type="dxa"/>
          </w:tcPr>
          <w:p w14:paraId="2B87B0D6" w14:textId="6E908B95"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{"citationID":"Ip0FizD4","properties":{"formattedCitation":"(Kothari {\\i{}et al.}, 2021)","plainCitation":"(Kothari et al., 2021)","noteIndex":0},"citationItems":[{"id":591,"uris":["http://zotero.org/users/local/lNNKczaB/items/UNCV3J3X"],"uri":["http://zotero.org/users/local/lNNKczaB/items/UNCV3J3X"],"itemData":{"id":591,"type":"article-journal","DOI":"10.1101/2021.04.21.440856","note":"publisher: Cold Spring Harbor Laboratory","title":"Reflectance spectroscopy allows rapid, accurate, and non-destructive estimates of functional traits from pressed leaves","URL":"https://doi.org/10.1101%2F2021.04.21.440856","author":[{"family":"Kothari","given":"Shan"},{"family":"Beauchamp-Rioux","given":"Rosalie"},{"family":"Laliberté","given":"Etienne"},{"family":"Cavender-Bares","given":"Jeannine"}],"issued":{"date-parts":[["2021",4]]}}}],"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(Kothari </w:t>
            </w:r>
            <w:r w:rsidRPr="001C3251">
              <w:rPr>
                <w:rFonts w:ascii="Calibri" w:hAnsi="Calibri" w:cs="Calibri"/>
                <w:i/>
                <w:iCs/>
                <w:sz w:val="24"/>
                <w:szCs w:val="24"/>
              </w:rPr>
              <w:t>et al.</w:t>
            </w:r>
            <w:r w:rsidRPr="001C3251">
              <w:rPr>
                <w:rFonts w:ascii="Calibri" w:hAnsi="Calibri" w:cs="Calibri"/>
                <w:sz w:val="24"/>
                <w:szCs w:val="24"/>
              </w:rPr>
              <w:t>, 2021)</w:t>
            </w:r>
            <w:r>
              <w:rPr>
                <w:rFonts w:cstheme="minorHAnsi"/>
                <w:sz w:val="24"/>
                <w:szCs w:val="24"/>
              </w:rPr>
              <w:fldChar w:fldCharType="end"/>
            </w:r>
          </w:p>
        </w:tc>
        <w:tc>
          <w:tcPr>
            <w:tcW w:w="3296" w:type="dxa"/>
          </w:tcPr>
          <w:p w14:paraId="0F97BE83" w14:textId="77EABB2A" w:rsidR="008361F4" w:rsidRDefault="008361F4" w:rsidP="008361F4">
            <w:pPr>
              <w:rPr>
                <w:rFonts w:cstheme="minorHAnsi"/>
                <w:sz w:val="24"/>
                <w:szCs w:val="24"/>
              </w:rPr>
            </w:pPr>
            <w:r w:rsidRPr="001C3251">
              <w:rPr>
                <w:rFonts w:cstheme="minorHAnsi"/>
                <w:sz w:val="24"/>
                <w:szCs w:val="24"/>
              </w:rPr>
              <w:t>shan.kothari@umontreal.ca</w:t>
            </w:r>
          </w:p>
        </w:tc>
        <w:tc>
          <w:tcPr>
            <w:tcW w:w="5285" w:type="dxa"/>
          </w:tcPr>
          <w:p w14:paraId="258F2D39" w14:textId="69B1FB41" w:rsidR="008361F4" w:rsidRPr="001C3251" w:rsidRDefault="008361F4" w:rsidP="008361F4">
            <w:pPr>
              <w:rPr>
                <w:rFonts w:cstheme="minorHAnsi"/>
                <w:sz w:val="24"/>
                <w:szCs w:val="24"/>
              </w:rPr>
            </w:pPr>
            <w:r>
              <w:rPr>
                <w:rFonts w:cstheme="minorHAnsi"/>
                <w:sz w:val="24"/>
                <w:szCs w:val="24"/>
              </w:rPr>
              <w:t>(Not relevant directly for Vcmax, but maybe good contact)</w:t>
            </w:r>
          </w:p>
        </w:tc>
        <w:tc>
          <w:tcPr>
            <w:tcW w:w="2872" w:type="dxa"/>
          </w:tcPr>
          <w:p w14:paraId="0B78DF8E" w14:textId="4A86FD5E" w:rsidR="008361F4" w:rsidRPr="001C3251" w:rsidRDefault="008361F4" w:rsidP="008361F4">
            <w:pPr>
              <w:rPr>
                <w:rFonts w:cstheme="minorHAnsi"/>
                <w:sz w:val="24"/>
                <w:szCs w:val="24"/>
              </w:rPr>
            </w:pPr>
          </w:p>
        </w:tc>
      </w:tr>
      <w:tr w:rsidR="008361F4" w14:paraId="000CA065" w14:textId="37250601" w:rsidTr="008361F4">
        <w:tc>
          <w:tcPr>
            <w:tcW w:w="1497" w:type="dxa"/>
          </w:tcPr>
          <w:p w14:paraId="19E6B2A5" w14:textId="2F69B913"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{"citationID":"DMJNdZHb","properties":{"formattedCitation":"(Wang {\\i{}et al.}, 2020)","plainCitation":"(Wang et al., 2020)","noteIndex":0},"citationItems":[{"id":265,"uris":["http://zotero.org/users/local/lNNKczaB/items/I9PZ3G9K"],"uri":["http://zotero.org/users/local/lNNKczaB/items/I9PZ3G9K"],"itemData":{"id":265,"type":"article-journal","container-title":"Journal of Experimental Botany","DOI":"10.1093/jxb/eraa432","note":"publisher: Oxford University Press (OUP)","title":"Unique contributions of chlorophyll and nitrogen to predict crop photosynthetic capacity from leaf spectroscopy","URL":"https://doi.org/10.1093%2Fjxb%2Feraa432","author":[{"family":"Wang","given":"Sheng"},{"family":"Guan","given":"Kaiyu"},{"family":"Wang","given":"Zhihui"},{"family":"Ainsworth","given":"Elizabeth A."},{"family":"Zheng","given":"Ting"},{"family":"Townsend","given":"Philip A."},{"family":"Li","given":"Kaiyuan"},{"family":"Moller","given":"Christopher"},{"family":"Wu","given":"Genghong"},{"family":"Jiang","given":"Chongya"}],"editor":[{"family":"Lawson","given":"Tracy"}],"issued":{"date-parts":[["2020",9]]}}}],"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(Wang </w:t>
            </w:r>
            <w:r w:rsidRPr="001C3251">
              <w:rPr>
                <w:rFonts w:ascii="Calibri" w:hAnsi="Calibri" w:cs="Calibri"/>
                <w:i/>
                <w:iCs/>
                <w:sz w:val="24"/>
                <w:szCs w:val="24"/>
              </w:rPr>
              <w:t>et al.</w:t>
            </w:r>
            <w:r w:rsidRPr="001C3251">
              <w:rPr>
                <w:rFonts w:ascii="Calibri" w:hAnsi="Calibri" w:cs="Calibri"/>
                <w:sz w:val="24"/>
                <w:szCs w:val="24"/>
              </w:rPr>
              <w:t>, 2020)</w:t>
            </w:r>
            <w:r>
              <w:rPr>
                <w:rFonts w:cstheme="minorHAnsi"/>
                <w:sz w:val="24"/>
                <w:szCs w:val="24"/>
              </w:rPr>
              <w:fldChar w:fldCharType="end"/>
            </w:r>
          </w:p>
        </w:tc>
        <w:tc>
          <w:tcPr>
            <w:tcW w:w="3296" w:type="dxa"/>
          </w:tcPr>
          <w:p w14:paraId="42603636" w14:textId="5B617C4F" w:rsidR="008361F4" w:rsidRPr="001C3251" w:rsidRDefault="008361F4" w:rsidP="008361F4">
            <w:pPr>
              <w:rPr>
                <w:rFonts w:cstheme="minorHAnsi"/>
                <w:sz w:val="24"/>
                <w:szCs w:val="24"/>
              </w:rPr>
            </w:pPr>
            <w:hyperlink r:id="rId5" w:history="1">
              <w:r w:rsidRPr="001C3251">
                <w:t>kaiyug@illinois.edu</w:t>
              </w:r>
            </w:hyperlink>
            <w:r>
              <w:rPr>
                <w:rFonts w:cstheme="minorHAnsi"/>
                <w:sz w:val="24"/>
                <w:szCs w:val="24"/>
              </w:rPr>
              <w:t xml:space="preserve"> </w:t>
            </w:r>
            <w:r w:rsidRPr="001C3251">
              <w:rPr>
                <w:rFonts w:cstheme="minorHAnsi"/>
                <w:sz w:val="24"/>
                <w:szCs w:val="24"/>
              </w:rPr>
              <w:t>shengwang12@gmail.com</w:t>
            </w:r>
          </w:p>
        </w:tc>
        <w:tc>
          <w:tcPr>
            <w:tcW w:w="5285" w:type="dxa"/>
          </w:tcPr>
          <w:p w14:paraId="61AD8930" w14:textId="4A9B987D" w:rsidR="008361F4" w:rsidRDefault="008361F4" w:rsidP="008361F4">
            <w:r>
              <w:t>Available in sup mat</w:t>
            </w:r>
            <w:r>
              <w:rPr>
                <w:rFonts w:cstheme="minorHAnsi"/>
                <w:sz w:val="24"/>
                <w:szCs w:val="24"/>
              </w:rPr>
              <w:t>. Without raw gasex data</w:t>
            </w:r>
          </w:p>
        </w:tc>
        <w:tc>
          <w:tcPr>
            <w:tcW w:w="2872" w:type="dxa"/>
          </w:tcPr>
          <w:p w14:paraId="22642FC7" w14:textId="75175A26" w:rsidR="008361F4" w:rsidRDefault="008361F4" w:rsidP="008361F4">
            <w:r>
              <w:rPr>
                <w:rFonts w:cstheme="minorHAnsi"/>
                <w:sz w:val="24"/>
                <w:szCs w:val="24"/>
              </w:rPr>
              <w:t>Other (hyperbolar function)</w:t>
            </w:r>
          </w:p>
        </w:tc>
      </w:tr>
      <w:tr w:rsidR="008361F4" w14:paraId="3460ECC0" w14:textId="7889AFD8" w:rsidTr="008361F4">
        <w:tc>
          <w:tcPr>
            <w:tcW w:w="1497" w:type="dxa"/>
          </w:tcPr>
          <w:p w14:paraId="3E5143DD" w14:textId="14C7FCBB"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{"citationID":"FPtob6NN","properties":{"formattedCitation":"(Khan {\\i{}et al.}, 2020)","plainCitation":"(Khan et al., 2020)","noteIndex":0},"citationItems":[{"id":592,"uris":["http://zotero.org/users/local/lNNKczaB/items/RVNNZP8F"],"uri":["http://zotero.org/users/local/lNNKczaB/items/RVNNZP8F"],"itemData":{"id":592,"type":"article-journal","DOI":"10.1101/2020.05.21.109652","note":"publisher: Cold Spring Harbor Laboratory","title":"Effect of leaf temperature on estimating physiological traits of wheat leaves from hyperspectral reflectance","URL":"https://doi.org/10.1101%2F2020.05.21.109652","author":[{"family":"Khan","given":"Hammad A."},{"family":"Nakamura","given":"Yukiko"},{"family":"Furbank","given":"Robert T."},{"family":"Evans","given":"John R."}],"issued":{"date-parts":[["2020",5]]}}}],"schema":"https://github.com/citation-style-language/schema/raw/master/csl-citation.json"} </w:instrText>
            </w:r>
            <w:r>
              <w:rPr>
                <w:rFonts w:cstheme="minorHAnsi"/>
                <w:sz w:val="24"/>
                <w:szCs w:val="24"/>
              </w:rPr>
              <w:fldChar w:fldCharType="separate"/>
            </w:r>
            <w:r w:rsidRPr="0074196C">
              <w:rPr>
                <w:rFonts w:ascii="Calibri" w:hAnsi="Calibri" w:cs="Calibri"/>
                <w:sz w:val="24"/>
                <w:szCs w:val="24"/>
              </w:rPr>
              <w:t xml:space="preserve">(Khan </w:t>
            </w:r>
            <w:r w:rsidRPr="0074196C">
              <w:rPr>
                <w:rFonts w:ascii="Calibri" w:hAnsi="Calibri" w:cs="Calibri"/>
                <w:i/>
                <w:iCs/>
                <w:sz w:val="24"/>
                <w:szCs w:val="24"/>
              </w:rPr>
              <w:t>et al.</w:t>
            </w:r>
            <w:r w:rsidRPr="0074196C">
              <w:rPr>
                <w:rFonts w:ascii="Calibri" w:hAnsi="Calibri" w:cs="Calibri"/>
                <w:sz w:val="24"/>
                <w:szCs w:val="24"/>
              </w:rPr>
              <w:t>, 2020)</w:t>
            </w:r>
            <w:r>
              <w:rPr>
                <w:rFonts w:cstheme="minorHAnsi"/>
                <w:sz w:val="24"/>
                <w:szCs w:val="24"/>
              </w:rPr>
              <w:fldChar w:fldCharType="end"/>
            </w:r>
          </w:p>
        </w:tc>
        <w:tc>
          <w:tcPr>
            <w:tcW w:w="3296" w:type="dxa"/>
          </w:tcPr>
          <w:p w14:paraId="4EA53EA4" w14:textId="5706009D" w:rsidR="008361F4" w:rsidRPr="001C3251" w:rsidRDefault="008361F4" w:rsidP="008361F4">
            <w:pPr>
              <w:rPr>
                <w:rFonts w:cstheme="minorHAnsi"/>
                <w:sz w:val="24"/>
                <w:szCs w:val="24"/>
              </w:rPr>
            </w:pPr>
            <w:r w:rsidRPr="0074196C">
              <w:rPr>
                <w:rFonts w:cstheme="minorHAnsi"/>
                <w:sz w:val="24"/>
                <w:szCs w:val="24"/>
              </w:rPr>
              <w:t>John.Evans@anu.edu.au</w:t>
            </w:r>
          </w:p>
        </w:tc>
        <w:tc>
          <w:tcPr>
            <w:tcW w:w="5285" w:type="dxa"/>
          </w:tcPr>
          <w:p w14:paraId="7338BBFA" w14:textId="07AABA05" w:rsidR="008361F4" w:rsidRPr="0074196C" w:rsidRDefault="008361F4" w:rsidP="008361F4">
            <w:pPr>
              <w:rPr>
                <w:rFonts w:cstheme="minorHAnsi"/>
                <w:sz w:val="24"/>
                <w:szCs w:val="24"/>
              </w:rPr>
            </w:pPr>
            <w:r>
              <w:rPr>
                <w:rFonts w:cstheme="minorHAnsi"/>
                <w:sz w:val="24"/>
                <w:szCs w:val="24"/>
              </w:rPr>
              <w:t>Upon request</w:t>
            </w:r>
          </w:p>
        </w:tc>
        <w:tc>
          <w:tcPr>
            <w:tcW w:w="2872" w:type="dxa"/>
          </w:tcPr>
          <w:p w14:paraId="552BE768" w14:textId="37B2D265" w:rsidR="008361F4" w:rsidRPr="0074196C" w:rsidRDefault="008361F4" w:rsidP="008361F4">
            <w:pPr>
              <w:rPr>
                <w:rFonts w:cstheme="minorHAnsi"/>
                <w:sz w:val="24"/>
                <w:szCs w:val="24"/>
              </w:rPr>
            </w:pPr>
            <w:r>
              <w:rPr>
                <w:rFonts w:cstheme="minorHAnsi"/>
                <w:sz w:val="24"/>
                <w:szCs w:val="24"/>
              </w:rPr>
              <w:t>FvCB model but not detailed</w:t>
            </w:r>
          </w:p>
        </w:tc>
      </w:tr>
      <w:tr w:rsidR="008361F4" w14:paraId="67E2CCB9" w14:textId="10595707" w:rsidTr="008361F4">
        <w:tc>
          <w:tcPr>
            <w:tcW w:w="1497" w:type="dxa"/>
          </w:tcPr>
          <w:p w14:paraId="7E7796B4" w14:textId="7EFC79E2" w:rsidR="008361F4" w:rsidRDefault="008361F4" w:rsidP="008361F4">
            <w:pPr>
              <w:rPr>
                <w:rFonts w:cstheme="minorHAnsi"/>
                <w:sz w:val="24"/>
                <w:szCs w:val="24"/>
              </w:rPr>
            </w:pPr>
            <w:r>
              <w:rPr>
                <w:rFonts w:cstheme="minorHAnsi"/>
                <w:sz w:val="24"/>
                <w:szCs w:val="24"/>
              </w:rPr>
              <w:lastRenderedPageBreak/>
              <w:fldChar w:fldCharType="begin"/>
            </w:r>
            <w:r>
              <w:rPr>
                <w:rFonts w:cstheme="minorHAnsi"/>
                <w:sz w:val="24"/>
                <w:szCs w:val="24"/>
              </w:rPr>
              <w:instrText xml:space="preserve"> ADDIN ZOTERO_ITEM CSL_CITATION {"citationID":"muzMEDo7","properties":{"formattedCitation":"(Cheng {\\i{}et al.}, 2020)","plainCitation":"(Cheng et al., 2020)","noteIndex":0},"citationItems":[{"id":593,"uris":["http://zotero.org/users/local/lNNKczaB/items/WG66AC2C"],"uri":["http://zotero.org/users/local/lNNKczaB/items/WG66AC2C"],"itemData":{"id":593,"type":"article-journal","container-title":"Biogeosciences","DOI":"10.5194/bg-17-4523-2020","issue":"18","note":"publisher: Copernicus GmbH","page":"4523–4544","title":"Decomposing reflectance spectra to track gross primary production in a subalpine evergreen forest","volume":"17","author":[{"family":"Cheng","given":"Rui"},{"family":"Magney","given":"Troy S."},{"family":"Dutta","given":"Debsunder"},{"family":"Bowling","given":"David R."},{"family":"Logan","given":"Barry A."},{"family":"Burns","given":"Sean P."},{"family":"Blanken","given":"Peter D."},{"family":"Grossmann","given":"Katja"},{"family":"Lopez","given":"Sophia"},{"family":"Richardson","given":"Andrew D."},{"family":"Stutz","given":"Jochen"},{"family":"Frankenberg","given":"Christian"}],"issued":{"date-parts":[["2020",9]]}}}],"schema":"https://github.com/citation-style-language/schema/raw/master/csl-citation.json"} </w:instrText>
            </w:r>
            <w:r>
              <w:rPr>
                <w:rFonts w:cstheme="minorHAnsi"/>
                <w:sz w:val="24"/>
                <w:szCs w:val="24"/>
              </w:rPr>
              <w:fldChar w:fldCharType="separate"/>
            </w:r>
            <w:r w:rsidRPr="0074196C">
              <w:rPr>
                <w:rFonts w:ascii="Calibri" w:hAnsi="Calibri" w:cs="Calibri"/>
                <w:sz w:val="24"/>
                <w:szCs w:val="24"/>
              </w:rPr>
              <w:t xml:space="preserve">(Cheng </w:t>
            </w:r>
            <w:r w:rsidRPr="0074196C">
              <w:rPr>
                <w:rFonts w:ascii="Calibri" w:hAnsi="Calibri" w:cs="Calibri"/>
                <w:i/>
                <w:iCs/>
                <w:sz w:val="24"/>
                <w:szCs w:val="24"/>
              </w:rPr>
              <w:t>et al.</w:t>
            </w:r>
            <w:r w:rsidRPr="0074196C">
              <w:rPr>
                <w:rFonts w:ascii="Calibri" w:hAnsi="Calibri" w:cs="Calibri"/>
                <w:sz w:val="24"/>
                <w:szCs w:val="24"/>
              </w:rPr>
              <w:t>, 2020)</w:t>
            </w:r>
            <w:r>
              <w:rPr>
                <w:rFonts w:cstheme="minorHAnsi"/>
                <w:sz w:val="24"/>
                <w:szCs w:val="24"/>
              </w:rPr>
              <w:fldChar w:fldCharType="end"/>
            </w:r>
          </w:p>
        </w:tc>
        <w:tc>
          <w:tcPr>
            <w:tcW w:w="3296" w:type="dxa"/>
          </w:tcPr>
          <w:p w14:paraId="4CDD7BCA" w14:textId="32FF7332" w:rsidR="008361F4" w:rsidRPr="0074196C" w:rsidRDefault="008361F4" w:rsidP="008361F4">
            <w:pPr>
              <w:rPr>
                <w:rFonts w:cstheme="minorHAnsi"/>
                <w:sz w:val="24"/>
                <w:szCs w:val="24"/>
              </w:rPr>
            </w:pPr>
            <w:r w:rsidRPr="0074196C">
              <w:rPr>
                <w:rFonts w:cstheme="minorHAnsi"/>
                <w:sz w:val="24"/>
                <w:szCs w:val="24"/>
              </w:rPr>
              <w:t>rui.cheng@caltech.edu franken@caltech.edu</w:t>
            </w:r>
          </w:p>
        </w:tc>
        <w:tc>
          <w:tcPr>
            <w:tcW w:w="5285" w:type="dxa"/>
          </w:tcPr>
          <w:p w14:paraId="5511CF1B" w14:textId="1B17A377" w:rsidR="008361F4" w:rsidRPr="0074196C" w:rsidRDefault="008361F4" w:rsidP="008361F4">
            <w:pPr>
              <w:rPr>
                <w:rFonts w:cstheme="minorHAnsi"/>
                <w:sz w:val="24"/>
                <w:szCs w:val="24"/>
              </w:rPr>
            </w:pPr>
            <w:r>
              <w:rPr>
                <w:rFonts w:cstheme="minorHAnsi"/>
                <w:sz w:val="24"/>
                <w:szCs w:val="24"/>
              </w:rPr>
              <w:t>(Not relevant directly for Vcmax, but maybe good contact)</w:t>
            </w:r>
          </w:p>
        </w:tc>
        <w:tc>
          <w:tcPr>
            <w:tcW w:w="2872" w:type="dxa"/>
          </w:tcPr>
          <w:p w14:paraId="4E6C5DA4" w14:textId="77777777" w:rsidR="008361F4" w:rsidRPr="0074196C" w:rsidRDefault="008361F4" w:rsidP="008361F4">
            <w:pPr>
              <w:rPr>
                <w:rFonts w:cstheme="minorHAnsi"/>
                <w:sz w:val="24"/>
                <w:szCs w:val="24"/>
              </w:rPr>
            </w:pPr>
          </w:p>
        </w:tc>
      </w:tr>
      <w:tr w:rsidR="008361F4" w14:paraId="0E1DF869" w14:textId="2E513BF7" w:rsidTr="008361F4">
        <w:tc>
          <w:tcPr>
            <w:tcW w:w="1497" w:type="dxa"/>
          </w:tcPr>
          <w:p w14:paraId="73A57514" w14:textId="6A387A0D"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{"citationID":"cr74T9fY","properties":{"formattedCitation":"(Fu {\\i{}et al.}, 2019)","plainCitation":"(Fu et al., 2019)","noteIndex":0},"citationItems":[{"id":594,"uris":["http://zotero.org/users/local/lNNKczaB/items/5LDSELQF"],"uri":["http://zotero.org/users/local/lNNKczaB/items/5LDSELQF"],"itemData":{"id":594,"type":"article-journal","container-title":"Frontiers in Plant Science","DOI":"10.3389/fpls.2019.00730","note":"publisher: Frontiers Media SA","title":"Hyperspectral Leaf Reflectance as Proxy for Photosynthetic Capacities: An Ensemble Approach Based on Multiple Machine Learning Algorithms","URL":"https://doi.org/10.3389%2Ffpls.2019.00730","volume":"10","author":[{"family":"Fu","given":"Peng"},{"family":"Meacham-Hensold","given":"Katherine"},{"family":"Guan","given":"Kaiyu"},{"family":"Bernacchi","given":"Carl J."}],"issued":{"date-parts":[["2019",6]]}}}],"schema":"https://github.com/citation-style-language/schema/raw/master/csl-citation.json"} </w:instrText>
            </w:r>
            <w:r>
              <w:rPr>
                <w:rFonts w:cstheme="minorHAnsi"/>
                <w:sz w:val="24"/>
                <w:szCs w:val="24"/>
              </w:rPr>
              <w:fldChar w:fldCharType="separate"/>
            </w:r>
            <w:r w:rsidRPr="0074196C">
              <w:rPr>
                <w:rFonts w:ascii="Calibri" w:hAnsi="Calibri" w:cs="Calibri"/>
                <w:sz w:val="24"/>
                <w:szCs w:val="24"/>
              </w:rPr>
              <w:t xml:space="preserve">(Fu </w:t>
            </w:r>
            <w:r w:rsidRPr="0074196C">
              <w:rPr>
                <w:rFonts w:ascii="Calibri" w:hAnsi="Calibri" w:cs="Calibri"/>
                <w:i/>
                <w:iCs/>
                <w:sz w:val="24"/>
                <w:szCs w:val="24"/>
              </w:rPr>
              <w:t>et al.</w:t>
            </w:r>
            <w:r w:rsidRPr="0074196C">
              <w:rPr>
                <w:rFonts w:ascii="Calibri" w:hAnsi="Calibri" w:cs="Calibri"/>
                <w:sz w:val="24"/>
                <w:szCs w:val="24"/>
              </w:rPr>
              <w:t>, 2019)</w:t>
            </w:r>
            <w:r>
              <w:rPr>
                <w:rFonts w:cstheme="minorHAnsi"/>
                <w:sz w:val="24"/>
                <w:szCs w:val="24"/>
              </w:rPr>
              <w:fldChar w:fldCharType="end"/>
            </w:r>
          </w:p>
        </w:tc>
        <w:tc>
          <w:tcPr>
            <w:tcW w:w="3296" w:type="dxa"/>
          </w:tcPr>
          <w:p w14:paraId="2D897A1A" w14:textId="3CBD3452" w:rsidR="008361F4" w:rsidRPr="0074196C" w:rsidRDefault="008361F4" w:rsidP="008361F4">
            <w:pPr>
              <w:rPr>
                <w:rFonts w:cstheme="minorHAnsi"/>
                <w:sz w:val="24"/>
                <w:szCs w:val="24"/>
              </w:rPr>
            </w:pPr>
            <w:r w:rsidRPr="001C3251">
              <w:rPr>
                <w:rFonts w:cstheme="minorHAnsi"/>
                <w:sz w:val="24"/>
                <w:szCs w:val="24"/>
              </w:rPr>
              <w:t>Carl.bernacchi@ars.usda.gov</w:t>
            </w:r>
          </w:p>
        </w:tc>
        <w:tc>
          <w:tcPr>
            <w:tcW w:w="5285" w:type="dxa"/>
          </w:tcPr>
          <w:p w14:paraId="558DF909" w14:textId="777C3A80" w:rsidR="008361F4" w:rsidRPr="001C3251" w:rsidRDefault="008361F4" w:rsidP="008361F4">
            <w:pPr>
              <w:rPr>
                <w:rFonts w:cstheme="minorHAnsi"/>
                <w:sz w:val="24"/>
                <w:szCs w:val="24"/>
              </w:rPr>
            </w:pPr>
            <w:r>
              <w:rPr>
                <w:rFonts w:cstheme="minorHAnsi"/>
                <w:sz w:val="24"/>
                <w:szCs w:val="24"/>
              </w:rPr>
              <w:t>Available from Meacham et al. 2019</w:t>
            </w:r>
          </w:p>
        </w:tc>
        <w:tc>
          <w:tcPr>
            <w:tcW w:w="2872" w:type="dxa"/>
          </w:tcPr>
          <w:p w14:paraId="7D762EF8" w14:textId="17F5D7FA" w:rsidR="008361F4" w:rsidRPr="001C3251" w:rsidRDefault="008361F4" w:rsidP="008361F4">
            <w:pPr>
              <w:rPr>
                <w:rFonts w:cstheme="minorHAnsi"/>
                <w:sz w:val="24"/>
                <w:szCs w:val="24"/>
              </w:rPr>
            </w:pPr>
            <w:r>
              <w:rPr>
                <w:rFonts w:cstheme="minorHAnsi"/>
                <w:sz w:val="24"/>
                <w:szCs w:val="24"/>
              </w:rPr>
              <w:t>Sharkey 2007</w:t>
            </w:r>
          </w:p>
        </w:tc>
      </w:tr>
      <w:tr w:rsidR="008361F4" w14:paraId="0ABB3490" w14:textId="39F4E1CC" w:rsidTr="008361F4">
        <w:tc>
          <w:tcPr>
            <w:tcW w:w="1497" w:type="dxa"/>
          </w:tcPr>
          <w:p w14:paraId="17190675" w14:textId="212AE6F0"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{"citationID":"LEMDvF1O","properties":{"formattedCitation":"(Albert {\\i{}et al.}, 2018)","plainCitation":"(Albert et al., 2018)","noteIndex":0},"citationItems":[{"id":204,"uris":["http://zotero.org/users/local/lNNKczaB/items/ERZJAX8Y"],"uri":["http://zotero.org/users/local/lNNKczaB/items/ERZJAX8Y"],"itemData":{"id":204,"type":"article-journal","container-title":"New Phytologist","DOI":"10.1111/nph.15056","issue":"3","note":"publisher: Wiley","page":"870–884","title":"Age-dependent leaf physiology and consequences for crown-scale carbon uptake during the dry season in an Amazon evergreen forest","volume":"219","author":[{"family":"Albert","given":"Loren P."},{"family":"Wu","given":"Jin"},{"family":"Prohaska","given":"Neill"},{"family":"Camargo","given":"Plinio Barbosa","dropping-particle":"de"},{"family":"Huxman","given":"Travis E."},{"family":"Tribuzy","given":"Edgard S."},{"family":"Ivanov","given":"Valeriy Y."},{"family":"Oliveira","given":"Rafael S."},{"family":"Garcia","given":"Sabrina"},{"family":"Smith","given":"Marielle N."},{"family":"Junior","given":"Raimundo Cosme Oliveira"},{"family":"Restrepo-Coupe","given":"Natalia"},{"family":"Silva","given":"Rodrigo","dropping-particle":"da"},{"family":"Stark","given":"Scott C."},{"family":"Martins","given":"Giordane A."},{"family":"Penha","given":"Deliane V."},{"family":"Saleska","given":"Scott R."}],"issued":{"date-parts":[["2018",3]]}}}],"schema":"https://github.com/citation-style-language/schema/raw/master/csl-citation.json"} </w:instrText>
            </w:r>
            <w:r>
              <w:rPr>
                <w:rFonts w:cstheme="minorHAnsi"/>
                <w:sz w:val="24"/>
                <w:szCs w:val="24"/>
              </w:rPr>
              <w:fldChar w:fldCharType="separate"/>
            </w:r>
            <w:r w:rsidRPr="0048579E">
              <w:rPr>
                <w:rFonts w:ascii="Calibri" w:hAnsi="Calibri" w:cs="Calibri"/>
                <w:sz w:val="24"/>
                <w:szCs w:val="24"/>
              </w:rPr>
              <w:t xml:space="preserve">(Albert </w:t>
            </w:r>
            <w:r w:rsidRPr="0048579E">
              <w:rPr>
                <w:rFonts w:ascii="Calibri" w:hAnsi="Calibri" w:cs="Calibri"/>
                <w:i/>
                <w:iCs/>
                <w:sz w:val="24"/>
                <w:szCs w:val="24"/>
              </w:rPr>
              <w:t>et al.</w:t>
            </w:r>
            <w:r w:rsidRPr="0048579E">
              <w:rPr>
                <w:rFonts w:ascii="Calibri" w:hAnsi="Calibri" w:cs="Calibri"/>
                <w:sz w:val="24"/>
                <w:szCs w:val="24"/>
              </w:rPr>
              <w:t>, 2018)</w:t>
            </w:r>
            <w:r>
              <w:rPr>
                <w:rFonts w:cstheme="minorHAnsi"/>
                <w:sz w:val="24"/>
                <w:szCs w:val="24"/>
              </w:rPr>
              <w:fldChar w:fldCharType="end"/>
            </w:r>
          </w:p>
        </w:tc>
        <w:tc>
          <w:tcPr>
            <w:tcW w:w="3296" w:type="dxa"/>
          </w:tcPr>
          <w:p w14:paraId="36197C1D" w14:textId="0CC8AA15" w:rsidR="008361F4" w:rsidRPr="001C3251" w:rsidRDefault="008361F4" w:rsidP="008361F4">
            <w:pPr>
              <w:rPr>
                <w:rFonts w:cstheme="minorHAnsi"/>
                <w:sz w:val="24"/>
                <w:szCs w:val="24"/>
              </w:rPr>
            </w:pPr>
            <w:hyperlink r:id="rId6" w:history="1">
              <w:r w:rsidRPr="00D208E5">
                <w:rPr>
                  <w:rStyle w:val="Hyperlink"/>
                  <w:rFonts w:cstheme="minorHAnsi"/>
                  <w:sz w:val="24"/>
                  <w:szCs w:val="24"/>
                </w:rPr>
                <w:t>lalbert@email.arizona.edu</w:t>
              </w:r>
            </w:hyperlink>
            <w:r>
              <w:rPr>
                <w:rFonts w:cstheme="minorHAnsi"/>
                <w:sz w:val="24"/>
                <w:szCs w:val="24"/>
              </w:rPr>
              <w:t xml:space="preserve"> </w:t>
            </w:r>
            <w:r w:rsidRPr="0048579E">
              <w:rPr>
                <w:rFonts w:cstheme="minorHAnsi"/>
                <w:sz w:val="24"/>
                <w:szCs w:val="24"/>
              </w:rPr>
              <w:t>saleska@email.arizona.edu</w:t>
            </w:r>
          </w:p>
        </w:tc>
        <w:tc>
          <w:tcPr>
            <w:tcW w:w="5285" w:type="dxa"/>
          </w:tcPr>
          <w:p w14:paraId="4E9D7167" w14:textId="77B358F4" w:rsidR="008361F4" w:rsidRDefault="008361F4" w:rsidP="008361F4">
            <w:proofErr w:type="gramStart"/>
            <w:r>
              <w:t>On line</w:t>
            </w:r>
            <w:proofErr w:type="gramEnd"/>
          </w:p>
        </w:tc>
        <w:tc>
          <w:tcPr>
            <w:tcW w:w="2872" w:type="dxa"/>
          </w:tcPr>
          <w:p w14:paraId="028712C6" w14:textId="77777777" w:rsidR="008361F4" w:rsidRDefault="008361F4" w:rsidP="008361F4"/>
        </w:tc>
      </w:tr>
      <w:tr w:rsidR="008361F4" w14:paraId="063C6840" w14:textId="12E7EA3C" w:rsidTr="008361F4">
        <w:tc>
          <w:tcPr>
            <w:tcW w:w="1497" w:type="dxa"/>
          </w:tcPr>
          <w:p w14:paraId="6DDA9D6A" w14:textId="3512E772"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{"citationID":"wc3d47gw","properties":{"formattedCitation":"(Wu {\\i{}et al.}, 2019)","plainCitation":"(Wu et al., 2019)","noteIndex":0},"citationItems":[{"id":267,"uris":["http://zotero.org/users/local/lNNKczaB/items/2WBQNQKJ"],"uri":["http://zotero.org/users/local/lNNKczaB/items/2WBQNQKJ"],"itemData":{"id":267,"type":"article-journal","container-title":"New Phytologist","DOI":"10.1111/nph.16029","issue":"2","note":"publisher: Wiley","page":"663–674","title":"Leaf reflectance spectroscopy captures variation in carboxylation capacity across species, canopy environment and leaf age in lowland moist tropical forests","volume":"224","author":[{"family":"Wu","given":"Jin"},{"family":"Rogers","given":"Alistair"},{"family":"Albert","given":"Loren P."},{"family":"Ely","given":"Kim"},{"family":"Prohaska","given":"Neill"},{"family":"Wolfe","given":"Brett T."},{"family":"Oliveira","given":"Raimundo Cosme"},{"family":"Saleska","given":"Scott R."},{"family":"Serbin","given":"Shawn P."}],"issued":{"date-parts":[["2019",7]]}}}],"schema":"https://github.com/citation-style-language/schema/raw/master/csl-citation.json"} </w:instrText>
            </w:r>
            <w:r>
              <w:rPr>
                <w:rFonts w:cstheme="minorHAnsi"/>
                <w:sz w:val="24"/>
                <w:szCs w:val="24"/>
              </w:rPr>
              <w:fldChar w:fldCharType="separate"/>
            </w:r>
            <w:r w:rsidRPr="0077148C">
              <w:rPr>
                <w:rFonts w:ascii="Calibri" w:hAnsi="Calibri" w:cs="Calibri"/>
                <w:sz w:val="24"/>
                <w:szCs w:val="24"/>
              </w:rPr>
              <w:t xml:space="preserve">(Wu </w:t>
            </w:r>
            <w:r w:rsidRPr="0077148C">
              <w:rPr>
                <w:rFonts w:ascii="Calibri" w:hAnsi="Calibri" w:cs="Calibri"/>
                <w:i/>
                <w:iCs/>
                <w:sz w:val="24"/>
                <w:szCs w:val="24"/>
              </w:rPr>
              <w:t>et al.</w:t>
            </w:r>
            <w:r w:rsidRPr="0077148C">
              <w:rPr>
                <w:rFonts w:ascii="Calibri" w:hAnsi="Calibri" w:cs="Calibri"/>
                <w:sz w:val="24"/>
                <w:szCs w:val="24"/>
              </w:rPr>
              <w:t>, 2019)</w:t>
            </w:r>
            <w:r>
              <w:rPr>
                <w:rFonts w:cstheme="minorHAnsi"/>
                <w:sz w:val="24"/>
                <w:szCs w:val="24"/>
              </w:rPr>
              <w:fldChar w:fldCharType="end"/>
            </w:r>
          </w:p>
        </w:tc>
        <w:tc>
          <w:tcPr>
            <w:tcW w:w="3296" w:type="dxa"/>
          </w:tcPr>
          <w:p w14:paraId="76D5E197" w14:textId="77777777" w:rsidR="008361F4" w:rsidRDefault="008361F4" w:rsidP="008361F4">
            <w:pPr>
              <w:rPr>
                <w:rFonts w:cstheme="minorHAnsi"/>
                <w:sz w:val="24"/>
                <w:szCs w:val="24"/>
              </w:rPr>
            </w:pPr>
          </w:p>
        </w:tc>
        <w:tc>
          <w:tcPr>
            <w:tcW w:w="5285" w:type="dxa"/>
          </w:tcPr>
          <w:p w14:paraId="6FBBEB6D" w14:textId="76363C03" w:rsidR="008361F4" w:rsidRDefault="008361F4" w:rsidP="008361F4">
            <w:pPr>
              <w:rPr>
                <w:rFonts w:cstheme="minorHAnsi"/>
                <w:sz w:val="24"/>
                <w:szCs w:val="24"/>
              </w:rPr>
            </w:pPr>
            <w:proofErr w:type="gramStart"/>
            <w:r>
              <w:rPr>
                <w:rFonts w:cstheme="minorHAnsi"/>
                <w:sz w:val="24"/>
                <w:szCs w:val="24"/>
              </w:rPr>
              <w:t>On line</w:t>
            </w:r>
            <w:proofErr w:type="gramEnd"/>
          </w:p>
        </w:tc>
        <w:tc>
          <w:tcPr>
            <w:tcW w:w="2872" w:type="dxa"/>
          </w:tcPr>
          <w:p w14:paraId="6611AB08" w14:textId="77777777" w:rsidR="008361F4" w:rsidRDefault="008361F4" w:rsidP="008361F4">
            <w:pPr>
              <w:rPr>
                <w:rFonts w:cstheme="minorHAnsi"/>
                <w:sz w:val="24"/>
                <w:szCs w:val="24"/>
              </w:rPr>
            </w:pPr>
          </w:p>
        </w:tc>
      </w:tr>
    </w:tbl>
    <w:p w14:paraId="1F08CEC3" w14:textId="27AC8A6A" w:rsidR="001C3251" w:rsidRDefault="001C3251" w:rsidP="009E124E">
      <w:pPr>
        <w:rPr>
          <w:rFonts w:cstheme="minorHAnsi"/>
          <w:sz w:val="24"/>
          <w:szCs w:val="24"/>
        </w:rPr>
      </w:pPr>
    </w:p>
    <w:p w14:paraId="4CBC87D8" w14:textId="77777777" w:rsidR="007F43BF" w:rsidRDefault="007F43BF" w:rsidP="009E124E">
      <w:pPr>
        <w:rPr>
          <w:rFonts w:cstheme="minorHAnsi"/>
          <w:sz w:val="24"/>
          <w:szCs w:val="24"/>
        </w:rPr>
        <w:sectPr w:rsidR="007F43BF" w:rsidSect="007F43BF">
          <w:pgSz w:w="15840" w:h="12240" w:orient="landscape"/>
          <w:pgMar w:top="1440" w:right="1440" w:bottom="1440" w:left="1440" w:header="720" w:footer="720" w:gutter="0"/>
          <w:cols w:space="720"/>
          <w:docGrid w:linePitch="360"/>
        </w:sectPr>
      </w:pPr>
    </w:p>
    <w:p w14:paraId="2146CBC4" w14:textId="5A641668" w:rsidR="00E46C5B" w:rsidRDefault="00E46C5B" w:rsidP="009E124E">
      <w:pPr>
        <w:rPr>
          <w:rFonts w:cstheme="minorHAnsi"/>
          <w:sz w:val="24"/>
          <w:szCs w:val="24"/>
        </w:rPr>
      </w:pPr>
      <w:r>
        <w:rPr>
          <w:rFonts w:cstheme="minorHAnsi"/>
          <w:sz w:val="24"/>
          <w:szCs w:val="24"/>
        </w:rPr>
        <w:lastRenderedPageBreak/>
        <w:t>Other contacts</w:t>
      </w:r>
    </w:p>
    <w:p w14:paraId="1E75257D" w14:textId="71AF9751" w:rsidR="006A7C11" w:rsidRPr="006A7C11" w:rsidRDefault="006A7C11" w:rsidP="006A7C11">
      <w:pPr>
        <w:rPr>
          <w:rFonts w:cstheme="minorHAnsi"/>
          <w:sz w:val="24"/>
          <w:szCs w:val="24"/>
        </w:rPr>
      </w:pPr>
      <w:r w:rsidRPr="006A7C11">
        <w:rPr>
          <w:rFonts w:cstheme="minorHAnsi"/>
          <w:sz w:val="24"/>
          <w:szCs w:val="24"/>
        </w:rPr>
        <w:t>Alvaro Sanz-Saez</w:t>
      </w:r>
      <w:r>
        <w:rPr>
          <w:rFonts w:cstheme="minorHAnsi"/>
          <w:sz w:val="24"/>
          <w:szCs w:val="24"/>
        </w:rPr>
        <w:t xml:space="preserve"> </w:t>
      </w:r>
      <w:r w:rsidRPr="006A7C11">
        <w:rPr>
          <w:rFonts w:cstheme="minorHAnsi"/>
          <w:sz w:val="24"/>
          <w:szCs w:val="24"/>
        </w:rPr>
        <w:t xml:space="preserve">azs0223@auburn.edu </w:t>
      </w:r>
    </w:p>
    <w:p w14:paraId="0F2BED87" w14:textId="77777777" w:rsidR="006A7C11" w:rsidRPr="006A7C11" w:rsidRDefault="006A7C11" w:rsidP="006A7C11">
      <w:pPr>
        <w:rPr>
          <w:rFonts w:cstheme="minorHAnsi"/>
          <w:sz w:val="24"/>
          <w:szCs w:val="24"/>
        </w:rPr>
      </w:pPr>
    </w:p>
    <w:p w14:paraId="48066059" w14:textId="2344019A" w:rsidR="00E46C5B" w:rsidRDefault="006A7C11" w:rsidP="006A7C11">
      <w:pPr>
        <w:rPr>
          <w:rFonts w:cstheme="minorHAnsi"/>
          <w:sz w:val="24"/>
          <w:szCs w:val="24"/>
        </w:rPr>
      </w:pPr>
      <w:r w:rsidRPr="006A7C11">
        <w:rPr>
          <w:rFonts w:cstheme="minorHAnsi"/>
          <w:sz w:val="24"/>
          <w:szCs w:val="24"/>
        </w:rPr>
        <w:t xml:space="preserve">  </w:t>
      </w:r>
    </w:p>
    <w:p w14:paraId="39924E68" w14:textId="62491BC6" w:rsidR="00E46C5B" w:rsidRDefault="00E46C5B" w:rsidP="009E124E">
      <w:pPr>
        <w:rPr>
          <w:rFonts w:cstheme="minorHAnsi"/>
          <w:sz w:val="24"/>
          <w:szCs w:val="24"/>
        </w:rPr>
      </w:pPr>
      <w:r>
        <w:rPr>
          <w:rFonts w:cstheme="minorHAnsi"/>
          <w:sz w:val="24"/>
          <w:szCs w:val="24"/>
        </w:rPr>
        <w:t>References</w:t>
      </w:r>
    </w:p>
    <w:p w14:paraId="7912F89C" w14:textId="77777777" w:rsidR="0077148C" w:rsidRPr="0077148C" w:rsidRDefault="0074196C" w:rsidP="0077148C">
      <w:pPr>
        <w:pStyle w:val="Bibliography"/>
        <w:rPr>
          <w:rFonts w:ascii="Calibri" w:hAnsi="Calibri" w:cs="Calibri"/>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77148C" w:rsidRPr="0077148C">
        <w:rPr>
          <w:rFonts w:ascii="Calibri" w:hAnsi="Calibri" w:cs="Calibri"/>
          <w:b/>
          <w:bCs/>
          <w:sz w:val="24"/>
        </w:rPr>
        <w:t xml:space="preserve">Albert LP, Wu J, Prohaska N, Camargo PB de, Huxman TE, Tribuzy ES, Ivanov VY, Oliveira RS, Garcia S, Smith MN, </w:t>
      </w:r>
      <w:r w:rsidR="0077148C" w:rsidRPr="0077148C">
        <w:rPr>
          <w:rFonts w:ascii="Calibri" w:hAnsi="Calibri" w:cs="Calibri"/>
          <w:b/>
          <w:bCs/>
          <w:i/>
          <w:iCs/>
          <w:sz w:val="24"/>
        </w:rPr>
        <w:t>et al.</w:t>
      </w:r>
      <w:r w:rsidR="0077148C" w:rsidRPr="0077148C">
        <w:rPr>
          <w:rFonts w:ascii="Calibri" w:hAnsi="Calibri" w:cs="Calibri"/>
          <w:sz w:val="24"/>
        </w:rPr>
        <w:t xml:space="preserve"> </w:t>
      </w:r>
      <w:r w:rsidR="0077148C" w:rsidRPr="0077148C">
        <w:rPr>
          <w:rFonts w:ascii="Calibri" w:hAnsi="Calibri" w:cs="Calibri"/>
          <w:b/>
          <w:bCs/>
          <w:sz w:val="24"/>
        </w:rPr>
        <w:t>2018</w:t>
      </w:r>
      <w:r w:rsidR="0077148C" w:rsidRPr="0077148C">
        <w:rPr>
          <w:rFonts w:ascii="Calibri" w:hAnsi="Calibri" w:cs="Calibri"/>
          <w:sz w:val="24"/>
        </w:rPr>
        <w:t xml:space="preserve">. Age-dependent leaf physiology and consequences for crown-scale carbon uptake during the dry season in an Amazon evergreen forest. </w:t>
      </w:r>
      <w:r w:rsidR="0077148C" w:rsidRPr="0077148C">
        <w:rPr>
          <w:rFonts w:ascii="Calibri" w:hAnsi="Calibri" w:cs="Calibri"/>
          <w:i/>
          <w:iCs/>
          <w:sz w:val="24"/>
        </w:rPr>
        <w:t>New Phytologist</w:t>
      </w:r>
      <w:r w:rsidR="0077148C" w:rsidRPr="0077148C">
        <w:rPr>
          <w:rFonts w:ascii="Calibri" w:hAnsi="Calibri" w:cs="Calibri"/>
          <w:sz w:val="24"/>
        </w:rPr>
        <w:t xml:space="preserve"> </w:t>
      </w:r>
      <w:r w:rsidR="0077148C" w:rsidRPr="0077148C">
        <w:rPr>
          <w:rFonts w:ascii="Calibri" w:hAnsi="Calibri" w:cs="Calibri"/>
          <w:b/>
          <w:bCs/>
          <w:sz w:val="24"/>
        </w:rPr>
        <w:t>219</w:t>
      </w:r>
      <w:r w:rsidR="0077148C" w:rsidRPr="0077148C">
        <w:rPr>
          <w:rFonts w:ascii="Calibri" w:hAnsi="Calibri" w:cs="Calibri"/>
          <w:sz w:val="24"/>
        </w:rPr>
        <w:t>: 870–884.</w:t>
      </w:r>
    </w:p>
    <w:p w14:paraId="67D883BD"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Barnes ML, Breshears DD, Law DJ, Leeuwen WJD van, Monson RK, Fojtik AC, Barron-Gafford GA, Moore DJP</w:t>
      </w:r>
      <w:r w:rsidRPr="0077148C">
        <w:rPr>
          <w:rFonts w:ascii="Calibri" w:hAnsi="Calibri" w:cs="Calibri"/>
          <w:sz w:val="24"/>
        </w:rPr>
        <w:t xml:space="preserve">. </w:t>
      </w:r>
      <w:r w:rsidRPr="0077148C">
        <w:rPr>
          <w:rFonts w:ascii="Calibri" w:hAnsi="Calibri" w:cs="Calibri"/>
          <w:b/>
          <w:bCs/>
          <w:sz w:val="24"/>
        </w:rPr>
        <w:t>2017</w:t>
      </w:r>
      <w:r w:rsidRPr="0077148C">
        <w:rPr>
          <w:rFonts w:ascii="Calibri" w:hAnsi="Calibri" w:cs="Calibri"/>
          <w:sz w:val="24"/>
        </w:rPr>
        <w:t xml:space="preserve">. Beyond greenness: Detecting temporal changes in photosynthetic capacity with hyperspectral reflectance data. </w:t>
      </w:r>
      <w:r w:rsidRPr="0077148C">
        <w:rPr>
          <w:rFonts w:ascii="Calibri" w:hAnsi="Calibri" w:cs="Calibri"/>
          <w:i/>
          <w:iCs/>
          <w:sz w:val="24"/>
        </w:rPr>
        <w:t>PLOS ONE</w:t>
      </w:r>
      <w:r w:rsidRPr="0077148C">
        <w:rPr>
          <w:rFonts w:ascii="Calibri" w:hAnsi="Calibri" w:cs="Calibri"/>
          <w:sz w:val="24"/>
        </w:rPr>
        <w:t xml:space="preserve"> </w:t>
      </w:r>
      <w:r w:rsidRPr="0077148C">
        <w:rPr>
          <w:rFonts w:ascii="Calibri" w:hAnsi="Calibri" w:cs="Calibri"/>
          <w:b/>
          <w:bCs/>
          <w:sz w:val="24"/>
        </w:rPr>
        <w:t>12</w:t>
      </w:r>
      <w:r w:rsidRPr="0077148C">
        <w:rPr>
          <w:rFonts w:ascii="Calibri" w:hAnsi="Calibri" w:cs="Calibri"/>
          <w:sz w:val="24"/>
        </w:rPr>
        <w:t>: e0189539.</w:t>
      </w:r>
    </w:p>
    <w:p w14:paraId="7842C84B"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 xml:space="preserve">Cheng R, Magney TS, Dutta D, Bowling DR, Logan BA, Burns SP, Blanken PD, Grossmann K, Lopez S, Richardson AD, </w:t>
      </w:r>
      <w:r w:rsidRPr="0077148C">
        <w:rPr>
          <w:rFonts w:ascii="Calibri" w:hAnsi="Calibri" w:cs="Calibri"/>
          <w:b/>
          <w:bCs/>
          <w:i/>
          <w:iCs/>
          <w:sz w:val="24"/>
        </w:rPr>
        <w:t>et al.</w:t>
      </w:r>
      <w:r w:rsidRPr="0077148C">
        <w:rPr>
          <w:rFonts w:ascii="Calibri" w:hAnsi="Calibri" w:cs="Calibri"/>
          <w:sz w:val="24"/>
        </w:rPr>
        <w:t xml:space="preserve"> </w:t>
      </w:r>
      <w:r w:rsidRPr="0077148C">
        <w:rPr>
          <w:rFonts w:ascii="Calibri" w:hAnsi="Calibri" w:cs="Calibri"/>
          <w:b/>
          <w:bCs/>
          <w:sz w:val="24"/>
        </w:rPr>
        <w:t>2020</w:t>
      </w:r>
      <w:r w:rsidRPr="0077148C">
        <w:rPr>
          <w:rFonts w:ascii="Calibri" w:hAnsi="Calibri" w:cs="Calibri"/>
          <w:sz w:val="24"/>
        </w:rPr>
        <w:t xml:space="preserve">. Decomposing reflectance spectra to track gross primary production in a subalpine evergreen forest. </w:t>
      </w:r>
      <w:r w:rsidRPr="0077148C">
        <w:rPr>
          <w:rFonts w:ascii="Calibri" w:hAnsi="Calibri" w:cs="Calibri"/>
          <w:i/>
          <w:iCs/>
          <w:sz w:val="24"/>
        </w:rPr>
        <w:t>Biogeosciences</w:t>
      </w:r>
      <w:r w:rsidRPr="0077148C">
        <w:rPr>
          <w:rFonts w:ascii="Calibri" w:hAnsi="Calibri" w:cs="Calibri"/>
          <w:sz w:val="24"/>
        </w:rPr>
        <w:t xml:space="preserve"> </w:t>
      </w:r>
      <w:r w:rsidRPr="0077148C">
        <w:rPr>
          <w:rFonts w:ascii="Calibri" w:hAnsi="Calibri" w:cs="Calibri"/>
          <w:b/>
          <w:bCs/>
          <w:sz w:val="24"/>
        </w:rPr>
        <w:t>17</w:t>
      </w:r>
      <w:r w:rsidRPr="0077148C">
        <w:rPr>
          <w:rFonts w:ascii="Calibri" w:hAnsi="Calibri" w:cs="Calibri"/>
          <w:sz w:val="24"/>
        </w:rPr>
        <w:t>: 4523–4544.</w:t>
      </w:r>
    </w:p>
    <w:p w14:paraId="350ACEE5"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 xml:space="preserve">Coast O, Shah S, Ivakov A, Gaju O, Wilson PB, Posch BC, Bryant CJ, Negrini ACA, Evans JR, Condon AG, </w:t>
      </w:r>
      <w:r w:rsidRPr="0077148C">
        <w:rPr>
          <w:rFonts w:ascii="Calibri" w:hAnsi="Calibri" w:cs="Calibri"/>
          <w:b/>
          <w:bCs/>
          <w:i/>
          <w:iCs/>
          <w:sz w:val="24"/>
        </w:rPr>
        <w:t>et al.</w:t>
      </w:r>
      <w:r w:rsidRPr="0077148C">
        <w:rPr>
          <w:rFonts w:ascii="Calibri" w:hAnsi="Calibri" w:cs="Calibri"/>
          <w:sz w:val="24"/>
        </w:rPr>
        <w:t xml:space="preserve"> </w:t>
      </w:r>
      <w:r w:rsidRPr="0077148C">
        <w:rPr>
          <w:rFonts w:ascii="Calibri" w:hAnsi="Calibri" w:cs="Calibri"/>
          <w:b/>
          <w:bCs/>
          <w:sz w:val="24"/>
        </w:rPr>
        <w:t>2019</w:t>
      </w:r>
      <w:r w:rsidRPr="0077148C">
        <w:rPr>
          <w:rFonts w:ascii="Calibri" w:hAnsi="Calibri" w:cs="Calibri"/>
          <w:sz w:val="24"/>
        </w:rPr>
        <w:t xml:space="preserve">. Predicting dark respiration rates of wheat leaves from hyperspectral reflectance. </w:t>
      </w:r>
      <w:r w:rsidRPr="0077148C">
        <w:rPr>
          <w:rFonts w:ascii="Calibri" w:hAnsi="Calibri" w:cs="Calibri"/>
          <w:i/>
          <w:iCs/>
          <w:sz w:val="24"/>
        </w:rPr>
        <w:t>Plant, Cell &amp; Environment</w:t>
      </w:r>
      <w:r w:rsidRPr="0077148C">
        <w:rPr>
          <w:rFonts w:ascii="Calibri" w:hAnsi="Calibri" w:cs="Calibri"/>
          <w:sz w:val="24"/>
        </w:rPr>
        <w:t xml:space="preserve"> </w:t>
      </w:r>
      <w:r w:rsidRPr="0077148C">
        <w:rPr>
          <w:rFonts w:ascii="Calibri" w:hAnsi="Calibri" w:cs="Calibri"/>
          <w:b/>
          <w:bCs/>
          <w:sz w:val="24"/>
        </w:rPr>
        <w:t>42</w:t>
      </w:r>
      <w:r w:rsidRPr="0077148C">
        <w:rPr>
          <w:rFonts w:ascii="Calibri" w:hAnsi="Calibri" w:cs="Calibri"/>
          <w:sz w:val="24"/>
        </w:rPr>
        <w:t>: 2133–2150.</w:t>
      </w:r>
    </w:p>
    <w:p w14:paraId="7AB00586"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Dechant B, Cuntz M, Vohland M, Schulz E, Doktor D</w:t>
      </w:r>
      <w:r w:rsidRPr="0077148C">
        <w:rPr>
          <w:rFonts w:ascii="Calibri" w:hAnsi="Calibri" w:cs="Calibri"/>
          <w:sz w:val="24"/>
        </w:rPr>
        <w:t xml:space="preserve">. </w:t>
      </w:r>
      <w:r w:rsidRPr="0077148C">
        <w:rPr>
          <w:rFonts w:ascii="Calibri" w:hAnsi="Calibri" w:cs="Calibri"/>
          <w:b/>
          <w:bCs/>
          <w:sz w:val="24"/>
        </w:rPr>
        <w:t>2017</w:t>
      </w:r>
      <w:r w:rsidRPr="0077148C">
        <w:rPr>
          <w:rFonts w:ascii="Calibri" w:hAnsi="Calibri" w:cs="Calibri"/>
          <w:sz w:val="24"/>
        </w:rPr>
        <w:t xml:space="preserve">. Estimation of photosynthesis traits from leaf reflectance spectra: Correlation to nitrogen content as the dominant mechanism. </w:t>
      </w:r>
      <w:r w:rsidRPr="0077148C">
        <w:rPr>
          <w:rFonts w:ascii="Calibri" w:hAnsi="Calibri" w:cs="Calibri"/>
          <w:i/>
          <w:iCs/>
          <w:sz w:val="24"/>
        </w:rPr>
        <w:t>Remote Sensing of Environment</w:t>
      </w:r>
      <w:r w:rsidRPr="0077148C">
        <w:rPr>
          <w:rFonts w:ascii="Calibri" w:hAnsi="Calibri" w:cs="Calibri"/>
          <w:sz w:val="24"/>
        </w:rPr>
        <w:t xml:space="preserve"> </w:t>
      </w:r>
      <w:r w:rsidRPr="0077148C">
        <w:rPr>
          <w:rFonts w:ascii="Calibri" w:hAnsi="Calibri" w:cs="Calibri"/>
          <w:b/>
          <w:bCs/>
          <w:sz w:val="24"/>
        </w:rPr>
        <w:t>196</w:t>
      </w:r>
      <w:r w:rsidRPr="0077148C">
        <w:rPr>
          <w:rFonts w:ascii="Calibri" w:hAnsi="Calibri" w:cs="Calibri"/>
          <w:sz w:val="24"/>
        </w:rPr>
        <w:t>: 279–292.</w:t>
      </w:r>
    </w:p>
    <w:p w14:paraId="4DD0D9D1"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Doughty CE, Asner GP, Martin RE</w:t>
      </w:r>
      <w:r w:rsidRPr="0077148C">
        <w:rPr>
          <w:rFonts w:ascii="Calibri" w:hAnsi="Calibri" w:cs="Calibri"/>
          <w:sz w:val="24"/>
        </w:rPr>
        <w:t xml:space="preserve">. </w:t>
      </w:r>
      <w:r w:rsidRPr="0077148C">
        <w:rPr>
          <w:rFonts w:ascii="Calibri" w:hAnsi="Calibri" w:cs="Calibri"/>
          <w:b/>
          <w:bCs/>
          <w:sz w:val="24"/>
        </w:rPr>
        <w:t>2011</w:t>
      </w:r>
      <w:r w:rsidRPr="0077148C">
        <w:rPr>
          <w:rFonts w:ascii="Calibri" w:hAnsi="Calibri" w:cs="Calibri"/>
          <w:sz w:val="24"/>
        </w:rPr>
        <w:t xml:space="preserve">. Predicting tropical plant physiology from leaf and canopy spectroscopy. </w:t>
      </w:r>
      <w:r w:rsidRPr="0077148C">
        <w:rPr>
          <w:rFonts w:ascii="Calibri" w:hAnsi="Calibri" w:cs="Calibri"/>
          <w:i/>
          <w:iCs/>
          <w:sz w:val="24"/>
        </w:rPr>
        <w:t>Oecologia</w:t>
      </w:r>
      <w:r w:rsidRPr="0077148C">
        <w:rPr>
          <w:rFonts w:ascii="Calibri" w:hAnsi="Calibri" w:cs="Calibri"/>
          <w:sz w:val="24"/>
        </w:rPr>
        <w:t xml:space="preserve"> </w:t>
      </w:r>
      <w:r w:rsidRPr="0077148C">
        <w:rPr>
          <w:rFonts w:ascii="Calibri" w:hAnsi="Calibri" w:cs="Calibri"/>
          <w:b/>
          <w:bCs/>
          <w:sz w:val="24"/>
        </w:rPr>
        <w:t>165</w:t>
      </w:r>
      <w:r w:rsidRPr="0077148C">
        <w:rPr>
          <w:rFonts w:ascii="Calibri" w:hAnsi="Calibri" w:cs="Calibri"/>
          <w:sz w:val="24"/>
        </w:rPr>
        <w:t>: 289–299.</w:t>
      </w:r>
    </w:p>
    <w:p w14:paraId="604115BE"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Fu P, Meacham-Hensold K, Guan K, Bernacchi CJ</w:t>
      </w:r>
      <w:r w:rsidRPr="0077148C">
        <w:rPr>
          <w:rFonts w:ascii="Calibri" w:hAnsi="Calibri" w:cs="Calibri"/>
          <w:sz w:val="24"/>
        </w:rPr>
        <w:t xml:space="preserve">. </w:t>
      </w:r>
      <w:r w:rsidRPr="0077148C">
        <w:rPr>
          <w:rFonts w:ascii="Calibri" w:hAnsi="Calibri" w:cs="Calibri"/>
          <w:b/>
          <w:bCs/>
          <w:sz w:val="24"/>
        </w:rPr>
        <w:t>2019</w:t>
      </w:r>
      <w:r w:rsidRPr="0077148C">
        <w:rPr>
          <w:rFonts w:ascii="Calibri" w:hAnsi="Calibri" w:cs="Calibri"/>
          <w:sz w:val="24"/>
        </w:rPr>
        <w:t xml:space="preserve">. Hyperspectral Leaf Reflectance as Proxy for Photosynthetic Capacities: An Ensemble Approach Based on Multiple Machine Learning Algorithms. </w:t>
      </w:r>
      <w:r w:rsidRPr="0077148C">
        <w:rPr>
          <w:rFonts w:ascii="Calibri" w:hAnsi="Calibri" w:cs="Calibri"/>
          <w:i/>
          <w:iCs/>
          <w:sz w:val="24"/>
        </w:rPr>
        <w:t>Frontiers in Plant Science</w:t>
      </w:r>
      <w:r w:rsidRPr="0077148C">
        <w:rPr>
          <w:rFonts w:ascii="Calibri" w:hAnsi="Calibri" w:cs="Calibri"/>
          <w:sz w:val="24"/>
        </w:rPr>
        <w:t xml:space="preserve"> </w:t>
      </w:r>
      <w:r w:rsidRPr="0077148C">
        <w:rPr>
          <w:rFonts w:ascii="Calibri" w:hAnsi="Calibri" w:cs="Calibri"/>
          <w:b/>
          <w:bCs/>
          <w:sz w:val="24"/>
        </w:rPr>
        <w:t>10</w:t>
      </w:r>
      <w:r w:rsidRPr="0077148C">
        <w:rPr>
          <w:rFonts w:ascii="Calibri" w:hAnsi="Calibri" w:cs="Calibri"/>
          <w:sz w:val="24"/>
        </w:rPr>
        <w:t>.</w:t>
      </w:r>
    </w:p>
    <w:p w14:paraId="3BEC0CAA"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Khan HA, Nakamura Y, Furbank RT, Evans JR</w:t>
      </w:r>
      <w:r w:rsidRPr="0077148C">
        <w:rPr>
          <w:rFonts w:ascii="Calibri" w:hAnsi="Calibri" w:cs="Calibri"/>
          <w:sz w:val="24"/>
        </w:rPr>
        <w:t xml:space="preserve">. </w:t>
      </w:r>
      <w:r w:rsidRPr="0077148C">
        <w:rPr>
          <w:rFonts w:ascii="Calibri" w:hAnsi="Calibri" w:cs="Calibri"/>
          <w:b/>
          <w:bCs/>
          <w:sz w:val="24"/>
        </w:rPr>
        <w:t>2020</w:t>
      </w:r>
      <w:r w:rsidRPr="0077148C">
        <w:rPr>
          <w:rFonts w:ascii="Calibri" w:hAnsi="Calibri" w:cs="Calibri"/>
          <w:sz w:val="24"/>
        </w:rPr>
        <w:t>. Effect of leaf temperature on estimating physiological traits of wheat leaves from hyperspectral reflectance.</w:t>
      </w:r>
    </w:p>
    <w:p w14:paraId="69AEAC26"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Kothari S, Beauchamp-Rioux R, Laliberté E, Cavender-Bares J</w:t>
      </w:r>
      <w:r w:rsidRPr="0077148C">
        <w:rPr>
          <w:rFonts w:ascii="Calibri" w:hAnsi="Calibri" w:cs="Calibri"/>
          <w:sz w:val="24"/>
        </w:rPr>
        <w:t xml:space="preserve">. </w:t>
      </w:r>
      <w:r w:rsidRPr="0077148C">
        <w:rPr>
          <w:rFonts w:ascii="Calibri" w:hAnsi="Calibri" w:cs="Calibri"/>
          <w:b/>
          <w:bCs/>
          <w:sz w:val="24"/>
        </w:rPr>
        <w:t>2021</w:t>
      </w:r>
      <w:r w:rsidRPr="0077148C">
        <w:rPr>
          <w:rFonts w:ascii="Calibri" w:hAnsi="Calibri" w:cs="Calibri"/>
          <w:sz w:val="24"/>
        </w:rPr>
        <w:t>. Reflectance spectroscopy allows rapid, accurate, and non-destructive estimates of functional traits from pressed leaves.</w:t>
      </w:r>
    </w:p>
    <w:p w14:paraId="6D0F1833"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 xml:space="preserve">Meacham-Hensold K, Montes CM, Wu J, Guan K, Fu P, Ainsworth EA, Pederson T, Moore CE, Brown KL, Raines C, </w:t>
      </w:r>
      <w:r w:rsidRPr="0077148C">
        <w:rPr>
          <w:rFonts w:ascii="Calibri" w:hAnsi="Calibri" w:cs="Calibri"/>
          <w:b/>
          <w:bCs/>
          <w:i/>
          <w:iCs/>
          <w:sz w:val="24"/>
        </w:rPr>
        <w:t>et al.</w:t>
      </w:r>
      <w:r w:rsidRPr="0077148C">
        <w:rPr>
          <w:rFonts w:ascii="Calibri" w:hAnsi="Calibri" w:cs="Calibri"/>
          <w:sz w:val="24"/>
        </w:rPr>
        <w:t xml:space="preserve"> </w:t>
      </w:r>
      <w:r w:rsidRPr="0077148C">
        <w:rPr>
          <w:rFonts w:ascii="Calibri" w:hAnsi="Calibri" w:cs="Calibri"/>
          <w:b/>
          <w:bCs/>
          <w:sz w:val="24"/>
        </w:rPr>
        <w:t>2019</w:t>
      </w:r>
      <w:r w:rsidRPr="0077148C">
        <w:rPr>
          <w:rFonts w:ascii="Calibri" w:hAnsi="Calibri" w:cs="Calibri"/>
          <w:sz w:val="24"/>
        </w:rPr>
        <w:t xml:space="preserve">. High-throughput field phenotyping using hyperspectral </w:t>
      </w:r>
      <w:r w:rsidRPr="0077148C">
        <w:rPr>
          <w:rFonts w:ascii="Calibri" w:hAnsi="Calibri" w:cs="Calibri"/>
          <w:sz w:val="24"/>
        </w:rPr>
        <w:lastRenderedPageBreak/>
        <w:t xml:space="preserve">reflectance and partial least squares regression (PLSR) reveals genetic modifications to photosynthetic capacity. </w:t>
      </w:r>
      <w:r w:rsidRPr="0077148C">
        <w:rPr>
          <w:rFonts w:ascii="Calibri" w:hAnsi="Calibri" w:cs="Calibri"/>
          <w:i/>
          <w:iCs/>
          <w:sz w:val="24"/>
        </w:rPr>
        <w:t>Remote Sensing of Environment</w:t>
      </w:r>
      <w:r w:rsidRPr="0077148C">
        <w:rPr>
          <w:rFonts w:ascii="Calibri" w:hAnsi="Calibri" w:cs="Calibri"/>
          <w:sz w:val="24"/>
        </w:rPr>
        <w:t xml:space="preserve"> </w:t>
      </w:r>
      <w:r w:rsidRPr="0077148C">
        <w:rPr>
          <w:rFonts w:ascii="Calibri" w:hAnsi="Calibri" w:cs="Calibri"/>
          <w:b/>
          <w:bCs/>
          <w:sz w:val="24"/>
        </w:rPr>
        <w:t>231</w:t>
      </w:r>
      <w:r w:rsidRPr="0077148C">
        <w:rPr>
          <w:rFonts w:ascii="Calibri" w:hAnsi="Calibri" w:cs="Calibri"/>
          <w:sz w:val="24"/>
        </w:rPr>
        <w:t>: 111176.</w:t>
      </w:r>
    </w:p>
    <w:p w14:paraId="77205A07"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Qian X, Zhang Y, Liu L, Du S</w:t>
      </w:r>
      <w:r w:rsidRPr="0077148C">
        <w:rPr>
          <w:rFonts w:ascii="Calibri" w:hAnsi="Calibri" w:cs="Calibri"/>
          <w:sz w:val="24"/>
        </w:rPr>
        <w:t xml:space="preserve">. </w:t>
      </w:r>
      <w:r w:rsidRPr="0077148C">
        <w:rPr>
          <w:rFonts w:ascii="Calibri" w:hAnsi="Calibri" w:cs="Calibri"/>
          <w:b/>
          <w:bCs/>
          <w:sz w:val="24"/>
        </w:rPr>
        <w:t>2019</w:t>
      </w:r>
      <w:r w:rsidRPr="0077148C">
        <w:rPr>
          <w:rFonts w:ascii="Calibri" w:hAnsi="Calibri" w:cs="Calibri"/>
          <w:sz w:val="24"/>
        </w:rPr>
        <w:t xml:space="preserve">. Exploring the potential of leaf reflectance spectra for retrieving the leaf maximum carboxylation rate. </w:t>
      </w:r>
      <w:r w:rsidRPr="0077148C">
        <w:rPr>
          <w:rFonts w:ascii="Calibri" w:hAnsi="Calibri" w:cs="Calibri"/>
          <w:i/>
          <w:iCs/>
          <w:sz w:val="24"/>
        </w:rPr>
        <w:t>International Journal of Remote Sensing</w:t>
      </w:r>
      <w:r w:rsidRPr="0077148C">
        <w:rPr>
          <w:rFonts w:ascii="Calibri" w:hAnsi="Calibri" w:cs="Calibri"/>
          <w:sz w:val="24"/>
        </w:rPr>
        <w:t xml:space="preserve"> </w:t>
      </w:r>
      <w:r w:rsidRPr="0077148C">
        <w:rPr>
          <w:rFonts w:ascii="Calibri" w:hAnsi="Calibri" w:cs="Calibri"/>
          <w:b/>
          <w:bCs/>
          <w:sz w:val="24"/>
        </w:rPr>
        <w:t>40</w:t>
      </w:r>
      <w:r w:rsidRPr="0077148C">
        <w:rPr>
          <w:rFonts w:ascii="Calibri" w:hAnsi="Calibri" w:cs="Calibri"/>
          <w:sz w:val="24"/>
        </w:rPr>
        <w:t>: 5411–5428.</w:t>
      </w:r>
    </w:p>
    <w:p w14:paraId="2F2AC856"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Sexton T, Sankaran S, Cousins AB</w:t>
      </w:r>
      <w:r w:rsidRPr="0077148C">
        <w:rPr>
          <w:rFonts w:ascii="Calibri" w:hAnsi="Calibri" w:cs="Calibri"/>
          <w:sz w:val="24"/>
        </w:rPr>
        <w:t xml:space="preserve">. </w:t>
      </w:r>
      <w:r w:rsidRPr="0077148C">
        <w:rPr>
          <w:rFonts w:ascii="Calibri" w:hAnsi="Calibri" w:cs="Calibri"/>
          <w:b/>
          <w:bCs/>
          <w:sz w:val="24"/>
        </w:rPr>
        <w:t>2021</w:t>
      </w:r>
      <w:r w:rsidRPr="0077148C">
        <w:rPr>
          <w:rFonts w:ascii="Calibri" w:hAnsi="Calibri" w:cs="Calibri"/>
          <w:sz w:val="24"/>
        </w:rPr>
        <w:t xml:space="preserve">. Predicting photosynthetic capacity in tobacco using shortwave infrared spectral reflectance (T Lawson, Ed.). </w:t>
      </w:r>
      <w:r w:rsidRPr="0077148C">
        <w:rPr>
          <w:rFonts w:ascii="Calibri" w:hAnsi="Calibri" w:cs="Calibri"/>
          <w:i/>
          <w:iCs/>
          <w:sz w:val="24"/>
        </w:rPr>
        <w:t>Journal of Experimental Botany</w:t>
      </w:r>
      <w:r w:rsidRPr="0077148C">
        <w:rPr>
          <w:rFonts w:ascii="Calibri" w:hAnsi="Calibri" w:cs="Calibri"/>
          <w:sz w:val="24"/>
        </w:rPr>
        <w:t xml:space="preserve"> </w:t>
      </w:r>
      <w:r w:rsidRPr="0077148C">
        <w:rPr>
          <w:rFonts w:ascii="Calibri" w:hAnsi="Calibri" w:cs="Calibri"/>
          <w:b/>
          <w:bCs/>
          <w:sz w:val="24"/>
        </w:rPr>
        <w:t>72</w:t>
      </w:r>
      <w:r w:rsidRPr="0077148C">
        <w:rPr>
          <w:rFonts w:ascii="Calibri" w:hAnsi="Calibri" w:cs="Calibri"/>
          <w:sz w:val="24"/>
        </w:rPr>
        <w:t>: 4373–4383.</w:t>
      </w:r>
    </w:p>
    <w:p w14:paraId="17546695"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Wang S, Guan K, Wang Z, Ainsworth EA, Zheng T, Townsend PA, Li K, Moller C, Wu G, Jiang C</w:t>
      </w:r>
      <w:r w:rsidRPr="0077148C">
        <w:rPr>
          <w:rFonts w:ascii="Calibri" w:hAnsi="Calibri" w:cs="Calibri"/>
          <w:sz w:val="24"/>
        </w:rPr>
        <w:t xml:space="preserve">. </w:t>
      </w:r>
      <w:r w:rsidRPr="0077148C">
        <w:rPr>
          <w:rFonts w:ascii="Calibri" w:hAnsi="Calibri" w:cs="Calibri"/>
          <w:b/>
          <w:bCs/>
          <w:sz w:val="24"/>
        </w:rPr>
        <w:t>2020</w:t>
      </w:r>
      <w:r w:rsidRPr="0077148C">
        <w:rPr>
          <w:rFonts w:ascii="Calibri" w:hAnsi="Calibri" w:cs="Calibri"/>
          <w:sz w:val="24"/>
        </w:rPr>
        <w:t xml:space="preserve">. Unique contributions of chlorophyll and nitrogen to predict crop photosynthetic capacity from leaf spectroscopy (T Lawson, Ed.). </w:t>
      </w:r>
      <w:r w:rsidRPr="0077148C">
        <w:rPr>
          <w:rFonts w:ascii="Calibri" w:hAnsi="Calibri" w:cs="Calibri"/>
          <w:i/>
          <w:iCs/>
          <w:sz w:val="24"/>
        </w:rPr>
        <w:t>Journal of Experimental Botany</w:t>
      </w:r>
      <w:r w:rsidRPr="0077148C">
        <w:rPr>
          <w:rFonts w:ascii="Calibri" w:hAnsi="Calibri" w:cs="Calibri"/>
          <w:sz w:val="24"/>
        </w:rPr>
        <w:t>.</w:t>
      </w:r>
    </w:p>
    <w:p w14:paraId="1BF025B7"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Wu J, Rogers A, Albert LP, Ely K, Prohaska N, Wolfe BT, Oliveira RC, Saleska SR, Serbin SP</w:t>
      </w:r>
      <w:r w:rsidRPr="0077148C">
        <w:rPr>
          <w:rFonts w:ascii="Calibri" w:hAnsi="Calibri" w:cs="Calibri"/>
          <w:sz w:val="24"/>
        </w:rPr>
        <w:t xml:space="preserve">. </w:t>
      </w:r>
      <w:r w:rsidRPr="0077148C">
        <w:rPr>
          <w:rFonts w:ascii="Calibri" w:hAnsi="Calibri" w:cs="Calibri"/>
          <w:b/>
          <w:bCs/>
          <w:sz w:val="24"/>
        </w:rPr>
        <w:t>2019</w:t>
      </w:r>
      <w:r w:rsidRPr="0077148C">
        <w:rPr>
          <w:rFonts w:ascii="Calibri" w:hAnsi="Calibri" w:cs="Calibri"/>
          <w:sz w:val="24"/>
        </w:rPr>
        <w:t xml:space="preserve">. Leaf reflectance spectroscopy captures variation in carboxylation capacity across species, canopy environment and leaf age in lowland moist tropical forests. </w:t>
      </w:r>
      <w:r w:rsidRPr="0077148C">
        <w:rPr>
          <w:rFonts w:ascii="Calibri" w:hAnsi="Calibri" w:cs="Calibri"/>
          <w:i/>
          <w:iCs/>
          <w:sz w:val="24"/>
        </w:rPr>
        <w:t>New Phytologist</w:t>
      </w:r>
      <w:r w:rsidRPr="0077148C">
        <w:rPr>
          <w:rFonts w:ascii="Calibri" w:hAnsi="Calibri" w:cs="Calibri"/>
          <w:sz w:val="24"/>
        </w:rPr>
        <w:t xml:space="preserve"> </w:t>
      </w:r>
      <w:r w:rsidRPr="0077148C">
        <w:rPr>
          <w:rFonts w:ascii="Calibri" w:hAnsi="Calibri" w:cs="Calibri"/>
          <w:b/>
          <w:bCs/>
          <w:sz w:val="24"/>
        </w:rPr>
        <w:t>224</w:t>
      </w:r>
      <w:r w:rsidRPr="0077148C">
        <w:rPr>
          <w:rFonts w:ascii="Calibri" w:hAnsi="Calibri" w:cs="Calibri"/>
          <w:sz w:val="24"/>
        </w:rPr>
        <w:t>: 663–674.</w:t>
      </w:r>
    </w:p>
    <w:p w14:paraId="66E3B12C"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Yendrek CR, Tomaz T, Montes CM, Cao Y, Morse AM, Brown PJ, McIntyre LM, Leakey ADB, Ainsworth EA</w:t>
      </w:r>
      <w:r w:rsidRPr="0077148C">
        <w:rPr>
          <w:rFonts w:ascii="Calibri" w:hAnsi="Calibri" w:cs="Calibri"/>
          <w:sz w:val="24"/>
        </w:rPr>
        <w:t xml:space="preserve">. </w:t>
      </w:r>
      <w:r w:rsidRPr="0077148C">
        <w:rPr>
          <w:rFonts w:ascii="Calibri" w:hAnsi="Calibri" w:cs="Calibri"/>
          <w:b/>
          <w:bCs/>
          <w:sz w:val="24"/>
        </w:rPr>
        <w:t>2017</w:t>
      </w:r>
      <w:r w:rsidRPr="0077148C">
        <w:rPr>
          <w:rFonts w:ascii="Calibri" w:hAnsi="Calibri" w:cs="Calibri"/>
          <w:sz w:val="24"/>
        </w:rPr>
        <w:t xml:space="preserve">. High-Throughput Phenotyping of Maize Leaf Physiological and Biochemical Traits Using Hyperspectral Reflectance. </w:t>
      </w:r>
      <w:r w:rsidRPr="0077148C">
        <w:rPr>
          <w:rFonts w:ascii="Calibri" w:hAnsi="Calibri" w:cs="Calibri"/>
          <w:i/>
          <w:iCs/>
          <w:sz w:val="24"/>
        </w:rPr>
        <w:t>Plant Physiology</w:t>
      </w:r>
      <w:r w:rsidRPr="0077148C">
        <w:rPr>
          <w:rFonts w:ascii="Calibri" w:hAnsi="Calibri" w:cs="Calibri"/>
          <w:sz w:val="24"/>
        </w:rPr>
        <w:t xml:space="preserve"> </w:t>
      </w:r>
      <w:r w:rsidRPr="0077148C">
        <w:rPr>
          <w:rFonts w:ascii="Calibri" w:hAnsi="Calibri" w:cs="Calibri"/>
          <w:b/>
          <w:bCs/>
          <w:sz w:val="24"/>
        </w:rPr>
        <w:t>173</w:t>
      </w:r>
      <w:r w:rsidRPr="0077148C">
        <w:rPr>
          <w:rFonts w:ascii="Calibri" w:hAnsi="Calibri" w:cs="Calibri"/>
          <w:sz w:val="24"/>
        </w:rPr>
        <w:t>: 614–626.</w:t>
      </w:r>
    </w:p>
    <w:p w14:paraId="25E1343A" w14:textId="21FC2F94" w:rsidR="001C3251" w:rsidRDefault="0074196C" w:rsidP="009E124E">
      <w:pPr>
        <w:rPr>
          <w:rFonts w:cstheme="minorHAnsi"/>
          <w:sz w:val="24"/>
          <w:szCs w:val="24"/>
        </w:rPr>
      </w:pPr>
      <w:r>
        <w:rPr>
          <w:rFonts w:cstheme="minorHAnsi"/>
          <w:sz w:val="24"/>
          <w:szCs w:val="24"/>
        </w:rPr>
        <w:fldChar w:fldCharType="end"/>
      </w:r>
    </w:p>
    <w:sectPr w:rsidR="001C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015C1"/>
    <w:multiLevelType w:val="multilevel"/>
    <w:tmpl w:val="63AA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4E"/>
    <w:rsid w:val="00165619"/>
    <w:rsid w:val="001C3251"/>
    <w:rsid w:val="003065FA"/>
    <w:rsid w:val="0031324B"/>
    <w:rsid w:val="00375048"/>
    <w:rsid w:val="0048579E"/>
    <w:rsid w:val="00492AC9"/>
    <w:rsid w:val="004C0415"/>
    <w:rsid w:val="006A7C11"/>
    <w:rsid w:val="0074196C"/>
    <w:rsid w:val="0077148C"/>
    <w:rsid w:val="007D4E7E"/>
    <w:rsid w:val="007F43BF"/>
    <w:rsid w:val="008361F4"/>
    <w:rsid w:val="008F0D18"/>
    <w:rsid w:val="00955CB3"/>
    <w:rsid w:val="009817B4"/>
    <w:rsid w:val="009E124E"/>
    <w:rsid w:val="00AA4E95"/>
    <w:rsid w:val="00BD1DCA"/>
    <w:rsid w:val="00D46A13"/>
    <w:rsid w:val="00DB2C51"/>
    <w:rsid w:val="00E46C5B"/>
    <w:rsid w:val="00E5392B"/>
    <w:rsid w:val="00ED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E077"/>
  <w15:chartTrackingRefBased/>
  <w15:docId w15:val="{F551136A-5F0E-4E32-85A4-41E3E212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96C"/>
  </w:style>
  <w:style w:type="paragraph" w:styleId="Heading1">
    <w:name w:val="heading 1"/>
    <w:basedOn w:val="Normal"/>
    <w:link w:val="Heading1Char"/>
    <w:uiPriority w:val="9"/>
    <w:qFormat/>
    <w:rsid w:val="009E12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A7C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24E"/>
    <w:rPr>
      <w:color w:val="0000FF"/>
      <w:u w:val="single"/>
    </w:rPr>
  </w:style>
  <w:style w:type="paragraph" w:customStyle="1" w:styleId="sm-accountitem">
    <w:name w:val="sm-account__item"/>
    <w:basedOn w:val="Normal"/>
    <w:rsid w:val="009E12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124E"/>
    <w:rPr>
      <w:rFonts w:ascii="Times New Roman" w:eastAsia="Times New Roman" w:hAnsi="Times New Roman" w:cs="Times New Roman"/>
      <w:b/>
      <w:bCs/>
      <w:kern w:val="36"/>
      <w:sz w:val="48"/>
      <w:szCs w:val="48"/>
    </w:rPr>
  </w:style>
  <w:style w:type="character" w:customStyle="1" w:styleId="al-author-name-more">
    <w:name w:val="al-author-name-more"/>
    <w:basedOn w:val="DefaultParagraphFont"/>
    <w:rsid w:val="009E124E"/>
  </w:style>
  <w:style w:type="character" w:customStyle="1" w:styleId="delimiter">
    <w:name w:val="delimiter"/>
    <w:basedOn w:val="DefaultParagraphFont"/>
    <w:rsid w:val="009E124E"/>
  </w:style>
  <w:style w:type="character" w:styleId="Emphasis">
    <w:name w:val="Emphasis"/>
    <w:basedOn w:val="DefaultParagraphFont"/>
    <w:uiPriority w:val="20"/>
    <w:qFormat/>
    <w:rsid w:val="009E124E"/>
    <w:rPr>
      <w:i/>
      <w:iCs/>
    </w:rPr>
  </w:style>
  <w:style w:type="character" w:styleId="Strong">
    <w:name w:val="Strong"/>
    <w:basedOn w:val="DefaultParagraphFont"/>
    <w:uiPriority w:val="22"/>
    <w:qFormat/>
    <w:rsid w:val="009E124E"/>
    <w:rPr>
      <w:b/>
      <w:bCs/>
    </w:rPr>
  </w:style>
  <w:style w:type="character" w:styleId="UnresolvedMention">
    <w:name w:val="Unresolved Mention"/>
    <w:basedOn w:val="DefaultParagraphFont"/>
    <w:uiPriority w:val="99"/>
    <w:semiHidden/>
    <w:unhideWhenUsed/>
    <w:rsid w:val="009E124E"/>
    <w:rPr>
      <w:color w:val="605E5C"/>
      <w:shd w:val="clear" w:color="auto" w:fill="E1DFDD"/>
    </w:rPr>
  </w:style>
  <w:style w:type="table" w:styleId="TableGrid">
    <w:name w:val="Table Grid"/>
    <w:basedOn w:val="TableNormal"/>
    <w:uiPriority w:val="39"/>
    <w:rsid w:val="001C3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4196C"/>
    <w:pPr>
      <w:spacing w:after="240" w:line="240" w:lineRule="auto"/>
    </w:pPr>
  </w:style>
  <w:style w:type="character" w:customStyle="1" w:styleId="Heading3Char">
    <w:name w:val="Heading 3 Char"/>
    <w:basedOn w:val="DefaultParagraphFont"/>
    <w:link w:val="Heading3"/>
    <w:uiPriority w:val="9"/>
    <w:semiHidden/>
    <w:rsid w:val="006A7C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42892">
      <w:bodyDiv w:val="1"/>
      <w:marLeft w:val="0"/>
      <w:marRight w:val="0"/>
      <w:marTop w:val="0"/>
      <w:marBottom w:val="0"/>
      <w:divBdr>
        <w:top w:val="none" w:sz="0" w:space="0" w:color="auto"/>
        <w:left w:val="none" w:sz="0" w:space="0" w:color="auto"/>
        <w:bottom w:val="none" w:sz="0" w:space="0" w:color="auto"/>
        <w:right w:val="none" w:sz="0" w:space="0" w:color="auto"/>
      </w:divBdr>
    </w:div>
    <w:div w:id="243495444">
      <w:bodyDiv w:val="1"/>
      <w:marLeft w:val="0"/>
      <w:marRight w:val="0"/>
      <w:marTop w:val="0"/>
      <w:marBottom w:val="0"/>
      <w:divBdr>
        <w:top w:val="none" w:sz="0" w:space="0" w:color="auto"/>
        <w:left w:val="none" w:sz="0" w:space="0" w:color="auto"/>
        <w:bottom w:val="none" w:sz="0" w:space="0" w:color="auto"/>
        <w:right w:val="none" w:sz="0" w:space="0" w:color="auto"/>
      </w:divBdr>
      <w:divsChild>
        <w:div w:id="523985900">
          <w:marLeft w:val="0"/>
          <w:marRight w:val="0"/>
          <w:marTop w:val="0"/>
          <w:marBottom w:val="0"/>
          <w:divBdr>
            <w:top w:val="none" w:sz="0" w:space="0" w:color="auto"/>
            <w:left w:val="none" w:sz="0" w:space="0" w:color="auto"/>
            <w:bottom w:val="none" w:sz="0" w:space="0" w:color="auto"/>
            <w:right w:val="none" w:sz="0" w:space="0" w:color="auto"/>
          </w:divBdr>
        </w:div>
        <w:div w:id="826702957">
          <w:marLeft w:val="0"/>
          <w:marRight w:val="0"/>
          <w:marTop w:val="0"/>
          <w:marBottom w:val="0"/>
          <w:divBdr>
            <w:top w:val="none" w:sz="0" w:space="0" w:color="auto"/>
            <w:left w:val="none" w:sz="0" w:space="0" w:color="auto"/>
            <w:bottom w:val="none" w:sz="0" w:space="0" w:color="auto"/>
            <w:right w:val="none" w:sz="0" w:space="0" w:color="auto"/>
          </w:divBdr>
          <w:divsChild>
            <w:div w:id="1880588098">
              <w:marLeft w:val="0"/>
              <w:marRight w:val="0"/>
              <w:marTop w:val="0"/>
              <w:marBottom w:val="165"/>
              <w:divBdr>
                <w:top w:val="none" w:sz="0" w:space="0" w:color="auto"/>
                <w:left w:val="none" w:sz="0" w:space="0" w:color="auto"/>
                <w:bottom w:val="none" w:sz="0" w:space="0" w:color="auto"/>
                <w:right w:val="none" w:sz="0" w:space="0" w:color="auto"/>
              </w:divBdr>
            </w:div>
          </w:divsChild>
        </w:div>
        <w:div w:id="1935241468">
          <w:marLeft w:val="0"/>
          <w:marRight w:val="0"/>
          <w:marTop w:val="165"/>
          <w:marBottom w:val="165"/>
          <w:divBdr>
            <w:top w:val="none" w:sz="0" w:space="0" w:color="auto"/>
            <w:left w:val="none" w:sz="0" w:space="0" w:color="auto"/>
            <w:bottom w:val="none" w:sz="0" w:space="0" w:color="auto"/>
            <w:right w:val="none" w:sz="0" w:space="0" w:color="auto"/>
          </w:divBdr>
          <w:divsChild>
            <w:div w:id="1057514019">
              <w:marLeft w:val="0"/>
              <w:marRight w:val="0"/>
              <w:marTop w:val="0"/>
              <w:marBottom w:val="0"/>
              <w:divBdr>
                <w:top w:val="none" w:sz="0" w:space="0" w:color="auto"/>
                <w:left w:val="none" w:sz="0" w:space="0" w:color="auto"/>
                <w:bottom w:val="none" w:sz="0" w:space="0" w:color="auto"/>
                <w:right w:val="none" w:sz="0" w:space="0" w:color="auto"/>
              </w:divBdr>
              <w:divsChild>
                <w:div w:id="21047630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705563086">
      <w:bodyDiv w:val="1"/>
      <w:marLeft w:val="0"/>
      <w:marRight w:val="0"/>
      <w:marTop w:val="0"/>
      <w:marBottom w:val="0"/>
      <w:divBdr>
        <w:top w:val="none" w:sz="0" w:space="0" w:color="auto"/>
        <w:left w:val="none" w:sz="0" w:space="0" w:color="auto"/>
        <w:bottom w:val="none" w:sz="0" w:space="0" w:color="auto"/>
        <w:right w:val="none" w:sz="0" w:space="0" w:color="auto"/>
      </w:divBdr>
    </w:div>
    <w:div w:id="788430235">
      <w:bodyDiv w:val="1"/>
      <w:marLeft w:val="0"/>
      <w:marRight w:val="0"/>
      <w:marTop w:val="0"/>
      <w:marBottom w:val="0"/>
      <w:divBdr>
        <w:top w:val="none" w:sz="0" w:space="0" w:color="auto"/>
        <w:left w:val="none" w:sz="0" w:space="0" w:color="auto"/>
        <w:bottom w:val="none" w:sz="0" w:space="0" w:color="auto"/>
        <w:right w:val="none" w:sz="0" w:space="0" w:color="auto"/>
      </w:divBdr>
    </w:div>
    <w:div w:id="825052117">
      <w:bodyDiv w:val="1"/>
      <w:marLeft w:val="0"/>
      <w:marRight w:val="0"/>
      <w:marTop w:val="0"/>
      <w:marBottom w:val="0"/>
      <w:divBdr>
        <w:top w:val="none" w:sz="0" w:space="0" w:color="auto"/>
        <w:left w:val="none" w:sz="0" w:space="0" w:color="auto"/>
        <w:bottom w:val="none" w:sz="0" w:space="0" w:color="auto"/>
        <w:right w:val="none" w:sz="0" w:space="0" w:color="auto"/>
      </w:divBdr>
      <w:divsChild>
        <w:div w:id="1351295729">
          <w:marLeft w:val="0"/>
          <w:marRight w:val="0"/>
          <w:marTop w:val="0"/>
          <w:marBottom w:val="0"/>
          <w:divBdr>
            <w:top w:val="none" w:sz="0" w:space="0" w:color="auto"/>
            <w:left w:val="none" w:sz="0" w:space="0" w:color="auto"/>
            <w:bottom w:val="none" w:sz="0" w:space="0" w:color="auto"/>
            <w:right w:val="none" w:sz="0" w:space="0" w:color="auto"/>
          </w:divBdr>
        </w:div>
        <w:div w:id="1998878895">
          <w:marLeft w:val="0"/>
          <w:marRight w:val="0"/>
          <w:marTop w:val="0"/>
          <w:marBottom w:val="0"/>
          <w:divBdr>
            <w:top w:val="none" w:sz="0" w:space="0" w:color="auto"/>
            <w:left w:val="none" w:sz="0" w:space="0" w:color="auto"/>
            <w:bottom w:val="none" w:sz="0" w:space="0" w:color="auto"/>
            <w:right w:val="none" w:sz="0" w:space="0" w:color="auto"/>
          </w:divBdr>
        </w:div>
        <w:div w:id="1961035500">
          <w:marLeft w:val="0"/>
          <w:marRight w:val="0"/>
          <w:marTop w:val="0"/>
          <w:marBottom w:val="0"/>
          <w:divBdr>
            <w:top w:val="none" w:sz="0" w:space="0" w:color="auto"/>
            <w:left w:val="none" w:sz="0" w:space="0" w:color="auto"/>
            <w:bottom w:val="none" w:sz="0" w:space="0" w:color="auto"/>
            <w:right w:val="none" w:sz="0" w:space="0" w:color="auto"/>
          </w:divBdr>
        </w:div>
        <w:div w:id="277224979">
          <w:marLeft w:val="0"/>
          <w:marRight w:val="0"/>
          <w:marTop w:val="0"/>
          <w:marBottom w:val="0"/>
          <w:divBdr>
            <w:top w:val="single" w:sz="2" w:space="0" w:color="333333"/>
            <w:left w:val="single" w:sz="2" w:space="0" w:color="333333"/>
            <w:bottom w:val="single" w:sz="2" w:space="0" w:color="333333"/>
            <w:right w:val="dotted" w:sz="6" w:space="0" w:color="489FAD"/>
          </w:divBdr>
          <w:divsChild>
            <w:div w:id="232666086">
              <w:marLeft w:val="0"/>
              <w:marRight w:val="0"/>
              <w:marTop w:val="0"/>
              <w:marBottom w:val="0"/>
              <w:divBdr>
                <w:top w:val="none" w:sz="0" w:space="0" w:color="auto"/>
                <w:left w:val="none" w:sz="0" w:space="0" w:color="auto"/>
                <w:bottom w:val="none" w:sz="0" w:space="0" w:color="auto"/>
                <w:right w:val="none" w:sz="0" w:space="0" w:color="auto"/>
              </w:divBdr>
            </w:div>
          </w:divsChild>
        </w:div>
        <w:div w:id="1099326374">
          <w:marLeft w:val="0"/>
          <w:marRight w:val="0"/>
          <w:marTop w:val="0"/>
          <w:marBottom w:val="0"/>
          <w:divBdr>
            <w:top w:val="single" w:sz="2" w:space="0" w:color="333333"/>
            <w:left w:val="single" w:sz="2" w:space="0" w:color="333333"/>
            <w:bottom w:val="single" w:sz="2" w:space="0" w:color="333333"/>
            <w:right w:val="dotted" w:sz="2" w:space="0" w:color="489FAD"/>
          </w:divBdr>
          <w:divsChild>
            <w:div w:id="1629316525">
              <w:marLeft w:val="0"/>
              <w:marRight w:val="0"/>
              <w:marTop w:val="0"/>
              <w:marBottom w:val="0"/>
              <w:divBdr>
                <w:top w:val="none" w:sz="0" w:space="0" w:color="auto"/>
                <w:left w:val="none" w:sz="0" w:space="0" w:color="auto"/>
                <w:bottom w:val="none" w:sz="0" w:space="0" w:color="auto"/>
                <w:right w:val="none" w:sz="0" w:space="0" w:color="auto"/>
              </w:divBdr>
            </w:div>
          </w:divsChild>
        </w:div>
        <w:div w:id="1795516368">
          <w:marLeft w:val="0"/>
          <w:marRight w:val="0"/>
          <w:marTop w:val="100"/>
          <w:marBottom w:val="0"/>
          <w:divBdr>
            <w:top w:val="none" w:sz="0" w:space="0" w:color="auto"/>
            <w:left w:val="none" w:sz="0" w:space="0" w:color="auto"/>
            <w:bottom w:val="none" w:sz="0" w:space="0" w:color="auto"/>
            <w:right w:val="none" w:sz="0" w:space="0" w:color="auto"/>
          </w:divBdr>
          <w:divsChild>
            <w:div w:id="19726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308">
      <w:bodyDiv w:val="1"/>
      <w:marLeft w:val="0"/>
      <w:marRight w:val="0"/>
      <w:marTop w:val="0"/>
      <w:marBottom w:val="0"/>
      <w:divBdr>
        <w:top w:val="none" w:sz="0" w:space="0" w:color="auto"/>
        <w:left w:val="none" w:sz="0" w:space="0" w:color="auto"/>
        <w:bottom w:val="none" w:sz="0" w:space="0" w:color="auto"/>
        <w:right w:val="none" w:sz="0" w:space="0" w:color="auto"/>
      </w:divBdr>
    </w:div>
    <w:div w:id="1034963895">
      <w:bodyDiv w:val="1"/>
      <w:marLeft w:val="0"/>
      <w:marRight w:val="0"/>
      <w:marTop w:val="0"/>
      <w:marBottom w:val="0"/>
      <w:divBdr>
        <w:top w:val="none" w:sz="0" w:space="0" w:color="auto"/>
        <w:left w:val="none" w:sz="0" w:space="0" w:color="auto"/>
        <w:bottom w:val="none" w:sz="0" w:space="0" w:color="auto"/>
        <w:right w:val="none" w:sz="0" w:space="0" w:color="auto"/>
      </w:divBdr>
      <w:divsChild>
        <w:div w:id="1484933385">
          <w:marLeft w:val="0"/>
          <w:marRight w:val="0"/>
          <w:marTop w:val="0"/>
          <w:marBottom w:val="0"/>
          <w:divBdr>
            <w:top w:val="none" w:sz="0" w:space="0" w:color="auto"/>
            <w:left w:val="none" w:sz="0" w:space="0" w:color="auto"/>
            <w:bottom w:val="none" w:sz="0" w:space="0" w:color="auto"/>
            <w:right w:val="none" w:sz="0" w:space="0" w:color="auto"/>
          </w:divBdr>
        </w:div>
        <w:div w:id="1295481020">
          <w:marLeft w:val="0"/>
          <w:marRight w:val="0"/>
          <w:marTop w:val="0"/>
          <w:marBottom w:val="0"/>
          <w:divBdr>
            <w:top w:val="none" w:sz="0" w:space="0" w:color="auto"/>
            <w:left w:val="none" w:sz="0" w:space="0" w:color="auto"/>
            <w:bottom w:val="none" w:sz="0" w:space="0" w:color="auto"/>
            <w:right w:val="none" w:sz="0" w:space="0" w:color="auto"/>
          </w:divBdr>
          <w:divsChild>
            <w:div w:id="2084177305">
              <w:marLeft w:val="0"/>
              <w:marRight w:val="0"/>
              <w:marTop w:val="0"/>
              <w:marBottom w:val="165"/>
              <w:divBdr>
                <w:top w:val="none" w:sz="0" w:space="0" w:color="auto"/>
                <w:left w:val="none" w:sz="0" w:space="0" w:color="auto"/>
                <w:bottom w:val="none" w:sz="0" w:space="0" w:color="auto"/>
                <w:right w:val="none" w:sz="0" w:space="0" w:color="auto"/>
              </w:divBdr>
            </w:div>
          </w:divsChild>
        </w:div>
        <w:div w:id="30964172">
          <w:marLeft w:val="0"/>
          <w:marRight w:val="0"/>
          <w:marTop w:val="165"/>
          <w:marBottom w:val="165"/>
          <w:divBdr>
            <w:top w:val="none" w:sz="0" w:space="0" w:color="auto"/>
            <w:left w:val="none" w:sz="0" w:space="0" w:color="auto"/>
            <w:bottom w:val="none" w:sz="0" w:space="0" w:color="auto"/>
            <w:right w:val="none" w:sz="0" w:space="0" w:color="auto"/>
          </w:divBdr>
          <w:divsChild>
            <w:div w:id="1293437810">
              <w:marLeft w:val="0"/>
              <w:marRight w:val="0"/>
              <w:marTop w:val="0"/>
              <w:marBottom w:val="0"/>
              <w:divBdr>
                <w:top w:val="none" w:sz="0" w:space="0" w:color="auto"/>
                <w:left w:val="none" w:sz="0" w:space="0" w:color="auto"/>
                <w:bottom w:val="none" w:sz="0" w:space="0" w:color="auto"/>
                <w:right w:val="none" w:sz="0" w:space="0" w:color="auto"/>
              </w:divBdr>
              <w:divsChild>
                <w:div w:id="21212964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0272132">
      <w:bodyDiv w:val="1"/>
      <w:marLeft w:val="0"/>
      <w:marRight w:val="0"/>
      <w:marTop w:val="0"/>
      <w:marBottom w:val="0"/>
      <w:divBdr>
        <w:top w:val="none" w:sz="0" w:space="0" w:color="auto"/>
        <w:left w:val="none" w:sz="0" w:space="0" w:color="auto"/>
        <w:bottom w:val="none" w:sz="0" w:space="0" w:color="auto"/>
        <w:right w:val="none" w:sz="0" w:space="0" w:color="auto"/>
      </w:divBdr>
    </w:div>
    <w:div w:id="1600218564">
      <w:bodyDiv w:val="1"/>
      <w:marLeft w:val="0"/>
      <w:marRight w:val="0"/>
      <w:marTop w:val="0"/>
      <w:marBottom w:val="0"/>
      <w:divBdr>
        <w:top w:val="none" w:sz="0" w:space="0" w:color="auto"/>
        <w:left w:val="none" w:sz="0" w:space="0" w:color="auto"/>
        <w:bottom w:val="none" w:sz="0" w:space="0" w:color="auto"/>
        <w:right w:val="none" w:sz="0" w:space="0" w:color="auto"/>
      </w:divBdr>
    </w:div>
    <w:div w:id="2087918571">
      <w:bodyDiv w:val="1"/>
      <w:marLeft w:val="0"/>
      <w:marRight w:val="0"/>
      <w:marTop w:val="0"/>
      <w:marBottom w:val="0"/>
      <w:divBdr>
        <w:top w:val="none" w:sz="0" w:space="0" w:color="auto"/>
        <w:left w:val="none" w:sz="0" w:space="0" w:color="auto"/>
        <w:bottom w:val="none" w:sz="0" w:space="0" w:color="auto"/>
        <w:right w:val="none" w:sz="0" w:space="0" w:color="auto"/>
      </w:divBdr>
      <w:divsChild>
        <w:div w:id="901136695">
          <w:marLeft w:val="0"/>
          <w:marRight w:val="0"/>
          <w:marTop w:val="225"/>
          <w:marBottom w:val="225"/>
          <w:divBdr>
            <w:top w:val="none" w:sz="0" w:space="0" w:color="auto"/>
            <w:left w:val="none" w:sz="0" w:space="0" w:color="auto"/>
            <w:bottom w:val="none" w:sz="0" w:space="0" w:color="auto"/>
            <w:right w:val="none" w:sz="0" w:space="0" w:color="auto"/>
          </w:divBdr>
          <w:divsChild>
            <w:div w:id="1790976284">
              <w:marLeft w:val="0"/>
              <w:marRight w:val="0"/>
              <w:marTop w:val="0"/>
              <w:marBottom w:val="0"/>
              <w:divBdr>
                <w:top w:val="none" w:sz="0" w:space="0" w:color="auto"/>
                <w:left w:val="none" w:sz="0" w:space="0" w:color="auto"/>
                <w:bottom w:val="none" w:sz="0" w:space="0" w:color="auto"/>
                <w:right w:val="none" w:sz="0" w:space="0" w:color="auto"/>
              </w:divBdr>
              <w:divsChild>
                <w:div w:id="1674725941">
                  <w:marLeft w:val="0"/>
                  <w:marRight w:val="0"/>
                  <w:marTop w:val="0"/>
                  <w:marBottom w:val="0"/>
                  <w:divBdr>
                    <w:top w:val="none" w:sz="0" w:space="0" w:color="auto"/>
                    <w:left w:val="none" w:sz="0" w:space="0" w:color="auto"/>
                    <w:bottom w:val="none" w:sz="0" w:space="0" w:color="auto"/>
                    <w:right w:val="none" w:sz="0" w:space="0" w:color="auto"/>
                  </w:divBdr>
                  <w:divsChild>
                    <w:div w:id="20840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02019">
      <w:bodyDiv w:val="1"/>
      <w:marLeft w:val="0"/>
      <w:marRight w:val="0"/>
      <w:marTop w:val="0"/>
      <w:marBottom w:val="0"/>
      <w:divBdr>
        <w:top w:val="none" w:sz="0" w:space="0" w:color="auto"/>
        <w:left w:val="none" w:sz="0" w:space="0" w:color="auto"/>
        <w:bottom w:val="none" w:sz="0" w:space="0" w:color="auto"/>
        <w:right w:val="none" w:sz="0" w:space="0" w:color="auto"/>
      </w:divBdr>
      <w:divsChild>
        <w:div w:id="1952470404">
          <w:marLeft w:val="0"/>
          <w:marRight w:val="0"/>
          <w:marTop w:val="0"/>
          <w:marBottom w:val="0"/>
          <w:divBdr>
            <w:top w:val="none" w:sz="0" w:space="0" w:color="auto"/>
            <w:left w:val="none" w:sz="0" w:space="0" w:color="auto"/>
            <w:bottom w:val="none" w:sz="0" w:space="0" w:color="auto"/>
            <w:right w:val="none" w:sz="0" w:space="0" w:color="auto"/>
          </w:divBdr>
        </w:div>
        <w:div w:id="1912813762">
          <w:marLeft w:val="0"/>
          <w:marRight w:val="0"/>
          <w:marTop w:val="0"/>
          <w:marBottom w:val="0"/>
          <w:divBdr>
            <w:top w:val="none" w:sz="0" w:space="0" w:color="auto"/>
            <w:left w:val="none" w:sz="0" w:space="0" w:color="auto"/>
            <w:bottom w:val="none" w:sz="0" w:space="0" w:color="auto"/>
            <w:right w:val="none" w:sz="0" w:space="0" w:color="auto"/>
          </w:divBdr>
          <w:divsChild>
            <w:div w:id="138399047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lbert@email.arizona.edu" TargetMode="External"/><Relationship Id="rId5" Type="http://schemas.openxmlformats.org/officeDocument/2006/relationships/hyperlink" Target="mailto:kaiyug@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4457</Words>
  <Characters>25409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Lamour, Julien</cp:lastModifiedBy>
  <cp:revision>12</cp:revision>
  <dcterms:created xsi:type="dcterms:W3CDTF">2021-10-12T14:14:00Z</dcterms:created>
  <dcterms:modified xsi:type="dcterms:W3CDTF">2021-10-14T18:36:00Z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id="fCkPg5oZ"/&gt;&lt;style id="http://www.zotero.org/styles/new-phytologist" hasBibliography="1" bibliographyStyleHasBeenSet="1"/&gt;&lt;prefs&gt;&lt;pref name="fieldType" value="Field"/&gt;&lt;/prefs&gt;&lt;/data&gt;</vt:lpwstr>
  </property>
</Properties>
</file>