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рассмотреть и построить модель конкуренции двух фирм.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17"/>
    <w:p>
      <w:pPr>
        <w:pStyle w:val="Heading2"/>
      </w:pPr>
      <w:r>
        <w:t xml:space="preserve">Вариант 17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модель-одной-фирмы"/>
    <w:p>
      <w:pPr>
        <w:pStyle w:val="Heading2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w:r>
        <w:t xml:space="preserve">N — число потребителей производимого продукта.</w:t>
      </w:r>
    </w:p>
    <w:p>
      <w:pPr>
        <w:pStyle w:val="BodyText"/>
      </w:pPr>
      <w:r>
        <w:t xml:space="preserve">S —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</w:p>
    <w:p>
      <w:pPr>
        <w:pStyle w:val="BodyText"/>
      </w:pPr>
      <w:r>
        <w:t xml:space="preserve">M —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— длительность производственного цикла</w:t>
      </w:r>
    </w:p>
    <w:p>
      <w:pPr>
        <w:pStyle w:val="BodyText"/>
      </w:pPr>
      <w:r>
        <w:t xml:space="preserve">p —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— себестоимость продукта, то есть переменные издержки</w:t>
      </w:r>
      <w:r>
        <w:t xml:space="preserve"> </w:t>
      </w:r>
      <w:r>
        <w:t xml:space="preserve">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продукции.</w:t>
      </w:r>
    </w:p>
    <w:p>
      <w:pPr>
        <w:pStyle w:val="BodyText"/>
      </w:pPr>
      <w:r>
        <w:t xml:space="preserve">Q(S/p) 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r>
            <m:t>p</m:t>
          </m:r>
          <m:r>
            <m:rPr>
              <m:sty m:val="p"/>
            </m:rPr>
            <m:t>/</m:t>
          </m:r>
          <m:r>
            <m:t>S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где q 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</w:t>
      </w:r>
      <w:r>
        <w:t xml:space="preserve"> </w:t>
      </w:r>
      <w:r>
        <w:t xml:space="preserve">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</w:t>
      </w:r>
      <w:r>
        <w:t xml:space="preserve"> </w:t>
      </w:r>
      <w:r>
        <w:t xml:space="preserve">Параметр k – мера эластичности функции спроса по цене. Таким образом, функция</w:t>
      </w:r>
      <w:r>
        <w:t xml:space="preserve"> </w:t>
      </w:r>
      <w:r>
        <w:t xml:space="preserve">спроса в форме (1) является пороговой (то есть, Q(S/p) = 0 при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</w:t>
      </w:r>
      <w:r>
        <w:t xml:space="preserve"> </w:t>
      </w:r>
      <w:r>
        <w:t xml:space="preserve">и обладает</w:t>
      </w:r>
      <w:r>
        <w:t xml:space="preserve"> </w:t>
      </w:r>
      <w:r>
        <w:t xml:space="preserve">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M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M</m:t>
          </m:r>
          <m:r>
            <m:t>δ</m:t>
          </m:r>
          <m:r>
            <m:rPr>
              <m:sty m:val="p"/>
            </m:rPr>
            <m:t>/</m:t>
          </m:r>
          <m:r>
            <m:t>τ</m:t>
          </m:r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M</m:t>
          </m:r>
          <m:r>
            <m:t>δ</m:t>
          </m:r>
          <m:r>
            <m:rPr>
              <m:sty m:val="p"/>
            </m:rPr>
            <m:t>/</m:t>
          </m:r>
          <m:r>
            <m:t>τ</m:t>
          </m:r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(2)</w:t>
      </w:r>
    </w:p>
    <w:p>
      <w:pPr>
        <w:pStyle w:val="BodyText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p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υ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t>δ</m:t>
          </m:r>
          <m:r>
            <m:rPr>
              <m:sty m:val="p"/>
            </m:rPr>
            <m:t>/</m:t>
          </m:r>
          <m:r>
            <m:t>τ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(3)</w:t>
      </w:r>
    </w:p>
    <w:p>
      <w:pPr>
        <w:pStyle w:val="BodyText"/>
      </w:pPr>
      <w:r>
        <w:t xml:space="preserve">Первый член соответствует количеству поставляемого на рынок товара (то</w:t>
      </w:r>
      <w:r>
        <w:t xml:space="preserve"> </w:t>
      </w:r>
      <w:r>
        <w:t xml:space="preserve">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υ</m:t>
        </m:r>
      </m:oMath>
      <w:r>
        <w:t xml:space="preserve"> </w:t>
      </w:r>
      <w:r>
        <w:t xml:space="preserve">зависит от скорости оборота товаров на рынке. Как правило,</w:t>
      </w:r>
      <w:r>
        <w:t xml:space="preserve"> </w:t>
      </w:r>
      <w:r>
        <w:t xml:space="preserve">время торгового оборота существенно меньше времени производственного цикла τ.</w:t>
      </w:r>
      <w:r>
        <w:t xml:space="preserve"> </w:t>
      </w:r>
      <w:r>
        <w:t xml:space="preserve">При заданном M уравнение (3) описывает быстрое стремление цены к</w:t>
      </w:r>
      <w:r>
        <w:t xml:space="preserve"> </w:t>
      </w:r>
      <w:r>
        <w:t xml:space="preserve">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t>δ</m:t>
          </m:r>
          <m:r>
            <m:rPr>
              <m:sty m:val="p"/>
            </m:rPr>
            <m:t>/</m:t>
          </m:r>
          <m:r>
            <m:t>τ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(4)</w:t>
      </w:r>
    </w:p>
    <w:p>
      <w:pPr>
        <w:pStyle w:val="BodyText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t>δ</m:t>
          </m:r>
          <m:r>
            <m:rPr>
              <m:sty m:val="p"/>
            </m:rPr>
            <m:t>/</m:t>
          </m:r>
          <m:r>
            <m:t>τ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(5)</w:t>
      </w:r>
    </w:p>
    <w:p>
      <w:pPr>
        <w:pStyle w:val="BodyText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M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M</m:t>
          </m:r>
          <m:r>
            <m:t>δ</m:t>
          </m:r>
          <m:r>
            <m:rPr>
              <m:sty m:val="p"/>
            </m:rPr>
            <m:t>/</m:t>
          </m:r>
          <m:r>
            <m:t>τ</m:t>
          </m:r>
          <m:r>
            <m:rPr>
              <m:sty m:val="p"/>
            </m:rPr>
            <m:t>(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δ</m:t>
          </m:r>
          <m:r>
            <m:rPr>
              <m:sty m:val="p"/>
            </m:rPr>
            <m:t>/</m:t>
          </m:r>
          <m:r>
            <m:t>τ</m:t>
          </m:r>
          <m:acc>
            <m:accPr>
              <m:chr m:val="̃"/>
            </m:accPr>
            <m:e>
              <m:r>
                <m:t>p</m:t>
              </m:r>
            </m:e>
          </m:acc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/</m:t>
          </m:r>
          <m:r>
            <m:t>N</m:t>
          </m:r>
          <m:r>
            <m:t>q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(6)</w:t>
      </w:r>
    </w:p>
    <w:p>
      <w:pPr>
        <w:pStyle w:val="BodyText"/>
      </w:pPr>
      <w:r>
        <w:t xml:space="preserve">Уравнение (6) имеет два стационарных решения, соответствующих</w:t>
      </w:r>
      <w:r>
        <w:t xml:space="preserve"> </w:t>
      </w:r>
      <w:r>
        <w:t xml:space="preserve">условию dM/dt = 0: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(7)</w:t>
      </w:r>
    </w:p>
    <w:p>
      <w:pPr>
        <w:pStyle w:val="BodyText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t>τ</m:t>
          </m:r>
          <m:r>
            <m:rPr>
              <m:sty m:val="p"/>
            </m:rPr>
            <m:t>/</m:t>
          </m:r>
          <m:r>
            <m:t>δ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τ</m:t>
          </m:r>
          <m:acc>
            <m:accPr>
              <m:chr m:val="̃"/>
            </m:accPr>
            <m:e>
              <m:r>
                <m:t>p</m:t>
              </m:r>
            </m:e>
          </m:acc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sSup>
            <m:e>
              <m:r>
                <m:t>δ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(8)</w:t>
      </w:r>
    </w:p>
    <w:p>
      <w:pPr>
        <w:pStyle w:val="BodyText"/>
      </w:pPr>
      <w:r>
        <w:t xml:space="preserve">Из (7) следует, что при больших постоянных издержках (в случае a^2 &lt; 4b)</w:t>
      </w:r>
      <w:r>
        <w:t xml:space="preserve"> </w:t>
      </w:r>
      <w:r>
        <w:t xml:space="preserve">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Однако, как правило,</w:t>
      </w:r>
      <w:r>
        <w:t xml:space="preserve"> </w:t>
      </w:r>
      <w:r>
        <w:t xml:space="preserve">постоянные затраты малы по сравнению с переменными (то есть, b &lt;&lt; a^2</w:t>
      </w:r>
      <w:r>
        <w:t xml:space="preserve"> </w:t>
      </w:r>
      <w:r>
        <w:t xml:space="preserve">) и играют</w:t>
      </w:r>
      <w:r>
        <w:t xml:space="preserve"> </w:t>
      </w:r>
      <w:r>
        <w:t xml:space="preserve">роль, только в случае, когда оборотные средства малы. При b &lt;&lt; a стационарные</w:t>
      </w:r>
      <w:r>
        <w:t xml:space="preserve"> </w:t>
      </w:r>
      <w:r>
        <w:t xml:space="preserve">значения M равны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t>τ</m:t>
          </m:r>
          <m:r>
            <m:rPr>
              <m:sty m:val="p"/>
            </m:rPr>
            <m:t>/</m:t>
          </m:r>
          <m:r>
            <m:t>δ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(</m:t>
          </m:r>
          <m:r>
            <m:t>τ</m:t>
          </m:r>
          <m:r>
            <m:rPr>
              <m:sty m:val="p"/>
            </m:rPr>
            <m:t>/</m:t>
          </m:r>
          <m:r>
            <m:t>δ</m:t>
          </m:r>
          <m:r>
            <m:rPr>
              <m:sty m:val="p"/>
            </m:rPr>
            <m:t>(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−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(9)</w:t>
      </w:r>
    </w:p>
    <w:p>
      <w:pPr>
        <w:pStyle w:val="BodyText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</w:t>
      </w:r>
      <w:r>
        <w:t xml:space="preserve"> </w:t>
      </w:r>
      <w:r>
        <w:t xml:space="preserve">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</w:t>
      </w:r>
      <w:r>
        <w:t xml:space="preserve"> </w:t>
      </w:r>
      <w:r>
        <w:t xml:space="preserve">при</w:t>
      </w:r>
      <w:r>
        <w:t xml:space="preserve"> </w:t>
      </w:r>
      <w:r>
        <w:t xml:space="preserve">M &lt;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(dM/dt &lt; 0), то есть, фирма идет к</w:t>
      </w:r>
      <w:r>
        <w:t xml:space="preserve"> </w:t>
      </w:r>
      <w:r>
        <w:t xml:space="preserve">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</w:t>
      </w:r>
      <w:r>
        <w:t xml:space="preserve"> </w:t>
      </w:r>
      <w:r>
        <w:t xml:space="preserve">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Это значит,</w:t>
      </w:r>
      <w:r>
        <w:t xml:space="preserve"> </w:t>
      </w:r>
      <w:r>
        <w:t xml:space="preserve">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</w:t>
      </w:r>
      <w:r>
        <w:t xml:space="preserve"> </w:t>
      </w:r>
      <w:r>
        <w:t xml:space="preserve">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3"/>
    <w:bookmarkStart w:id="34" w:name="конкуренция-двух-фирм"/>
    <w:p>
      <w:pPr>
        <w:pStyle w:val="Heading2"/>
      </w:pPr>
      <w:r>
        <w:t xml:space="preserve">Конкуренция двух фирм</w:t>
      </w:r>
    </w:p>
    <w:bookmarkStart w:id="28" w:name="первый-случай"/>
    <w:p>
      <w:pPr>
        <w:pStyle w:val="Heading3"/>
      </w:pPr>
      <w:r>
        <w:t xml:space="preserve">Первый случай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(10)</w:t>
      </w:r>
    </w:p>
    <w:p>
      <w:pPr>
        <w:pStyle w:val="BodyText"/>
      </w:pPr>
      <w:r>
        <w:t xml:space="preserve">где использованы те же обозначения, а индексы 1 и 2 относятся к первой и второй</w:t>
      </w:r>
      <w:r>
        <w:t xml:space="preserve"> </w:t>
      </w:r>
      <w:r>
        <w:t xml:space="preserve">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</w:t>
      </w:r>
      <w:r>
        <w:t xml:space="preserve"> </w:t>
      </w:r>
      <w:r>
        <w:t xml:space="preserve">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</w:t>
      </w:r>
      <w:r>
        <w:t xml:space="preserve"> </w:t>
      </w:r>
      <w:r>
        <w:t xml:space="preserve">произведенный каждой фирмой товар не накапливается, а реализуется по цене p.</w:t>
      </w:r>
      <w:r>
        <w:t xml:space="preserve"> </w:t>
      </w: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τ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τ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(11)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-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(12)</w:t>
      </w:r>
    </w:p>
    <w:p>
      <w:pPr>
        <w:pStyle w:val="BodyText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p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υ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/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(13)</w:t>
      </w:r>
    </w:p>
    <w:p>
      <w:pPr>
        <w:pStyle w:val="BodyText"/>
      </w:pPr>
      <w:r>
        <w:t xml:space="preserve">Считая, как и выше, что ценовое равновесие устанавливается быстро,</w:t>
      </w:r>
      <w:r>
        <w:t xml:space="preserve"> </w:t>
      </w:r>
      <w:r>
        <w:t xml:space="preserve">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/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(14)</w:t>
      </w:r>
    </w:p>
    <w:p>
      <w:pPr>
        <w:pStyle w:val="BodyText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(15)</w:t>
      </w:r>
    </w:p>
    <w:p>
      <w:pPr>
        <w:pStyle w:val="BodyText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/</m:t>
          </m:r>
          <m:sSubSup>
            <m:e>
              <m:r>
                <m:t>τ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Sup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N</m:t>
          </m:r>
          <m:r>
            <m:t>q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/</m:t>
          </m:r>
          <m:sSubSup>
            <m:e>
              <m:r>
                <m:t>τ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sSubSup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N</m:t>
          </m:r>
          <m:r>
            <m:t>q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/</m:t>
          </m:r>
          <m:sSubSup>
            <m:e>
              <m:r>
                <m:t>τ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Sup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Sup>
            <m:e>
              <m:r>
                <m:t>τ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sSubSup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N</m:t>
          </m:r>
          <m:r>
            <m:t>q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/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(16)</w:t>
      </w:r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</w:t>
      </w:r>
      <w:r>
        <w:t xml:space="preserve"> </w:t>
      </w:r>
      <w:r>
        <w:t xml:space="preserve">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θ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(17)</w:t>
      </w:r>
    </w:p>
    <w:p>
      <w:pPr>
        <w:pStyle w:val="BodyText"/>
      </w:pPr>
      <w:r>
        <w:t xml:space="preserve">Чтобы решить систему (17) необходимо знать начальные условия. Зададим</w:t>
      </w:r>
      <w:r>
        <w:t xml:space="preserve"> </w:t>
      </w:r>
      <w:r>
        <w:t xml:space="preserve">начальные значения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4.3</m:t>
        </m:r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3.9</m:t>
        </m:r>
      </m:oMath>
      <w:r>
        <w:t xml:space="preserve"> </w:t>
      </w:r>
      <w:r>
        <w:t xml:space="preserve">и известные параметры: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4.9</m:t>
        </m:r>
      </m:oMath>
      <w:r>
        <w:t xml:space="preserve">, N = 27, q = 1.</w:t>
      </w:r>
    </w:p>
    <w:p>
      <w:pPr>
        <w:pStyle w:val="BodyText"/>
      </w:pPr>
      <w:r>
        <w:t xml:space="preserve">Код программы в Python (fig. 1).</w:t>
      </w:r>
    </w:p>
    <w:p>
      <w:pPr>
        <w:pStyle w:val="CaptionedFigure"/>
      </w:pPr>
      <w:bookmarkStart w:id="25" w:name="fig:001"/>
      <w:r>
        <w:drawing>
          <wp:inline>
            <wp:extent cx="4514850" cy="5895975"/>
            <wp:effectExtent b="0" l="0" r="0" t="0"/>
            <wp:docPr descr="Figure 1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программы</w:t>
      </w:r>
    </w:p>
    <w:p>
      <w:pPr>
        <w:pStyle w:val="BodyText"/>
      </w:pPr>
      <w:r>
        <w:t xml:space="preserve">График (fig. 2).</w:t>
      </w:r>
    </w:p>
    <w:p>
      <w:pPr>
        <w:pStyle w:val="CaptionedFigure"/>
      </w:pPr>
      <w:bookmarkStart w:id="27" w:name="fig:002"/>
      <w:r>
        <w:drawing>
          <wp:inline>
            <wp:extent cx="3619500" cy="2343150"/>
            <wp:effectExtent b="0" l="0" r="0" t="0"/>
            <wp:docPr descr="Figure 2: График изменения оборотных средств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оборотных средств</w:t>
      </w:r>
    </w:p>
    <w:bookmarkEnd w:id="28"/>
    <w:bookmarkStart w:id="33" w:name="второй-случай"/>
    <w:p>
      <w:pPr>
        <w:pStyle w:val="Heading3"/>
      </w:pPr>
      <w:r>
        <w:t xml:space="preserve">Второй случай</w:t>
      </w:r>
    </w:p>
    <w:p>
      <w:pPr>
        <w:pStyle w:val="FirstParagraph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Рассмотрим следующую модель: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θ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0.0008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r>
            <m:t>d</m:t>
          </m:r>
          <m:r>
            <m:t>θ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/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(18)</w:t>
      </w:r>
    </w:p>
    <w:p>
      <w:pPr>
        <w:pStyle w:val="BodyText"/>
      </w:pPr>
      <w:r>
        <w:t xml:space="preserve">Начальные условия и известные параметры остаются прежними.</w:t>
      </w:r>
    </w:p>
    <w:p>
      <w:pPr>
        <w:pStyle w:val="BodyText"/>
      </w:pPr>
      <w:r>
        <w:t xml:space="preserve">Код программы в Python (fig. 3).</w:t>
      </w:r>
    </w:p>
    <w:p>
      <w:pPr>
        <w:pStyle w:val="CaptionedFigure"/>
      </w:pPr>
      <w:bookmarkStart w:id="30" w:name="fig:003"/>
      <w:r>
        <w:drawing>
          <wp:inline>
            <wp:extent cx="5200650" cy="5895975"/>
            <wp:effectExtent b="0" l="0" r="0" t="0"/>
            <wp:docPr descr="Figure 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График (fig. 4).</w:t>
      </w:r>
    </w:p>
    <w:p>
      <w:pPr>
        <w:pStyle w:val="CaptionedFigure"/>
      </w:pPr>
      <w:bookmarkStart w:id="32" w:name="fig:004"/>
      <w:r>
        <w:drawing>
          <wp:inline>
            <wp:extent cx="3543300" cy="2390775"/>
            <wp:effectExtent b="0" l="0" r="0" t="0"/>
            <wp:docPr descr="Figure 4: График изменения оборотных средств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График изменения оборотных средств</w:t>
      </w:r>
    </w:p>
    <w:bookmarkEnd w:id="33"/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и построил модель конкуренции двух фирм.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Волков Тимофей Евгеньевич</dc:creator>
  <dc:language>ru-RU</dc:language>
  <cp:keywords/>
  <dcterms:created xsi:type="dcterms:W3CDTF">2021-04-02T09:11:51Z</dcterms:created>
  <dcterms:modified xsi:type="dcterms:W3CDTF">2021-04-02T09:11:51Z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