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</w:t>
      </w:r>
      <w:r>
        <w:t xml:space="preserve"> </w:t>
      </w:r>
      <w:r>
        <w:t xml:space="preserve">теоретических основ дискреционного разграничения доступа в современных системах с</w:t>
      </w:r>
      <w:r>
        <w:t xml:space="preserve"> </w:t>
      </w:r>
      <w:r>
        <w:t xml:space="preserve">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создать учётную запись пользователя guest (fig. 1)</w:t>
      </w:r>
      <w:r>
        <w:t xml:space="preserve"> </w:t>
      </w:r>
      <w:r>
        <w:t xml:space="preserve">(используя учётную запись администратора)</w:t>
      </w:r>
      <w:r>
        <w:br/>
      </w:r>
      <w:r>
        <w:rPr>
          <w:iCs/>
          <w:i/>
        </w:rPr>
        <w:t xml:space="preserve">useradd guest</w:t>
      </w:r>
      <w:r>
        <w:br/>
      </w:r>
      <w:r>
        <w:t xml:space="preserve">и задать пароль для пользователя guest (fig. 1)</w:t>
      </w:r>
      <w:r>
        <w:br/>
      </w:r>
      <w:r>
        <w:rPr>
          <w:iCs/>
          <w:i/>
        </w:rPr>
        <w:t xml:space="preserve">passwd guest</w:t>
      </w:r>
    </w:p>
    <w:p>
      <w:pPr>
        <w:pStyle w:val="CaptionedFigure"/>
      </w:pPr>
      <w:bookmarkStart w:id="22" w:name="fig:001"/>
      <w:r>
        <w:drawing>
          <wp:inline>
            <wp:extent cx="5334000" cy="1946873"/>
            <wp:effectExtent b="0" l="0" r="0" t="0"/>
            <wp:docPr descr="Figure 1: Создание учётной запис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учётной записи пользователя guest</w:t>
      </w:r>
    </w:p>
    <w:p>
      <w:pPr>
        <w:pStyle w:val="BodyText"/>
      </w:pPr>
      <w:r>
        <w:t xml:space="preserve">Войти в систему от имени пользователя guest (fig. 2).</w:t>
      </w:r>
    </w:p>
    <w:p>
      <w:pPr>
        <w:pStyle w:val="CaptionedFigure"/>
      </w:pPr>
      <w:bookmarkStart w:id="24" w:name="fig:002"/>
      <w:r>
        <w:drawing>
          <wp:inline>
            <wp:extent cx="5334000" cy="3733273"/>
            <wp:effectExtent b="0" l="0" r="0" t="0"/>
            <wp:docPr descr="Figure 2: Вход в систему пользователем guest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Вход в систему пользователем guest</w:t>
      </w:r>
    </w:p>
    <w:p>
      <w:pPr>
        <w:pStyle w:val="BodyText"/>
      </w:pPr>
      <w:r>
        <w:t xml:space="preserve">Определить директорию, в которой вы находитесь, командой</w:t>
      </w:r>
      <w:r>
        <w:t xml:space="preserve"> </w:t>
      </w:r>
      <w:r>
        <w:rPr>
          <w:iCs/>
          <w:i/>
        </w:rPr>
        <w:t xml:space="preserve">pwd</w:t>
      </w:r>
      <w:r>
        <w:t xml:space="preserve"> </w:t>
      </w:r>
      <w:r>
        <w:t xml:space="preserve">(fig. 4).</w:t>
      </w:r>
      <w:r>
        <w:br/>
      </w:r>
      <w:r>
        <w:t xml:space="preserve">Директория</w:t>
      </w:r>
      <w:r>
        <w:t xml:space="preserve"> </w:t>
      </w:r>
      <w:r>
        <w:rPr>
          <w:iCs/>
          <w:i/>
        </w:rPr>
        <w:t xml:space="preserve">/home/guest</w:t>
      </w:r>
      <w:r>
        <w:t xml:space="preserve"> </w:t>
      </w:r>
      <w:r>
        <w:t xml:space="preserve">является домашней для пользователя guest.</w:t>
      </w:r>
    </w:p>
    <w:p>
      <w:pPr>
        <w:pStyle w:val="CaptionedFigure"/>
      </w:pPr>
      <w:bookmarkStart w:id="26" w:name="fig:003"/>
      <w:r>
        <w:drawing>
          <wp:inline>
            <wp:extent cx="5334000" cy="1324453"/>
            <wp:effectExtent b="0" l="0" r="0" t="0"/>
            <wp:docPr descr="Figure 3: Командная строка guest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Командная строка guest</w:t>
      </w:r>
    </w:p>
    <w:p>
      <w:pPr>
        <w:pStyle w:val="BodyText"/>
      </w:pPr>
      <w:r>
        <w:t xml:space="preserve">Уточнить имя вашего пользователя командой</w:t>
      </w:r>
      <w:r>
        <w:t xml:space="preserve"> </w:t>
      </w:r>
      <w:r>
        <w:rPr>
          <w:iCs/>
          <w:i/>
        </w:rPr>
        <w:t xml:space="preserve">whoami</w:t>
      </w:r>
      <w:r>
        <w:t xml:space="preserve">.</w:t>
      </w:r>
      <w:r>
        <w:t xml:space="preserve"> </w:t>
      </w:r>
      <w:r>
        <w:t xml:space="preserve">Уточнить имя вашего пользователя, его группу, а также группы,</w:t>
      </w:r>
      <w:r>
        <w:t xml:space="preserve"> </w:t>
      </w:r>
      <w:r>
        <w:t xml:space="preserve">куда входит пользователь, командой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(fig. 4).</w:t>
      </w:r>
      <w:r>
        <w:t xml:space="preserve"> </w:t>
      </w:r>
      <w:r>
        <w:t xml:space="preserve">Выведенные значения uid, gid и др. запомнить.</w:t>
      </w:r>
      <w:r>
        <w:br/>
      </w:r>
      <w:r>
        <w:t xml:space="preserve">Команда</w:t>
      </w:r>
      <w:r>
        <w:t xml:space="preserve"> </w:t>
      </w:r>
      <w:r>
        <w:rPr>
          <w:iCs/>
          <w:i/>
        </w:rPr>
        <w:t xml:space="preserve">groups</w:t>
      </w:r>
      <w:r>
        <w:t xml:space="preserve"> </w:t>
      </w:r>
      <w:r>
        <w:t xml:space="preserve">выводит только название группы, которой принадлежит пользователь.</w:t>
      </w:r>
      <w:r>
        <w:br/>
      </w:r>
      <w:r>
        <w:rPr>
          <w:iCs/>
          <w:i/>
        </w:rPr>
        <w:t xml:space="preserve">id</w:t>
      </w:r>
      <w:r>
        <w:t xml:space="preserve"> </w:t>
      </w:r>
      <w:r>
        <w:t xml:space="preserve">выводит идентификатор пользователя, группы, контекст безопасности.</w:t>
      </w:r>
    </w:p>
    <w:p>
      <w:pPr>
        <w:pStyle w:val="CaptionedFigure"/>
      </w:pPr>
      <w:bookmarkStart w:id="28" w:name="fig:004"/>
      <w:r>
        <w:drawing>
          <wp:inline>
            <wp:extent cx="5334000" cy="1710395"/>
            <wp:effectExtent b="0" l="0" r="0" t="0"/>
            <wp:docPr descr="Figure 4: Информация о пользователе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Информация о пользователе</w:t>
      </w:r>
    </w:p>
    <w:p>
      <w:pPr>
        <w:pStyle w:val="BodyText"/>
      </w:pPr>
      <w:r>
        <w:t xml:space="preserve">Имя пользователя совпабадет с именем пользователя в приглашении командной строки.</w:t>
      </w:r>
    </w:p>
    <w:p>
      <w:pPr>
        <w:pStyle w:val="BodyText"/>
      </w:pPr>
      <w:r>
        <w:t xml:space="preserve">Просмотреть файл</w:t>
      </w:r>
      <w:r>
        <w:t xml:space="preserve"> </w:t>
      </w:r>
      <w:r>
        <w:rPr>
          <w:iCs/>
          <w:i/>
        </w:rPr>
        <w:t xml:space="preserve">/etc/passwd</w:t>
      </w:r>
      <w:r>
        <w:t xml:space="preserve"> </w:t>
      </w:r>
      <w:r>
        <w:t xml:space="preserve">используя программу grep в качестве фильтра</w:t>
      </w:r>
      <w:r>
        <w:t xml:space="preserve"> </w:t>
      </w:r>
      <w:r>
        <w:t xml:space="preserve">для вывода только строк, содержащих определённые буквенные сочетания(fig. 5):</w:t>
      </w:r>
      <w:r>
        <w:br/>
      </w:r>
      <w:r>
        <w:rPr>
          <w:iCs/>
          <w:i/>
        </w:rPr>
        <w:t xml:space="preserve">cat /etc/passwd | grep guest</w:t>
      </w:r>
    </w:p>
    <w:p>
      <w:pPr>
        <w:pStyle w:val="BodyText"/>
      </w:pPr>
      <w:r>
        <w:t xml:space="preserve">Значения uid и gid пользователя совпадают с их значениями в предыдущих пунктах.</w:t>
      </w:r>
    </w:p>
    <w:p>
      <w:pPr>
        <w:pStyle w:val="CaptionedFigure"/>
      </w:pPr>
      <w:bookmarkStart w:id="30" w:name="fig:005"/>
      <w:r>
        <w:drawing>
          <wp:inline>
            <wp:extent cx="5334000" cy="1350706"/>
            <wp:effectExtent b="0" l="0" r="0" t="0"/>
            <wp:docPr descr="Figure 5: Файл /etc/passwd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Файл /etc/passwd</w:t>
      </w:r>
    </w:p>
    <w:p>
      <w:pPr>
        <w:pStyle w:val="BodyText"/>
      </w:pPr>
      <w:r>
        <w:t xml:space="preserve">Определить существующие в системе директории командой (fig. 6):</w:t>
      </w:r>
      <w:r>
        <w:br/>
      </w:r>
      <w:r>
        <w:rPr>
          <w:iCs/>
          <w:i/>
        </w:rPr>
        <w:t xml:space="preserve">ls -l /home/</w:t>
      </w:r>
      <w:r>
        <w:br/>
      </w:r>
      <w:r>
        <w:t xml:space="preserve">Вывелся список поддиректорий директории</w:t>
      </w:r>
      <w:r>
        <w:t xml:space="preserve"> </w:t>
      </w:r>
      <w:r>
        <w:rPr>
          <w:iCs/>
          <w:i/>
        </w:rPr>
        <w:t xml:space="preserve">/home</w:t>
      </w:r>
      <w:r>
        <w:t xml:space="preserve">.</w:t>
      </w:r>
      <w:r>
        <w:t xml:space="preserve"> </w:t>
      </w:r>
      <w:r>
        <w:t xml:space="preserve">Права к директориям имеются только у их владельца, которые могут просматривать</w:t>
      </w:r>
      <w:r>
        <w:t xml:space="preserve"> </w:t>
      </w:r>
      <w:r>
        <w:t xml:space="preserve">директорию, создавать папки или файлы внутри директории и переходить в директорию.</w:t>
      </w:r>
    </w:p>
    <w:p>
      <w:pPr>
        <w:pStyle w:val="CaptionedFigure"/>
      </w:pPr>
      <w:bookmarkStart w:id="32" w:name="fig:006"/>
      <w:r>
        <w:drawing>
          <wp:inline>
            <wp:extent cx="5334000" cy="1526344"/>
            <wp:effectExtent b="0" l="0" r="0" t="0"/>
            <wp:docPr descr="Figure 6: Поддиректории директории home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Поддиректории директории home</w:t>
      </w:r>
    </w:p>
    <w:p>
      <w:pPr>
        <w:pStyle w:val="BodyText"/>
      </w:pPr>
      <w:r>
        <w:t xml:space="preserve">Проверить, какие расширенные атрибуты установлены на поддиректориях,</w:t>
      </w:r>
      <w:r>
        <w:t xml:space="preserve"> </w:t>
      </w:r>
      <w:r>
        <w:t xml:space="preserve">находящихся в директории</w:t>
      </w:r>
      <w:r>
        <w:t xml:space="preserve"> </w:t>
      </w:r>
      <w:r>
        <w:rPr>
          <w:iCs/>
          <w:i/>
        </w:rPr>
        <w:t xml:space="preserve">/home</w:t>
      </w:r>
      <w:r>
        <w:t xml:space="preserve"> </w:t>
      </w:r>
      <w:r>
        <w:t xml:space="preserve">(fig. 7), командой:</w:t>
      </w:r>
      <w:r>
        <w:br/>
      </w:r>
      <w:r>
        <w:rPr>
          <w:iCs/>
          <w:i/>
        </w:rPr>
        <w:t xml:space="preserve">lsattr /home</w:t>
      </w:r>
      <w:r>
        <w:br/>
      </w:r>
      <w:r>
        <w:t xml:space="preserve">Расширенные атрибуты для guest не установлены. Доступа к</w:t>
      </w:r>
      <w:r>
        <w:t xml:space="preserve"> </w:t>
      </w:r>
      <w:r>
        <w:t xml:space="preserve">расширенным атрибутам tevolkov нет.</w:t>
      </w:r>
    </w:p>
    <w:p>
      <w:pPr>
        <w:pStyle w:val="CaptionedFigure"/>
      </w:pPr>
      <w:bookmarkStart w:id="34" w:name="fig:007"/>
      <w:r>
        <w:drawing>
          <wp:inline>
            <wp:extent cx="5334000" cy="1188334"/>
            <wp:effectExtent b="0" l="0" r="0" t="0"/>
            <wp:docPr descr="Figure 7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Расширенные атрибуты</w:t>
      </w:r>
    </w:p>
    <w:p>
      <w:pPr>
        <w:pStyle w:val="BodyText"/>
      </w:pPr>
      <w:r>
        <w:t xml:space="preserve">Создать в домашней директории поддиректорию</w:t>
      </w:r>
      <w:r>
        <w:t xml:space="preserve"> </w:t>
      </w:r>
      <w:r>
        <w:rPr>
          <w:iCs/>
          <w:i/>
        </w:rPr>
        <w:t xml:space="preserve">dir1</w:t>
      </w:r>
      <w:r>
        <w:t xml:space="preserve"> </w:t>
      </w:r>
      <w:r>
        <w:t xml:space="preserve">командой</w:t>
      </w:r>
      <w:r>
        <w:br/>
      </w:r>
      <w:r>
        <w:rPr>
          <w:iCs/>
          <w:i/>
        </w:rPr>
        <w:t xml:space="preserve">mkdir dir1</w:t>
      </w:r>
      <w:r>
        <w:br/>
      </w:r>
      <w:r>
        <w:t xml:space="preserve">Определить командами</w:t>
      </w:r>
      <w:r>
        <w:t xml:space="preserve"> </w:t>
      </w:r>
      <w:r>
        <w:rPr>
          <w:iCs/>
          <w:i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lsattr</w:t>
      </w:r>
      <w:r>
        <w:t xml:space="preserve">, какие права доступа и расширенные атрибуты</w:t>
      </w:r>
      <w:r>
        <w:t xml:space="preserve"> </w:t>
      </w:r>
      <w:r>
        <w:t xml:space="preserve">были выставлены на директорию dir1 (fig. 8).</w:t>
      </w:r>
      <w:r>
        <w:br/>
      </w:r>
      <w:r>
        <w:t xml:space="preserve">К директории dir1 имеют полный доступ владелец, пользователи группы владельца,</w:t>
      </w:r>
      <w:r>
        <w:t xml:space="preserve"> </w:t>
      </w:r>
      <w:r>
        <w:t xml:space="preserve">и у остальных пользователей нет только возможности именять файлы и поддиректории.</w:t>
      </w:r>
    </w:p>
    <w:p>
      <w:pPr>
        <w:pStyle w:val="CaptionedFigure"/>
      </w:pPr>
      <w:bookmarkStart w:id="36" w:name="fig:008"/>
      <w:r>
        <w:drawing>
          <wp:inline>
            <wp:extent cx="5334000" cy="3389453"/>
            <wp:effectExtent b="0" l="0" r="0" t="0"/>
            <wp:docPr descr="Figure 8: Права доступа и расширенные атрибуты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Права доступа и расширенные атрибуты</w:t>
      </w:r>
      <w:r>
        <w:t xml:space="preserve"> </w:t>
      </w:r>
      <w:r>
        <w:t xml:space="preserve">директории dir1</w:t>
      </w:r>
    </w:p>
    <w:p>
      <w:pPr>
        <w:pStyle w:val="BodyText"/>
      </w:pPr>
      <w:r>
        <w:t xml:space="preserve">Снять с директории dir1 все атрибуты командой</w:t>
      </w:r>
      <w:r>
        <w:br/>
      </w:r>
      <w:r>
        <w:rPr>
          <w:iCs/>
          <w:i/>
        </w:rPr>
        <w:t xml:space="preserve">chmod 000 dir1</w:t>
      </w:r>
      <w:r>
        <w:br/>
      </w:r>
      <w:r>
        <w:t xml:space="preserve">и проверить с её помощью правильность выполнения команды (fig. 9)</w:t>
      </w:r>
      <w:r>
        <w:br/>
      </w:r>
      <w:r>
        <w:rPr>
          <w:iCs/>
          <w:i/>
        </w:rPr>
        <w:t xml:space="preserve">ls -l</w:t>
      </w:r>
    </w:p>
    <w:p>
      <w:pPr>
        <w:pStyle w:val="CaptionedFigure"/>
      </w:pPr>
      <w:bookmarkStart w:id="38" w:name="fig:009"/>
      <w:r>
        <w:drawing>
          <wp:inline>
            <wp:extent cx="5334000" cy="2873505"/>
            <wp:effectExtent b="0" l="0" r="0" t="0"/>
            <wp:docPr descr="Figure 9: 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Изменение прав доступа</w:t>
      </w:r>
    </w:p>
    <w:p>
      <w:pPr>
        <w:pStyle w:val="BodyText"/>
      </w:pPr>
      <w:r>
        <w:t xml:space="preserve">Попытаться создать в директории</w:t>
      </w:r>
      <w:r>
        <w:t xml:space="preserve"> </w:t>
      </w:r>
      <w:r>
        <w:rPr>
          <w:iCs/>
          <w:i/>
        </w:rPr>
        <w:t xml:space="preserve">dir1</w:t>
      </w:r>
      <w:r>
        <w:t xml:space="preserve"> </w:t>
      </w:r>
      <w:r>
        <w:t xml:space="preserve">файл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(fig. 10) командой</w:t>
      </w:r>
      <w:r>
        <w:br/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/home/guest/dir1/file1</w:t>
      </w:r>
      <w:r>
        <w:br/>
      </w:r>
      <w:r>
        <w:t xml:space="preserve">Так как у guest нет прав доступа к директории dir1 было отказано в доступе.</w:t>
      </w:r>
    </w:p>
    <w:p>
      <w:pPr>
        <w:pStyle w:val="BodyText"/>
      </w:pPr>
      <w:r>
        <w:t xml:space="preserve">Оценить, как сообщение об ошибке отразилось на создании файла</w:t>
      </w:r>
      <w:r>
        <w:t xml:space="preserve"> </w:t>
      </w:r>
      <w:r>
        <w:t xml:space="preserve">(перед этим вернул права доступа пользователю) (fig. 10).</w:t>
      </w:r>
      <w:r>
        <w:br/>
      </w:r>
      <w:r>
        <w:t xml:space="preserve">Проверить командой</w:t>
      </w:r>
      <w:r>
        <w:br/>
      </w:r>
      <w:r>
        <w:rPr>
          <w:iCs/>
          <w:i/>
        </w:rPr>
        <w:t xml:space="preserve">ls -l /home/guest/dir1</w:t>
      </w:r>
      <w:r>
        <w:br/>
      </w:r>
      <w:r>
        <w:t xml:space="preserve">file1 не находится внутри директории dir1.</w:t>
      </w:r>
    </w:p>
    <w:p>
      <w:pPr>
        <w:pStyle w:val="CaptionedFigure"/>
      </w:pPr>
      <w:bookmarkStart w:id="40" w:name="fig:010"/>
      <w:r>
        <w:drawing>
          <wp:inline>
            <wp:extent cx="5334000" cy="1681588"/>
            <wp:effectExtent b="0" l="0" r="0" t="0"/>
            <wp:docPr descr="Figure 10: Попытка создания в директории dir1 файла file1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Попытка создания в директории dir1 файла file1</w:t>
      </w:r>
    </w:p>
    <w:p>
      <w:pPr>
        <w:pStyle w:val="BodyText"/>
      </w:pPr>
      <w:r>
        <w:t xml:space="preserve">Заполнить таблицу «Установленные права и разрешённые действия»</w:t>
      </w:r>
      <w:r>
        <w:t xml:space="preserve"> </w:t>
      </w:r>
      <w:r>
        <w:t xml:space="preserve">(см. табл. 1), выполняя действия от имени владельца директории (файлов),</w:t>
      </w:r>
      <w:r>
        <w:t xml:space="preserve"> </w:t>
      </w:r>
      <w:r>
        <w:t xml:space="preserve">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занести в таблицу знак «+», если не разрешена, знак «-».</w:t>
      </w:r>
    </w:p>
    <w:p>
      <w:pPr>
        <w:pStyle w:val="BodyText"/>
      </w:pPr>
      <w:r>
        <w:t xml:space="preserve">Например, в табл. приведено краткое описание стандартных каталогов Unix.</w:t>
      </w:r>
    </w:p>
    <w:bookmarkStart w:id="41" w:name="tbl:001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определить те или иные минимально необходимые права</w:t>
      </w:r>
      <w:r>
        <w:t xml:space="preserve"> </w:t>
      </w:r>
      <w:r>
        <w:t xml:space="preserve">для выполнения операций внутри директории</w:t>
      </w:r>
      <w:r>
        <w:t xml:space="preserve"> </w:t>
      </w:r>
      <w:r>
        <w:rPr>
          <w:iCs/>
          <w:i/>
        </w:rPr>
        <w:t xml:space="preserve">dir1</w:t>
      </w:r>
      <w:r>
        <w:t xml:space="preserve"> </w:t>
      </w:r>
      <w:r>
        <w:t xml:space="preserve">(табл. 2).</w:t>
      </w:r>
    </w:p>
    <w:bookmarkStart w:id="42" w:name="tbl:002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42"/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файлов, закрепил</w:t>
      </w:r>
      <w:r>
        <w:t xml:space="preserve"> </w:t>
      </w:r>
      <w:r>
        <w:t xml:space="preserve">теоретические основы дискреционного разграничения доступа в современных системах с</w:t>
      </w:r>
      <w:r>
        <w:t xml:space="preserve"> </w:t>
      </w:r>
      <w:r>
        <w:t xml:space="preserve">открытым кодом на базе ОС Linux.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Волков Тимофей Евгеньевич</dc:creator>
  <dc:language>ru-RU</dc:language>
  <cp:keywords/>
  <dcterms:created xsi:type="dcterms:W3CDTF">2021-10-01T15:16:52Z</dcterms:created>
  <dcterms:modified xsi:type="dcterms:W3CDTF">2021-10-01T15:16:52Z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Дискреционное разграничение прав в Linux. Основные атрибуты.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