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48"/>
        </w:rPr>
        <w:t>RheumaAssist — Rapport détaillé d’avancement</w:t>
      </w:r>
    </w:p>
    <w:p>
      <w:pPr>
        <w:jc w:val="center"/>
      </w:pPr>
      <w:r>
        <w:rPr>
          <w:i/>
          <w:color w:val="2A6F97"/>
          <w:sz w:val="24"/>
        </w:rPr>
        <w:t>Projet local-first pour l’évaluation radiographique assistée par IA en rhumatologie</w:t>
      </w:r>
    </w:p>
    <w:p/>
    <w:tbl>
      <w:tblPr>
        <w:tblW w:type="auto" w:w="0"/>
        <w:jc w:val="center"/>
        <w:tblLook w:firstColumn="1" w:firstRow="1" w:lastColumn="0" w:lastRow="0" w:noHBand="0" w:noVBand="1" w:val="04A0"/>
      </w:tblPr>
      <w:tblGrid>
        <w:gridCol w:w="9936"/>
      </w:tblGrid>
      <w:tr>
        <w:tc>
          <w:tcPr>
            <w:tcW w:type="dxa" w:w="9936"/>
            <w:shd w:fill="EAF0F7"/>
          </w:tcPr>
          <w:p>
            <w:r/>
            <w:r>
              <w:rPr>
                <w:b/>
                <w:color w:val="1E3A5F"/>
                <w:sz w:val="22"/>
              </w:rPr>
              <w:t>But de ce document</w:t>
            </w:r>
          </w:p>
          <w:p>
            <w:pPr>
              <w:ind w:left="160"/>
            </w:pPr>
            <w:r>
              <w:rPr>
                <w:b/>
              </w:rPr>
              <w:t xml:space="preserve">• </w:t>
            </w:r>
            <w:r>
              <w:t>Conserver une trace claire et détaillée de tout ce qui a déjà été réalisé dans le projet, afin de pouvoir reprendre le travail demain sans se perdre.</w:t>
            </w:r>
          </w:p>
          <w:p>
            <w:pPr>
              <w:ind w:left="160"/>
            </w:pPr>
            <w:r>
              <w:rPr>
                <w:b/>
              </w:rPr>
              <w:t xml:space="preserve">• </w:t>
            </w:r>
            <w:r>
              <w:t>Documenter l’environnement, les commandes exécutées, les erreurs rencontrées, les corrections apportées, l’état actuel du backend, et les prochaines étapes.</w:t>
            </w:r>
          </w:p>
        </w:tc>
      </w:tr>
    </w:tbl>
    <w:p/>
    <w:p>
      <w:pPr>
        <w:jc w:val="center"/>
      </w:pPr>
      <w:r>
        <w:rPr>
          <w:color w:val="6B7280"/>
          <w:sz w:val="20"/>
        </w:rPr>
        <w:t>Version du rapport : 19/03/2026 19:56</w:t>
      </w:r>
    </w:p>
    <w:p>
      <w:r>
        <w:br w:type="page"/>
      </w:r>
    </w:p>
    <w:p>
      <w:pPr>
        <w:pStyle w:val="Heading1"/>
      </w:pPr>
      <w:r>
        <w:t>1. Résumé exécutif</w:t>
      </w:r>
    </w:p>
    <w:p>
      <w:r>
        <w:t>Le projet RheumaAssist a déjà atteint un jalon important : le cœur du backend local fonctionne réellement sur la machine Windows de développement, avec authentification, gestion des patients, exécution d’analyses IA sur images ROI et enregistrement d’un avis clinique sur les résultats.</w:t>
      </w:r>
    </w:p>
    <w:p>
      <w:r>
        <w:t>Le système est conçu comme un prototype local-first, en anglais côté application, mais le présent rapport est rédigé en français pour servir de mémoire de travail. L’application n’est pas présentée comme un outil de diagnostic autonome de la polyarthrite rhumatoïde ; elle implémente au contraire le pipeline fidèle au mémoire : résultat IA → review du clinicien → interprétation finale.</w:t>
      </w:r>
    </w:p>
    <w:p>
      <w:r>
        <w:t>Le backend FastAPI tourne localement, la base SQLite est créée, des utilisateurs de démonstration existent, l’API d’analyse charge réellement le modèle PyTorch CPU, accepte les images ROI en PNG/JPEG/BMP, et retourne des probabilités d’érosion. Une review clinique versionnée peut également être enregistrée.</w:t>
      </w:r>
    </w:p>
    <w:p>
      <w:r>
        <w:t>Le principal blocage actuel ne concerne plus le backend scientifique, mais l’initialisation du frontend Next.js : la commande npx n’est pas reconnue dans le terminal, ce qui indique très probablement un problème d’installation ou de PATH côté Node.js.</w:t>
      </w:r>
    </w:p>
    <w:p>
      <w:pPr>
        <w:pStyle w:val="Heading1"/>
      </w:pPr>
      <w:r>
        <w:t>2. État actuel du projet en un coup d’œil</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3168"/>
            <w:vAlign w:val="center"/>
            <w:shd w:fill="1E3A5F"/>
          </w:tcPr>
          <w:p>
            <w:pPr>
              <w:spacing w:after="40" w:before="40"/>
            </w:pPr>
            <w:r/>
            <w:r>
              <w:rPr>
                <w:b/>
                <w:color w:val="FFFFFF"/>
                <w:sz w:val="21"/>
              </w:rPr>
              <w:t>Bloc</w:t>
            </w:r>
          </w:p>
        </w:tc>
        <w:tc>
          <w:tcPr>
            <w:tcW w:type="dxa" w:w="1728"/>
            <w:vAlign w:val="center"/>
            <w:shd w:fill="1E3A5F"/>
          </w:tcPr>
          <w:p>
            <w:pPr>
              <w:spacing w:after="40" w:before="40"/>
            </w:pPr>
            <w:r/>
            <w:r>
              <w:rPr>
                <w:b/>
                <w:color w:val="FFFFFF"/>
                <w:sz w:val="21"/>
              </w:rPr>
              <w:t>Statut</w:t>
            </w:r>
          </w:p>
        </w:tc>
        <w:tc>
          <w:tcPr>
            <w:tcW w:type="dxa" w:w="4608"/>
            <w:vAlign w:val="center"/>
            <w:shd w:fill="1E3A5F"/>
          </w:tcPr>
          <w:p>
            <w:pPr>
              <w:spacing w:after="40" w:before="40"/>
            </w:pPr>
            <w:r/>
            <w:r>
              <w:rPr>
                <w:b/>
                <w:color w:val="FFFFFF"/>
                <w:sz w:val="21"/>
              </w:rPr>
              <w:t>Observations</w:t>
            </w:r>
          </w:p>
        </w:tc>
      </w:tr>
      <w:tr>
        <w:tc>
          <w:tcPr>
            <w:tcW w:type="dxa" w:w="3168"/>
            <w:vAlign w:val="center"/>
          </w:tcPr>
          <w:p>
            <w:pPr>
              <w:spacing w:after="40" w:before="40"/>
            </w:pPr>
            <w:r/>
            <w:r>
              <w:rPr>
                <w:b w:val="0"/>
                <w:sz w:val="19"/>
              </w:rPr>
              <w:t>Environnement Python backend</w:t>
            </w:r>
          </w:p>
        </w:tc>
        <w:tc>
          <w:tcPr>
            <w:tcW w:type="dxa" w:w="1728"/>
            <w:vAlign w:val="center"/>
            <w:shd w:fill="DDF2E6"/>
          </w:tcPr>
          <w:p>
            <w:pPr>
              <w:spacing w:after="40" w:before="40"/>
            </w:pPr>
            <w:r/>
            <w:r>
              <w:rPr>
                <w:b w:val="0"/>
                <w:sz w:val="19"/>
              </w:rPr>
              <w:t>OK</w:t>
            </w:r>
          </w:p>
        </w:tc>
        <w:tc>
          <w:tcPr>
            <w:tcW w:type="dxa" w:w="4608"/>
            <w:vAlign w:val="center"/>
          </w:tcPr>
          <w:p>
            <w:pPr>
              <w:spacing w:after="40" w:before="40"/>
            </w:pPr>
            <w:r/>
            <w:r>
              <w:rPr>
                <w:b w:val="0"/>
                <w:sz w:val="19"/>
              </w:rPr>
              <w:t>venv créé, Python 3.12.9, dépendances backend installées.</w:t>
            </w:r>
          </w:p>
        </w:tc>
      </w:tr>
      <w:tr>
        <w:tc>
          <w:tcPr>
            <w:tcW w:type="dxa" w:w="3168"/>
            <w:vAlign w:val="center"/>
          </w:tcPr>
          <w:p>
            <w:pPr>
              <w:spacing w:after="40" w:before="40"/>
            </w:pPr>
            <w:r/>
            <w:r>
              <w:rPr>
                <w:b w:val="0"/>
                <w:sz w:val="19"/>
              </w:rPr>
              <w:t>Base SQLite</w:t>
            </w:r>
          </w:p>
        </w:tc>
        <w:tc>
          <w:tcPr>
            <w:tcW w:type="dxa" w:w="1728"/>
            <w:vAlign w:val="center"/>
            <w:shd w:fill="DDF2E6"/>
          </w:tcPr>
          <w:p>
            <w:pPr>
              <w:spacing w:after="40" w:before="40"/>
            </w:pPr>
            <w:r/>
            <w:r>
              <w:rPr>
                <w:b w:val="0"/>
                <w:sz w:val="19"/>
              </w:rPr>
              <w:t>OK</w:t>
            </w:r>
          </w:p>
        </w:tc>
        <w:tc>
          <w:tcPr>
            <w:tcW w:type="dxa" w:w="4608"/>
            <w:vAlign w:val="center"/>
          </w:tcPr>
          <w:p>
            <w:pPr>
              <w:spacing w:after="40" w:before="40"/>
            </w:pPr>
            <w:r/>
            <w:r>
              <w:rPr>
                <w:b w:val="0"/>
                <w:sz w:val="19"/>
              </w:rPr>
              <w:t>backend/data/rheumaassist.db existe et est utilisée par l’application.</w:t>
            </w:r>
          </w:p>
        </w:tc>
      </w:tr>
      <w:tr>
        <w:tc>
          <w:tcPr>
            <w:tcW w:type="dxa" w:w="3168"/>
            <w:vAlign w:val="center"/>
          </w:tcPr>
          <w:p>
            <w:pPr>
              <w:spacing w:after="40" w:before="40"/>
            </w:pPr>
            <w:r/>
            <w:r>
              <w:rPr>
                <w:b w:val="0"/>
                <w:sz w:val="19"/>
              </w:rPr>
              <w:t>Authentification</w:t>
            </w:r>
          </w:p>
        </w:tc>
        <w:tc>
          <w:tcPr>
            <w:tcW w:type="dxa" w:w="1728"/>
            <w:vAlign w:val="center"/>
            <w:shd w:fill="DDF2E6"/>
          </w:tcPr>
          <w:p>
            <w:pPr>
              <w:spacing w:after="40" w:before="40"/>
            </w:pPr>
            <w:r/>
            <w:r>
              <w:rPr>
                <w:b w:val="0"/>
                <w:sz w:val="19"/>
              </w:rPr>
              <w:t>OK</w:t>
            </w:r>
          </w:p>
        </w:tc>
        <w:tc>
          <w:tcPr>
            <w:tcW w:type="dxa" w:w="4608"/>
            <w:vAlign w:val="center"/>
          </w:tcPr>
          <w:p>
            <w:pPr>
              <w:spacing w:after="40" w:before="40"/>
            </w:pPr>
            <w:r/>
            <w:r>
              <w:rPr>
                <w:b w:val="0"/>
                <w:sz w:val="19"/>
              </w:rPr>
              <w:t>Login, /me et cookies de session fonctionnent.</w:t>
            </w:r>
          </w:p>
        </w:tc>
      </w:tr>
      <w:tr>
        <w:tc>
          <w:tcPr>
            <w:tcW w:type="dxa" w:w="3168"/>
            <w:vAlign w:val="center"/>
          </w:tcPr>
          <w:p>
            <w:pPr>
              <w:spacing w:after="40" w:before="40"/>
            </w:pPr>
            <w:r/>
            <w:r>
              <w:rPr>
                <w:b w:val="0"/>
                <w:sz w:val="19"/>
              </w:rPr>
              <w:t>Patients</w:t>
            </w:r>
          </w:p>
        </w:tc>
        <w:tc>
          <w:tcPr>
            <w:tcW w:type="dxa" w:w="1728"/>
            <w:vAlign w:val="center"/>
            <w:shd w:fill="DDF2E6"/>
          </w:tcPr>
          <w:p>
            <w:pPr>
              <w:spacing w:after="40" w:before="40"/>
            </w:pPr>
            <w:r/>
            <w:r>
              <w:rPr>
                <w:b w:val="0"/>
                <w:sz w:val="19"/>
              </w:rPr>
              <w:t>OK</w:t>
            </w:r>
          </w:p>
        </w:tc>
        <w:tc>
          <w:tcPr>
            <w:tcW w:type="dxa" w:w="4608"/>
            <w:vAlign w:val="center"/>
          </w:tcPr>
          <w:p>
            <w:pPr>
              <w:spacing w:after="40" w:before="40"/>
            </w:pPr>
            <w:r/>
            <w:r>
              <w:rPr>
                <w:b w:val="0"/>
                <w:sz w:val="19"/>
              </w:rPr>
              <w:t>Création, listing et récupération d’un patient testés avec succès.</w:t>
            </w:r>
          </w:p>
        </w:tc>
      </w:tr>
      <w:tr>
        <w:tc>
          <w:tcPr>
            <w:tcW w:type="dxa" w:w="3168"/>
            <w:vAlign w:val="center"/>
          </w:tcPr>
          <w:p>
            <w:pPr>
              <w:spacing w:after="40" w:before="40"/>
            </w:pPr>
            <w:r/>
            <w:r>
              <w:rPr>
                <w:b w:val="0"/>
                <w:sz w:val="19"/>
              </w:rPr>
              <w:t>Analyses IA</w:t>
            </w:r>
          </w:p>
        </w:tc>
        <w:tc>
          <w:tcPr>
            <w:tcW w:type="dxa" w:w="1728"/>
            <w:vAlign w:val="center"/>
            <w:shd w:fill="DDF2E6"/>
          </w:tcPr>
          <w:p>
            <w:pPr>
              <w:spacing w:after="40" w:before="40"/>
            </w:pPr>
            <w:r/>
            <w:r>
              <w:rPr>
                <w:b w:val="0"/>
                <w:sz w:val="19"/>
              </w:rPr>
              <w:t>OK</w:t>
            </w:r>
          </w:p>
        </w:tc>
        <w:tc>
          <w:tcPr>
            <w:tcW w:type="dxa" w:w="4608"/>
            <w:vAlign w:val="center"/>
          </w:tcPr>
          <w:p>
            <w:pPr>
              <w:spacing w:after="40" w:before="40"/>
            </w:pPr>
            <w:r/>
            <w:r>
              <w:rPr>
                <w:b w:val="0"/>
                <w:sz w:val="19"/>
              </w:rPr>
              <w:t>Upload ROI, inference réelle, récupération du détail d’analyse testés.</w:t>
            </w:r>
          </w:p>
        </w:tc>
      </w:tr>
      <w:tr>
        <w:tc>
          <w:tcPr>
            <w:tcW w:type="dxa" w:w="3168"/>
            <w:vAlign w:val="center"/>
          </w:tcPr>
          <w:p>
            <w:pPr>
              <w:spacing w:after="40" w:before="40"/>
            </w:pPr>
            <w:r/>
            <w:r>
              <w:rPr>
                <w:b w:val="0"/>
                <w:sz w:val="19"/>
              </w:rPr>
              <w:t>Reviews cliniques</w:t>
            </w:r>
          </w:p>
        </w:tc>
        <w:tc>
          <w:tcPr>
            <w:tcW w:type="dxa" w:w="1728"/>
            <w:vAlign w:val="center"/>
            <w:shd w:fill="DDF2E6"/>
          </w:tcPr>
          <w:p>
            <w:pPr>
              <w:spacing w:after="40" w:before="40"/>
            </w:pPr>
            <w:r/>
            <w:r>
              <w:rPr>
                <w:b w:val="0"/>
                <w:sz w:val="19"/>
              </w:rPr>
              <w:t>OK</w:t>
            </w:r>
          </w:p>
        </w:tc>
        <w:tc>
          <w:tcPr>
            <w:tcW w:type="dxa" w:w="4608"/>
            <w:vAlign w:val="center"/>
          </w:tcPr>
          <w:p>
            <w:pPr>
              <w:spacing w:after="40" w:before="40"/>
            </w:pPr>
            <w:r/>
            <w:r>
              <w:rPr>
                <w:b w:val="0"/>
                <w:sz w:val="19"/>
              </w:rPr>
              <w:t>Draft et finalize testés avec succès.</w:t>
            </w:r>
          </w:p>
        </w:tc>
      </w:tr>
      <w:tr>
        <w:tc>
          <w:tcPr>
            <w:tcW w:type="dxa" w:w="3168"/>
            <w:vAlign w:val="center"/>
          </w:tcPr>
          <w:p>
            <w:pPr>
              <w:spacing w:after="40" w:before="40"/>
            </w:pPr>
            <w:r/>
            <w:r>
              <w:rPr>
                <w:b w:val="0"/>
                <w:sz w:val="19"/>
              </w:rPr>
              <w:t>Frontend Next.js</w:t>
            </w:r>
          </w:p>
        </w:tc>
        <w:tc>
          <w:tcPr>
            <w:tcW w:type="dxa" w:w="1728"/>
            <w:vAlign w:val="center"/>
            <w:shd w:fill="FFF0D9"/>
          </w:tcPr>
          <w:p>
            <w:pPr>
              <w:spacing w:after="40" w:before="40"/>
            </w:pPr>
            <w:r/>
            <w:r>
              <w:rPr>
                <w:b w:val="0"/>
                <w:sz w:val="19"/>
              </w:rPr>
              <w:t>À reprendre</w:t>
            </w:r>
          </w:p>
        </w:tc>
        <w:tc>
          <w:tcPr>
            <w:tcW w:type="dxa" w:w="4608"/>
            <w:vAlign w:val="center"/>
          </w:tcPr>
          <w:p>
            <w:pPr>
              <w:spacing w:after="40" w:before="40"/>
            </w:pPr>
            <w:r/>
            <w:r>
              <w:rPr>
                <w:b w:val="0"/>
                <w:sz w:val="19"/>
              </w:rPr>
              <w:t>Échec actuel : npx non reconnu dans PowerShell.</w:t>
            </w:r>
          </w:p>
        </w:tc>
      </w:tr>
    </w:tbl>
    <w:p/>
    <w:p>
      <w:pPr>
        <w:pStyle w:val="Heading1"/>
      </w:pPr>
      <w:r>
        <w:t>3. Objectif du produit et portée scientifique</w:t>
      </w:r>
    </w:p>
    <w:p>
      <w:r>
        <w:t>Le produit en cours de construction est un prototype web hospitalier, destiné à des rhumatologues et à du personnel autorisé, pour assister l’évaluation radiographique précoce de la polyarthrite rhumatoïde.</w:t>
      </w:r>
    </w:p>
    <w:p>
      <w:r>
        <w:t>Le composant IA actuellement opérationnel n’est pas un système de diagnostic direct de la PR sur radiographie complète. Il s’agit d’un modèle binaire de détection d’érosion au niveau local (ROI), fondé sur un backbone ResNet-18, fonctionnant sur des images 224×224 et chargé sur CPU.</w:t>
      </w:r>
    </w:p>
    <w:p>
      <w:r>
        <w:t>Le workflow clinique visé et déjà partiellement implémenté est le suivant : (1) sélection d’un patient, (2) upload d’une image ROI, (3) exécution de l’analyse IA, (4) récupération du score et de la classe prédite, (5) review du clinicien, (6) interprétation finale stockée pour suivi longitudinal.</w:t>
      </w:r>
    </w:p>
    <w:p>
      <w:pPr>
        <w:pStyle w:val="Heading1"/>
      </w:pPr>
      <w:r>
        <w:t>4. Architecture locale actuellement en place</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592"/>
            <w:vAlign w:val="center"/>
            <w:shd w:fill="2A6F97"/>
          </w:tcPr>
          <w:p>
            <w:pPr>
              <w:spacing w:after="40" w:before="40"/>
            </w:pPr>
            <w:r/>
            <w:r>
              <w:rPr>
                <w:b/>
                <w:color w:val="FFFFFF"/>
                <w:sz w:val="21"/>
              </w:rPr>
              <w:t>Bloc</w:t>
            </w:r>
          </w:p>
        </w:tc>
        <w:tc>
          <w:tcPr>
            <w:tcW w:type="dxa" w:w="2736"/>
            <w:vAlign w:val="center"/>
            <w:shd w:fill="2A6F97"/>
          </w:tcPr>
          <w:p>
            <w:pPr>
              <w:spacing w:after="40" w:before="40"/>
            </w:pPr>
            <w:r/>
            <w:r>
              <w:rPr>
                <w:b/>
                <w:color w:val="FFFFFF"/>
                <w:sz w:val="21"/>
              </w:rPr>
              <w:t>Statut</w:t>
            </w:r>
          </w:p>
        </w:tc>
        <w:tc>
          <w:tcPr>
            <w:tcW w:type="dxa" w:w="4320"/>
            <w:vAlign w:val="center"/>
            <w:shd w:fill="2A6F97"/>
          </w:tcPr>
          <w:p>
            <w:pPr>
              <w:spacing w:after="40" w:before="40"/>
            </w:pPr>
            <w:r/>
            <w:r>
              <w:rPr>
                <w:b/>
                <w:color w:val="FFFFFF"/>
                <w:sz w:val="21"/>
              </w:rPr>
              <w:t>Observations</w:t>
            </w:r>
          </w:p>
        </w:tc>
      </w:tr>
      <w:tr>
        <w:tc>
          <w:tcPr>
            <w:tcW w:type="dxa" w:w="2592"/>
            <w:vAlign w:val="center"/>
          </w:tcPr>
          <w:p>
            <w:pPr>
              <w:spacing w:after="40" w:before="40"/>
            </w:pPr>
            <w:r/>
            <w:r>
              <w:rPr>
                <w:b w:val="0"/>
                <w:sz w:val="19"/>
              </w:rPr>
              <w:t>backend/</w:t>
            </w:r>
          </w:p>
        </w:tc>
        <w:tc>
          <w:tcPr>
            <w:tcW w:type="dxa" w:w="2736"/>
            <w:vAlign w:val="center"/>
          </w:tcPr>
          <w:p>
            <w:pPr>
              <w:spacing w:after="40" w:before="40"/>
            </w:pPr>
            <w:r/>
            <w:r>
              <w:rPr>
                <w:b w:val="0"/>
                <w:sz w:val="19"/>
              </w:rPr>
              <w:t>FastAPI</w:t>
            </w:r>
          </w:p>
        </w:tc>
        <w:tc>
          <w:tcPr>
            <w:tcW w:type="dxa" w:w="4320"/>
            <w:vAlign w:val="center"/>
          </w:tcPr>
          <w:p>
            <w:pPr>
              <w:spacing w:after="40" w:before="40"/>
            </w:pPr>
            <w:r/>
            <w:r>
              <w:rPr>
                <w:b w:val="0"/>
                <w:sz w:val="19"/>
              </w:rPr>
              <w:t>API locale, auth, patients, analyses, reviews, chargement du modèle.</w:t>
            </w:r>
          </w:p>
        </w:tc>
      </w:tr>
      <w:tr>
        <w:tc>
          <w:tcPr>
            <w:tcW w:type="dxa" w:w="2592"/>
            <w:vAlign w:val="center"/>
          </w:tcPr>
          <w:p>
            <w:pPr>
              <w:spacing w:after="40" w:before="40"/>
            </w:pPr>
            <w:r/>
            <w:r>
              <w:rPr>
                <w:b w:val="0"/>
                <w:sz w:val="19"/>
              </w:rPr>
              <w:t>backend/data/</w:t>
            </w:r>
          </w:p>
        </w:tc>
        <w:tc>
          <w:tcPr>
            <w:tcW w:type="dxa" w:w="2736"/>
            <w:vAlign w:val="center"/>
          </w:tcPr>
          <w:p>
            <w:pPr>
              <w:spacing w:after="40" w:before="40"/>
            </w:pPr>
            <w:r/>
            <w:r>
              <w:rPr>
                <w:b w:val="0"/>
                <w:sz w:val="19"/>
              </w:rPr>
              <w:t>SQLite</w:t>
            </w:r>
          </w:p>
        </w:tc>
        <w:tc>
          <w:tcPr>
            <w:tcW w:type="dxa" w:w="4320"/>
            <w:vAlign w:val="center"/>
          </w:tcPr>
          <w:p>
            <w:pPr>
              <w:spacing w:after="40" w:before="40"/>
            </w:pPr>
            <w:r/>
            <w:r>
              <w:rPr>
                <w:b w:val="0"/>
                <w:sz w:val="19"/>
              </w:rPr>
              <w:t>Base de données locale rheumaassist.db.</w:t>
            </w:r>
          </w:p>
        </w:tc>
      </w:tr>
      <w:tr>
        <w:tc>
          <w:tcPr>
            <w:tcW w:type="dxa" w:w="2592"/>
            <w:vAlign w:val="center"/>
          </w:tcPr>
          <w:p>
            <w:pPr>
              <w:spacing w:after="40" w:before="40"/>
            </w:pPr>
            <w:r/>
            <w:r>
              <w:rPr>
                <w:b w:val="0"/>
                <w:sz w:val="19"/>
              </w:rPr>
              <w:t>model_artifacts/</w:t>
            </w:r>
          </w:p>
        </w:tc>
        <w:tc>
          <w:tcPr>
            <w:tcW w:type="dxa" w:w="2736"/>
            <w:vAlign w:val="center"/>
          </w:tcPr>
          <w:p>
            <w:pPr>
              <w:spacing w:after="40" w:before="40"/>
            </w:pPr>
            <w:r/>
            <w:r>
              <w:rPr>
                <w:b w:val="0"/>
                <w:sz w:val="19"/>
              </w:rPr>
              <w:t>PyTorch artifacts</w:t>
            </w:r>
          </w:p>
        </w:tc>
        <w:tc>
          <w:tcPr>
            <w:tcW w:type="dxa" w:w="4320"/>
            <w:vAlign w:val="center"/>
          </w:tcPr>
          <w:p>
            <w:pPr>
              <w:spacing w:after="40" w:before="40"/>
            </w:pPr>
            <w:r/>
            <w:r>
              <w:rPr>
                <w:b w:val="0"/>
                <w:sz w:val="19"/>
              </w:rPr>
              <w:t>Checkpoint .pth + config JSON du modèle d’érosion.</w:t>
            </w:r>
          </w:p>
        </w:tc>
      </w:tr>
      <w:tr>
        <w:tc>
          <w:tcPr>
            <w:tcW w:type="dxa" w:w="2592"/>
            <w:vAlign w:val="center"/>
          </w:tcPr>
          <w:p>
            <w:pPr>
              <w:spacing w:after="40" w:before="40"/>
            </w:pPr>
            <w:r/>
            <w:r>
              <w:rPr>
                <w:b w:val="0"/>
                <w:sz w:val="19"/>
              </w:rPr>
              <w:t>uploads/</w:t>
            </w:r>
          </w:p>
        </w:tc>
        <w:tc>
          <w:tcPr>
            <w:tcW w:type="dxa" w:w="2736"/>
            <w:vAlign w:val="center"/>
          </w:tcPr>
          <w:p>
            <w:pPr>
              <w:spacing w:after="40" w:before="40"/>
            </w:pPr>
            <w:r/>
            <w:r>
              <w:rPr>
                <w:b w:val="0"/>
                <w:sz w:val="19"/>
              </w:rPr>
              <w:t>Stockage local</w:t>
            </w:r>
          </w:p>
        </w:tc>
        <w:tc>
          <w:tcPr>
            <w:tcW w:type="dxa" w:w="4320"/>
            <w:vAlign w:val="center"/>
          </w:tcPr>
          <w:p>
            <w:pPr>
              <w:spacing w:after="40" w:before="40"/>
            </w:pPr>
            <w:r/>
            <w:r>
              <w:rPr>
                <w:b w:val="0"/>
                <w:sz w:val="19"/>
              </w:rPr>
              <w:t>Images uploadées conservées localement pour les analyses.</w:t>
            </w:r>
          </w:p>
        </w:tc>
      </w:tr>
      <w:tr>
        <w:tc>
          <w:tcPr>
            <w:tcW w:type="dxa" w:w="2592"/>
            <w:vAlign w:val="center"/>
          </w:tcPr>
          <w:p>
            <w:pPr>
              <w:spacing w:after="40" w:before="40"/>
            </w:pPr>
            <w:r/>
            <w:r>
              <w:rPr>
                <w:b w:val="0"/>
                <w:sz w:val="19"/>
              </w:rPr>
              <w:t>frontend/</w:t>
            </w:r>
          </w:p>
        </w:tc>
        <w:tc>
          <w:tcPr>
            <w:tcW w:type="dxa" w:w="2736"/>
            <w:vAlign w:val="center"/>
          </w:tcPr>
          <w:p>
            <w:pPr>
              <w:spacing w:after="40" w:before="40"/>
            </w:pPr>
            <w:r/>
            <w:r>
              <w:rPr>
                <w:b w:val="0"/>
                <w:sz w:val="19"/>
              </w:rPr>
              <w:t>Préparé mais non initialisé</w:t>
            </w:r>
          </w:p>
        </w:tc>
        <w:tc>
          <w:tcPr>
            <w:tcW w:type="dxa" w:w="4320"/>
            <w:vAlign w:val="center"/>
          </w:tcPr>
          <w:p>
            <w:pPr>
              <w:spacing w:after="40" w:before="40"/>
            </w:pPr>
            <w:r/>
            <w:r>
              <w:rPr>
                <w:b w:val="0"/>
                <w:sz w:val="19"/>
              </w:rPr>
              <w:t>Le dossier existe, mais create-next-app n’a pas encore abouti.</w:t>
            </w:r>
          </w:p>
        </w:tc>
      </w:tr>
    </w:tbl>
    <w:p/>
    <w:p>
      <w:pPr>
        <w:pStyle w:val="Heading1"/>
      </w:pPr>
      <w:r>
        <w:t>5. Environnement de travail installé et validé</w:t>
      </w:r>
    </w:p>
    <w:p>
      <w:r>
        <w:t>Système : Windows 11 sur machine Dell Inspiron 5482, CPU-only, environ 8 Go de RAM.</w:t>
      </w:r>
    </w:p>
    <w:p>
      <w:r>
        <w:t>Éditeur : Visual Studio Code installé et utilisé comme environnement principal.</w:t>
      </w:r>
    </w:p>
    <w:p>
      <w:r>
        <w:t>Python : Python 3.12.9 installé et utilisé pour le backend.</w:t>
      </w:r>
    </w:p>
    <w:p>
      <w:r>
        <w:t>Extensions VS Code : Python (Microsoft), Pylance, ESLint, Prettier, Tailwind CSS IntelliSense, avec Jupyter en option.</w:t>
      </w:r>
    </w:p>
    <w:p>
      <w:r>
        <w:t>Node.js : installation entamée, mais à vérifier car npx n’est pas reconnu dans le terminal actuel.</w:t>
      </w:r>
    </w:p>
    <w:p>
      <w:pPr>
        <w:pStyle w:val="Heading2"/>
      </w:pPr>
      <w:r>
        <w:t>5.1. Dossiers créés à la racine du projet</w:t>
      </w:r>
    </w:p>
    <w:tbl>
      <w:tblPr>
        <w:tblW w:type="auto" w:w="0"/>
        <w:jc w:val="center"/>
        <w:tblLook w:firstColumn="1" w:firstRow="1" w:lastColumn="0" w:lastRow="0" w:noHBand="0" w:noVBand="1" w:val="04A0"/>
      </w:tblPr>
      <w:tblGrid>
        <w:gridCol w:w="9936"/>
      </w:tblGrid>
      <w:tr>
        <w:tc>
          <w:tcPr>
            <w:tcW w:type="dxa" w:w="9936"/>
            <w:shd w:fill="F5F7FA"/>
          </w:tcPr>
          <w:p>
            <w:pPr>
              <w:pStyle w:val="CodeBlock"/>
            </w:pPr>
            <w:r/>
            <w:r>
              <w:rPr>
                <w:rFonts w:ascii="Consolas" w:hAnsi="Consolas" w:eastAsia="Consolas"/>
                <w:sz w:val="17"/>
              </w:rPr>
              <w:t>rheumaassist/</w:t>
            </w:r>
          </w:p>
          <w:p>
            <w:pPr>
              <w:pStyle w:val="CodeBlock"/>
            </w:pPr>
            <w:r>
              <w:rPr>
                <w:rFonts w:ascii="Consolas" w:hAnsi="Consolas" w:eastAsia="Consolas"/>
                <w:sz w:val="17"/>
              </w:rPr>
              <w:t xml:space="preserve">  backend/</w:t>
            </w:r>
          </w:p>
          <w:p>
            <w:pPr>
              <w:pStyle w:val="CodeBlock"/>
            </w:pPr>
            <w:r>
              <w:rPr>
                <w:rFonts w:ascii="Consolas" w:hAnsi="Consolas" w:eastAsia="Consolas"/>
                <w:sz w:val="17"/>
              </w:rPr>
              <w:t xml:space="preserve">  frontend/</w:t>
            </w:r>
          </w:p>
          <w:p>
            <w:pPr>
              <w:pStyle w:val="CodeBlock"/>
            </w:pPr>
            <w:r>
              <w:rPr>
                <w:rFonts w:ascii="Consolas" w:hAnsi="Consolas" w:eastAsia="Consolas"/>
                <w:sz w:val="17"/>
              </w:rPr>
              <w:t xml:space="preserve">  model_artifacts/</w:t>
            </w:r>
          </w:p>
          <w:p>
            <w:pPr>
              <w:pStyle w:val="CodeBlock"/>
            </w:pPr>
            <w:r>
              <w:rPr>
                <w:rFonts w:ascii="Consolas" w:hAnsi="Consolas" w:eastAsia="Consolas"/>
                <w:sz w:val="17"/>
              </w:rPr>
              <w:t xml:space="preserve">  uploads/</w:t>
            </w:r>
          </w:p>
          <w:p>
            <w:pPr>
              <w:pStyle w:val="CodeBlock"/>
            </w:pPr>
            <w:r>
              <w:rPr>
                <w:rFonts w:ascii="Consolas" w:hAnsi="Consolas" w:eastAsia="Consolas"/>
                <w:sz w:val="17"/>
              </w:rPr>
              <w:t xml:space="preserve">  scripts/</w:t>
            </w:r>
          </w:p>
        </w:tc>
      </w:tr>
    </w:tbl>
    <w:p/>
    <w:p>
      <w:pPr>
        <w:pStyle w:val="Heading2"/>
      </w:pPr>
      <w:r>
        <w:t>5.2. Commandes importantes utilisées pour l’environnement</w:t>
      </w:r>
    </w:p>
    <w:tbl>
      <w:tblPr>
        <w:tblW w:type="auto" w:w="0"/>
        <w:jc w:val="center"/>
        <w:tblLook w:firstColumn="1" w:firstRow="1" w:lastColumn="0" w:lastRow="0" w:noHBand="0" w:noVBand="1" w:val="04A0"/>
      </w:tblPr>
      <w:tblGrid>
        <w:gridCol w:w="9936"/>
      </w:tblGrid>
      <w:tr>
        <w:tc>
          <w:tcPr>
            <w:tcW w:type="dxa" w:w="9936"/>
            <w:shd w:fill="F5F7FA"/>
          </w:tcPr>
          <w:p>
            <w:pPr>
              <w:pStyle w:val="CodeBlock"/>
            </w:pPr>
            <w:r/>
            <w:r>
              <w:rPr>
                <w:rFonts w:ascii="Consolas" w:hAnsi="Consolas" w:eastAsia="Consolas"/>
                <w:sz w:val="17"/>
              </w:rPr>
              <w:t>cd C:\Users\Dell\Desktop\rheumaassist\backend</w:t>
            </w:r>
          </w:p>
          <w:p>
            <w:pPr>
              <w:pStyle w:val="CodeBlock"/>
            </w:pPr>
            <w:r>
              <w:rPr>
                <w:rFonts w:ascii="Consolas" w:hAnsi="Consolas" w:eastAsia="Consolas"/>
                <w:sz w:val="17"/>
              </w:rPr>
              <w:t>python -m venv .venv</w:t>
            </w:r>
          </w:p>
          <w:p>
            <w:pPr>
              <w:pStyle w:val="CodeBlock"/>
            </w:pPr>
            <w:r>
              <w:rPr>
                <w:rFonts w:ascii="Consolas" w:hAnsi="Consolas" w:eastAsia="Consolas"/>
                <w:sz w:val="17"/>
              </w:rPr>
              <w:t>Set-ExecutionPolicy -ExecutionPolicy RemoteSigned -Scope CurrentUser</w:t>
            </w:r>
          </w:p>
          <w:p>
            <w:pPr>
              <w:pStyle w:val="CodeBlock"/>
            </w:pPr>
            <w:r>
              <w:rPr>
                <w:rFonts w:ascii="Consolas" w:hAnsi="Consolas" w:eastAsia="Consolas"/>
                <w:sz w:val="17"/>
              </w:rPr>
              <w:t>.\.venv\Scripts\Activate.ps1</w:t>
            </w:r>
          </w:p>
          <w:p>
            <w:pPr>
              <w:pStyle w:val="CodeBlock"/>
            </w:pPr>
            <w:r>
              <w:rPr>
                <w:rFonts w:ascii="Consolas" w:hAnsi="Consolas" w:eastAsia="Consolas"/>
                <w:sz w:val="17"/>
              </w:rPr>
              <w:t>python --version</w:t>
            </w:r>
          </w:p>
          <w:p>
            <w:pPr>
              <w:pStyle w:val="CodeBlock"/>
            </w:pPr>
            <w:r>
              <w:rPr>
                <w:rFonts w:ascii="Consolas" w:hAnsi="Consolas" w:eastAsia="Consolas"/>
                <w:sz w:val="17"/>
              </w:rPr>
              <w:t>pip --version</w:t>
            </w:r>
          </w:p>
        </w:tc>
      </w:tr>
    </w:tbl>
    <w:p/>
    <w:p>
      <w:pPr>
        <w:pStyle w:val="Heading1"/>
      </w:pPr>
      <w:r>
        <w:t>6. Historique détaillé des étapes backend déjà réalisées</w:t>
      </w:r>
    </w:p>
    <w:p>
      <w:pPr>
        <w:pStyle w:val="Heading2"/>
      </w:pPr>
      <w:r>
        <w:t>6.1. Création du backend minimal</w:t>
      </w:r>
    </w:p>
    <w:p>
      <w:r>
        <w:t>Une première structure backend a été créée sous backend/app avec un point d’entrée FastAPI (app/main.py).</w:t>
      </w:r>
    </w:p>
    <w:p>
      <w:r>
        <w:t>Le serveur a été lancé localement avec uvicorn et la route de santé /api/health a répondu correctement avec {"status":"ok"}.</w:t>
      </w:r>
    </w:p>
    <w:p>
      <w:pPr>
        <w:pStyle w:val="Heading2"/>
      </w:pPr>
      <w:r>
        <w:t>6.2. Mise en place de SQLite</w:t>
      </w:r>
    </w:p>
    <w:p>
      <w:r>
        <w:t>La configuration backend utilise une URL SQLite locale : sqlite:///./data/rheumaassist.db.</w:t>
      </w:r>
    </w:p>
    <w:p>
      <w:r>
        <w:t>Le fichier de base a bien été créé dans backend/data/rheumaassist.db.</w:t>
      </w:r>
    </w:p>
    <w:p>
      <w:r>
        <w:t>La création automatique des tables a été pilotée via Base.metadata.create_all(bind=engine).</w:t>
      </w:r>
    </w:p>
    <w:p>
      <w:pPr>
        <w:pStyle w:val="Heading2"/>
      </w:pPr>
      <w:r>
        <w:t>6.3. Modèles initiaux</w:t>
      </w:r>
    </w:p>
    <w:p>
      <w:r>
        <w:t>Les modèles Role, User et Patient ont été créés en premier.</w:t>
      </w:r>
    </w:p>
    <w:p>
      <w:r>
        <w:t>Une table d’association user_roles a été définie pour la gestion des rôles.</w:t>
      </w:r>
    </w:p>
    <w:p>
      <w:r>
        <w:t>La suite a introduit les modèles Exam, UploadedImage, AIAnalysis et ClinicianReview.</w:t>
      </w:r>
    </w:p>
    <w:p>
      <w:pPr>
        <w:pStyle w:val="Heading2"/>
      </w:pPr>
      <w:r>
        <w:t>6.4. Seed des rôles, utilisateurs et patients</w:t>
      </w:r>
    </w:p>
    <w:p>
      <w:r>
        <w:t>Un script de seed a été mis en place pour créer les rôles Admin, Rheumatologist et Resident.</w:t>
      </w:r>
    </w:p>
    <w:p>
      <w:r>
        <w:t>Trois comptes de démonstration ont été créés : admin@local.demo, rheum@local.demo, resident@local.demo.</w:t>
      </w:r>
    </w:p>
    <w:p>
      <w:r>
        <w:t>Des patients de test ont également été créés, dont P-0001, P-0002, etc.</w:t>
      </w:r>
    </w:p>
    <w:p>
      <w:pPr>
        <w:pStyle w:val="Heading2"/>
      </w:pPr>
      <w:r>
        <w:t>6.5. Authentification</w:t>
      </w:r>
    </w:p>
    <w:p>
      <w:r>
        <w:t>Les endpoints /api/auth/login, /api/auth/me et /api/auth/logout ont été créés.</w:t>
      </w:r>
    </w:p>
    <w:p>
      <w:r>
        <w:t>Le login fonctionne avec un cookie de session HttpOnly.</w:t>
      </w:r>
    </w:p>
    <w:p>
      <w:r>
        <w:t>Le test dans Swagger a confirmé que login puis /me renvoient bien les informations de l’utilisateur connecté.</w:t>
      </w:r>
    </w:p>
    <w:p>
      <w:pPr>
        <w:pStyle w:val="Heading2"/>
      </w:pPr>
      <w:r>
        <w:t>6.6. Gestion des patients</w:t>
      </w:r>
    </w:p>
    <w:p>
      <w:r>
        <w:t>L’API permet de lister les patients, créer un nouveau patient et récupérer un patient par son patient_id public.</w:t>
      </w:r>
    </w:p>
    <w:p>
      <w:r>
        <w:t>Le module Patients a été testé et validé dans Swagger.</w:t>
      </w:r>
    </w:p>
    <w:p>
      <w:pPr>
        <w:pStyle w:val="Heading2"/>
      </w:pPr>
      <w:r>
        <w:t>6.7. Analyse IA</w:t>
      </w:r>
    </w:p>
    <w:p>
      <w:r>
        <w:t>Le backend accepte maintenant l’upload d’une image ROI avec patient_id et exam_date.</w:t>
      </w:r>
    </w:p>
    <w:p>
      <w:r>
        <w:t>Le fichier est stocké localement dans uploads/ avec métadonnées (nom, hash, dimensions, type MIME, etc.).</w:t>
      </w:r>
    </w:p>
    <w:p>
      <w:r>
        <w:t>Le backend charge le modèle PyTorch depuis model_artifacts/ et exécute l’inférence sur CPU.</w:t>
      </w:r>
    </w:p>
    <w:p>
      <w:r>
        <w:t>Le détail de l’analyse récupéré par GET /api/analyses/{analysis_id} a montré un statut SUCCESS et une probabilité d’érosion valide.</w:t>
      </w:r>
    </w:p>
    <w:p>
      <w:pPr>
        <w:pStyle w:val="Heading2"/>
      </w:pPr>
      <w:r>
        <w:t>6.8. Review clinique</w:t>
      </w:r>
    </w:p>
    <w:p>
      <w:r>
        <w:t>Le backend permet de créer une review au format DRAFT puis de la FINALIZE.</w:t>
      </w:r>
    </w:p>
    <w:p>
      <w:r>
        <w:t>Le système stocke la décision (CONFIRMED / NOT_CONFIRMED / UNCERTAIN), une note structurée et une note libre.</w:t>
      </w:r>
    </w:p>
    <w:p>
      <w:r>
        <w:t>La review est versionnée et le champ signed_at est rempli lors d’une finalisation.</w:t>
      </w:r>
    </w:p>
    <w:p>
      <w:pPr>
        <w:pStyle w:val="Heading1"/>
      </w:pPr>
      <w:r>
        <w:t>7. Commandes et liens utiles déjà validés</w:t>
      </w:r>
    </w:p>
    <w:p>
      <w:pPr>
        <w:pStyle w:val="Heading2"/>
      </w:pPr>
      <w:r>
        <w:t>7.1. Commandes backend</w:t>
      </w:r>
    </w:p>
    <w:tbl>
      <w:tblPr>
        <w:tblW w:type="auto" w:w="0"/>
        <w:jc w:val="center"/>
        <w:tblLook w:firstColumn="1" w:firstRow="1" w:lastColumn="0" w:lastRow="0" w:noHBand="0" w:noVBand="1" w:val="04A0"/>
      </w:tblPr>
      <w:tblGrid>
        <w:gridCol w:w="9936"/>
      </w:tblGrid>
      <w:tr>
        <w:tc>
          <w:tcPr>
            <w:tcW w:type="dxa" w:w="9936"/>
            <w:shd w:fill="F5F7FA"/>
          </w:tcPr>
          <w:p>
            <w:pPr>
              <w:pStyle w:val="CodeBlock"/>
            </w:pPr>
            <w:r/>
            <w:r>
              <w:rPr>
                <w:rFonts w:ascii="Consolas" w:hAnsi="Consolas" w:eastAsia="Consolas"/>
                <w:sz w:val="17"/>
              </w:rPr>
              <w:t>cd C:\Users\Dell\Desktop\rheumaassist\backend</w:t>
            </w:r>
          </w:p>
          <w:p>
            <w:pPr>
              <w:pStyle w:val="CodeBlock"/>
            </w:pPr>
            <w:r>
              <w:rPr>
                <w:rFonts w:ascii="Consolas" w:hAnsi="Consolas" w:eastAsia="Consolas"/>
                <w:sz w:val="17"/>
              </w:rPr>
              <w:t>.\.venv\Scripts\Activate.ps1</w:t>
            </w:r>
          </w:p>
          <w:p>
            <w:pPr>
              <w:pStyle w:val="CodeBlock"/>
            </w:pPr>
            <w:r>
              <w:rPr>
                <w:rFonts w:ascii="Consolas" w:hAnsi="Consolas" w:eastAsia="Consolas"/>
                <w:sz w:val="17"/>
              </w:rPr>
              <w:t>python -m uvicorn app.main:app --reload</w:t>
            </w:r>
          </w:p>
        </w:tc>
      </w:tr>
    </w:tbl>
    <w:p/>
    <w:p>
      <w:pPr>
        <w:pStyle w:val="Heading2"/>
      </w:pPr>
      <w:r>
        <w:t>7.2. URLs utiles</w:t>
      </w:r>
    </w:p>
    <w:tbl>
      <w:tblPr>
        <w:tblStyle w:val="TableGrid"/>
        <w:tblW w:type="auto" w:w="0"/>
        <w:jc w:val="center"/>
        <w:tblLayout w:type="fixed"/>
        <w:tblLook w:firstColumn="1" w:firstRow="1" w:lastColumn="0" w:lastRow="0" w:noHBand="0" w:noVBand="1" w:val="04A0"/>
      </w:tblPr>
      <w:tblGrid>
        <w:gridCol w:w="4968"/>
        <w:gridCol w:w="4968"/>
      </w:tblGrid>
      <w:tr>
        <w:tc>
          <w:tcPr>
            <w:tcW w:type="dxa" w:w="3312"/>
            <w:vAlign w:val="center"/>
            <w:shd w:fill="1E3A5F"/>
          </w:tcPr>
          <w:p>
            <w:pPr>
              <w:spacing w:after="40" w:before="40"/>
            </w:pPr>
            <w:r/>
            <w:r>
              <w:rPr>
                <w:b/>
                <w:color w:val="FFFFFF"/>
                <w:sz w:val="21"/>
              </w:rPr>
              <w:t>Usage</w:t>
            </w:r>
          </w:p>
        </w:tc>
        <w:tc>
          <w:tcPr>
            <w:tcW w:type="dxa" w:w="6192"/>
            <w:vAlign w:val="center"/>
            <w:shd w:fill="1E3A5F"/>
          </w:tcPr>
          <w:p>
            <w:pPr>
              <w:spacing w:after="40" w:before="40"/>
            </w:pPr>
            <w:r/>
            <w:r>
              <w:rPr>
                <w:b/>
                <w:color w:val="FFFFFF"/>
                <w:sz w:val="21"/>
              </w:rPr>
              <w:t>URL</w:t>
            </w:r>
          </w:p>
        </w:tc>
      </w:tr>
      <w:tr>
        <w:tc>
          <w:tcPr>
            <w:tcW w:type="dxa" w:w="3312"/>
            <w:vAlign w:val="center"/>
          </w:tcPr>
          <w:p>
            <w:pPr>
              <w:spacing w:after="40" w:before="40"/>
            </w:pPr>
            <w:r/>
            <w:r>
              <w:rPr>
                <w:b w:val="0"/>
                <w:sz w:val="19"/>
              </w:rPr>
              <w:t>API root de travail</w:t>
            </w:r>
          </w:p>
        </w:tc>
        <w:tc>
          <w:tcPr>
            <w:tcW w:type="dxa" w:w="6192"/>
            <w:vAlign w:val="center"/>
          </w:tcPr>
          <w:p>
            <w:pPr>
              <w:spacing w:after="40" w:before="40"/>
            </w:pPr>
            <w:r/>
            <w:r>
              <w:rPr>
                <w:b w:val="0"/>
                <w:sz w:val="19"/>
              </w:rPr>
              <w:t>http://127.0.0.1:8000</w:t>
            </w:r>
          </w:p>
        </w:tc>
      </w:tr>
      <w:tr>
        <w:tc>
          <w:tcPr>
            <w:tcW w:type="dxa" w:w="3312"/>
            <w:vAlign w:val="center"/>
          </w:tcPr>
          <w:p>
            <w:pPr>
              <w:spacing w:after="40" w:before="40"/>
            </w:pPr>
            <w:r/>
            <w:r>
              <w:rPr>
                <w:b w:val="0"/>
                <w:sz w:val="19"/>
              </w:rPr>
              <w:t>Swagger / docs</w:t>
            </w:r>
          </w:p>
        </w:tc>
        <w:tc>
          <w:tcPr>
            <w:tcW w:type="dxa" w:w="6192"/>
            <w:vAlign w:val="center"/>
          </w:tcPr>
          <w:p>
            <w:pPr>
              <w:spacing w:after="40" w:before="40"/>
            </w:pPr>
            <w:r/>
            <w:r>
              <w:rPr>
                <w:b w:val="0"/>
                <w:sz w:val="19"/>
              </w:rPr>
              <w:t>http://127.0.0.1:8000/docs</w:t>
            </w:r>
          </w:p>
        </w:tc>
      </w:tr>
      <w:tr>
        <w:tc>
          <w:tcPr>
            <w:tcW w:type="dxa" w:w="3312"/>
            <w:vAlign w:val="center"/>
          </w:tcPr>
          <w:p>
            <w:pPr>
              <w:spacing w:after="40" w:before="40"/>
            </w:pPr>
            <w:r/>
            <w:r>
              <w:rPr>
                <w:b w:val="0"/>
                <w:sz w:val="19"/>
              </w:rPr>
              <w:t>Health check</w:t>
            </w:r>
          </w:p>
        </w:tc>
        <w:tc>
          <w:tcPr>
            <w:tcW w:type="dxa" w:w="6192"/>
            <w:vAlign w:val="center"/>
          </w:tcPr>
          <w:p>
            <w:pPr>
              <w:spacing w:after="40" w:before="40"/>
            </w:pPr>
            <w:r/>
            <w:r>
              <w:rPr>
                <w:b w:val="0"/>
                <w:sz w:val="19"/>
              </w:rPr>
              <w:t>http://127.0.0.1:8000/api/health</w:t>
            </w:r>
          </w:p>
        </w:tc>
      </w:tr>
    </w:tbl>
    <w:p/>
    <w:p>
      <w:pPr>
        <w:pStyle w:val="Heading2"/>
      </w:pPr>
      <w:r>
        <w:t>7.3. Comptes de démonstration</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016"/>
            <w:vAlign w:val="center"/>
            <w:shd w:fill="2A6F97"/>
          </w:tcPr>
          <w:p>
            <w:pPr>
              <w:spacing w:after="40" w:before="40"/>
            </w:pPr>
            <w:r/>
            <w:r>
              <w:rPr>
                <w:b/>
                <w:color w:val="FFFFFF"/>
                <w:sz w:val="21"/>
              </w:rPr>
              <w:t>Rôle</w:t>
            </w:r>
          </w:p>
        </w:tc>
        <w:tc>
          <w:tcPr>
            <w:tcW w:type="dxa" w:w="3744"/>
            <w:vAlign w:val="center"/>
            <w:shd w:fill="2A6F97"/>
          </w:tcPr>
          <w:p>
            <w:pPr>
              <w:spacing w:after="40" w:before="40"/>
            </w:pPr>
            <w:r/>
            <w:r>
              <w:rPr>
                <w:b/>
                <w:color w:val="FFFFFF"/>
                <w:sz w:val="21"/>
              </w:rPr>
              <w:t>Email</w:t>
            </w:r>
          </w:p>
        </w:tc>
        <w:tc>
          <w:tcPr>
            <w:tcW w:type="dxa" w:w="3456"/>
            <w:vAlign w:val="center"/>
            <w:shd w:fill="2A6F97"/>
          </w:tcPr>
          <w:p>
            <w:pPr>
              <w:spacing w:after="40" w:before="40"/>
            </w:pPr>
            <w:r/>
            <w:r>
              <w:rPr>
                <w:b/>
                <w:color w:val="FFFFFF"/>
                <w:sz w:val="21"/>
              </w:rPr>
              <w:t>Mot de passe</w:t>
            </w:r>
          </w:p>
        </w:tc>
      </w:tr>
      <w:tr>
        <w:tc>
          <w:tcPr>
            <w:tcW w:type="dxa" w:w="2016"/>
            <w:vAlign w:val="center"/>
          </w:tcPr>
          <w:p>
            <w:pPr>
              <w:spacing w:after="40" w:before="40"/>
            </w:pPr>
            <w:r/>
            <w:r>
              <w:rPr>
                <w:b w:val="0"/>
                <w:sz w:val="18"/>
              </w:rPr>
              <w:t>Admin</w:t>
            </w:r>
          </w:p>
        </w:tc>
        <w:tc>
          <w:tcPr>
            <w:tcW w:type="dxa" w:w="3744"/>
            <w:vAlign w:val="center"/>
          </w:tcPr>
          <w:p>
            <w:pPr>
              <w:spacing w:after="40" w:before="40"/>
            </w:pPr>
            <w:r/>
            <w:r>
              <w:rPr>
                <w:b w:val="0"/>
                <w:sz w:val="18"/>
              </w:rPr>
              <w:t>admin@local.demo</w:t>
            </w:r>
          </w:p>
        </w:tc>
        <w:tc>
          <w:tcPr>
            <w:tcW w:type="dxa" w:w="3456"/>
            <w:vAlign w:val="center"/>
          </w:tcPr>
          <w:p>
            <w:pPr>
              <w:spacing w:after="40" w:before="40"/>
            </w:pPr>
            <w:r/>
            <w:r>
              <w:rPr>
                <w:b w:val="0"/>
                <w:sz w:val="18"/>
              </w:rPr>
              <w:t>AdminPassword!ChangeMe</w:t>
            </w:r>
          </w:p>
        </w:tc>
      </w:tr>
      <w:tr>
        <w:tc>
          <w:tcPr>
            <w:tcW w:type="dxa" w:w="2016"/>
            <w:vAlign w:val="center"/>
          </w:tcPr>
          <w:p>
            <w:pPr>
              <w:spacing w:after="40" w:before="40"/>
            </w:pPr>
            <w:r/>
            <w:r>
              <w:rPr>
                <w:b w:val="0"/>
                <w:sz w:val="18"/>
              </w:rPr>
              <w:t>Rheumatologist</w:t>
            </w:r>
          </w:p>
        </w:tc>
        <w:tc>
          <w:tcPr>
            <w:tcW w:type="dxa" w:w="3744"/>
            <w:vAlign w:val="center"/>
          </w:tcPr>
          <w:p>
            <w:pPr>
              <w:spacing w:after="40" w:before="40"/>
            </w:pPr>
            <w:r/>
            <w:r>
              <w:rPr>
                <w:b w:val="0"/>
                <w:sz w:val="18"/>
              </w:rPr>
              <w:t>rheum@local.demo</w:t>
            </w:r>
          </w:p>
        </w:tc>
        <w:tc>
          <w:tcPr>
            <w:tcW w:type="dxa" w:w="3456"/>
            <w:vAlign w:val="center"/>
          </w:tcPr>
          <w:p>
            <w:pPr>
              <w:spacing w:after="40" w:before="40"/>
            </w:pPr>
            <w:r/>
            <w:r>
              <w:rPr>
                <w:b w:val="0"/>
                <w:sz w:val="18"/>
              </w:rPr>
              <w:t>RheumPassword!ChangeMe</w:t>
            </w:r>
          </w:p>
        </w:tc>
      </w:tr>
      <w:tr>
        <w:tc>
          <w:tcPr>
            <w:tcW w:type="dxa" w:w="2016"/>
            <w:vAlign w:val="center"/>
          </w:tcPr>
          <w:p>
            <w:pPr>
              <w:spacing w:after="40" w:before="40"/>
            </w:pPr>
            <w:r/>
            <w:r>
              <w:rPr>
                <w:b w:val="0"/>
                <w:sz w:val="18"/>
              </w:rPr>
              <w:t>Resident</w:t>
            </w:r>
          </w:p>
        </w:tc>
        <w:tc>
          <w:tcPr>
            <w:tcW w:type="dxa" w:w="3744"/>
            <w:vAlign w:val="center"/>
          </w:tcPr>
          <w:p>
            <w:pPr>
              <w:spacing w:after="40" w:before="40"/>
            </w:pPr>
            <w:r/>
            <w:r>
              <w:rPr>
                <w:b w:val="0"/>
                <w:sz w:val="18"/>
              </w:rPr>
              <w:t>resident@local.demo</w:t>
            </w:r>
          </w:p>
        </w:tc>
        <w:tc>
          <w:tcPr>
            <w:tcW w:type="dxa" w:w="3456"/>
            <w:vAlign w:val="center"/>
          </w:tcPr>
          <w:p>
            <w:pPr>
              <w:spacing w:after="40" w:before="40"/>
            </w:pPr>
            <w:r/>
            <w:r>
              <w:rPr>
                <w:b w:val="0"/>
                <w:sz w:val="18"/>
              </w:rPr>
              <w:t>ResidentPassword!ChangeMe</w:t>
            </w:r>
          </w:p>
        </w:tc>
      </w:tr>
    </w:tbl>
    <w:p/>
    <w:p>
      <w:pPr>
        <w:pStyle w:val="Heading1"/>
      </w:pPr>
      <w:r>
        <w:t>8. Problèmes rencontrés et corrections apportées</w:t>
      </w:r>
    </w:p>
    <w:p>
      <w:pPr>
        <w:pStyle w:val="Heading2"/>
      </w:pPr>
      <w:r>
        <w:t>Syntaxe PowerShell différente de cmd pour mkdir</w:t>
      </w:r>
    </w:p>
    <w:p>
      <w:r>
        <w:rPr>
          <w:b/>
        </w:rPr>
        <w:t xml:space="preserve">Symptôme : </w:t>
      </w:r>
      <w:r>
        <w:t>La commande mkdir backend frontend ... a échoué dans PowerShell.</w:t>
      </w:r>
    </w:p>
    <w:p>
      <w:r>
        <w:rPr>
          <w:b/>
        </w:rPr>
        <w:t xml:space="preserve">Correction apportée : </w:t>
      </w:r>
      <w:r>
        <w:t>Les dossiers ont été créés individuellement ou avec la syntaxe PowerShell adaptée.</w:t>
      </w:r>
    </w:p>
    <w:p>
      <w:pPr>
        <w:pStyle w:val="Heading2"/>
      </w:pPr>
      <w:r>
        <w:t>Blocage d’activation du venv par la policy PowerShell</w:t>
      </w:r>
    </w:p>
    <w:p>
      <w:r>
        <w:rPr>
          <w:b/>
        </w:rPr>
        <w:t xml:space="preserve">Symptôme : </w:t>
      </w:r>
      <w:r>
        <w:t>L’activation de .venv\Scripts\Activate.ps1 était interdite.</w:t>
      </w:r>
    </w:p>
    <w:p>
      <w:r>
        <w:rPr>
          <w:b/>
        </w:rPr>
        <w:t xml:space="preserve">Correction apportée : </w:t>
      </w:r>
      <w:r>
        <w:t>La policy a été ajustée avec Set-ExecutionPolicy -ExecutionPolicy RemoteSigned -Scope CurrentUser.</w:t>
      </w:r>
    </w:p>
    <w:p>
      <w:pPr>
        <w:pStyle w:val="Heading2"/>
      </w:pPr>
      <w:r>
        <w:t>requirements.txt corrompu par une commande terminal</w:t>
      </w:r>
    </w:p>
    <w:p>
      <w:r>
        <w:rPr>
          <w:b/>
        </w:rPr>
        <w:t xml:space="preserve">Symptôme : </w:t>
      </w:r>
      <w:r>
        <w:t>Une ligne python -m scripts.seed s’est retrouvée dans requirements.txt, cassant pip install.</w:t>
      </w:r>
    </w:p>
    <w:p>
      <w:r>
        <w:rPr>
          <w:b/>
        </w:rPr>
        <w:t xml:space="preserve">Correction apportée : </w:t>
      </w:r>
      <w:r>
        <w:t>Le fichier requirements.txt a été nettoyé pour ne contenir que des dépendances Python.</w:t>
      </w:r>
    </w:p>
    <w:p>
      <w:pPr>
        <w:pStyle w:val="Heading2"/>
      </w:pPr>
      <w:r>
        <w:t>ImportError sur LoginRequest / MeResponse</w:t>
      </w:r>
    </w:p>
    <w:p>
      <w:r>
        <w:rPr>
          <w:b/>
        </w:rPr>
        <w:t xml:space="preserve">Symptôme : </w:t>
      </w:r>
      <w:r>
        <w:t>Le fichier app/schemas/auth.py ne contenait pas les bons schémas ou n’était pas cohérent avec routes/auth.py.</w:t>
      </w:r>
    </w:p>
    <w:p>
      <w:r>
        <w:rPr>
          <w:b/>
        </w:rPr>
        <w:t xml:space="preserve">Correction apportée : </w:t>
      </w:r>
      <w:r>
        <w:t>Le contenu a été réécrit, puis l’API auth a fonctionné.</w:t>
      </w:r>
    </w:p>
    <w:p>
      <w:pPr>
        <w:pStyle w:val="Heading2"/>
      </w:pPr>
      <w:r>
        <w:t>Login en échec avec Invalid credentials</w:t>
      </w:r>
    </w:p>
    <w:p>
      <w:r>
        <w:rPr>
          <w:b/>
        </w:rPr>
        <w:t xml:space="preserve">Symptôme : </w:t>
      </w:r>
      <w:r>
        <w:t>Les utilisateurs n’existaient pas encore réellement dans la base.</w:t>
      </w:r>
    </w:p>
    <w:p>
      <w:r>
        <w:rPr>
          <w:b/>
        </w:rPr>
        <w:t xml:space="preserve">Correction apportée : </w:t>
      </w:r>
      <w:r>
        <w:t>Le script de seed a été revu puis validé par vérification SQLAlchemy et PasswordService.</w:t>
      </w:r>
    </w:p>
    <w:p>
      <w:pPr>
        <w:pStyle w:val="Heading2"/>
      </w:pPr>
      <w:r>
        <w:t>Fichiers BMP rejetés par l’API d’analyse</w:t>
      </w:r>
    </w:p>
    <w:p>
      <w:r>
        <w:rPr>
          <w:b/>
        </w:rPr>
        <w:t xml:space="preserve">Symptôme : </w:t>
      </w:r>
      <w:r>
        <w:t>Le service de stockage n’acceptait que PNG et JPEG.</w:t>
      </w:r>
    </w:p>
    <w:p>
      <w:r>
        <w:rPr>
          <w:b/>
        </w:rPr>
        <w:t xml:space="preserve">Correction apportée : </w:t>
      </w:r>
      <w:r>
        <w:t>Le support BMP a été ajouté dans storage_service.py avec MIME image/bmp.</w:t>
      </w:r>
    </w:p>
    <w:p>
      <w:pPr>
        <w:pStyle w:val="Heading2"/>
      </w:pPr>
      <w:r>
        <w:t>Incompatibilité NumPy 2 avec torch/torchvision</w:t>
      </w:r>
    </w:p>
    <w:p>
      <w:r>
        <w:rPr>
          <w:b/>
        </w:rPr>
        <w:t xml:space="preserve">Symptôme : </w:t>
      </w:r>
      <w:r>
        <w:t>L’inférence échouait à cause du message indiquant qu’un module compilé avec NumPy 1.x ne peut pas tourner correctement avec NumPy 2.0.1.</w:t>
      </w:r>
    </w:p>
    <w:p>
      <w:r>
        <w:rPr>
          <w:b/>
        </w:rPr>
        <w:t xml:space="preserve">Correction apportée : </w:t>
      </w:r>
      <w:r>
        <w:t>NumPy a été redescendu à 1.26.4 et requirements.txt a été mis à jour.</w:t>
      </w:r>
    </w:p>
    <w:p>
      <w:pPr>
        <w:pStyle w:val="Heading2"/>
      </w:pPr>
      <w:r>
        <w:t>Test direct infer_erosion échoué par mauvais chemin de fichier</w:t>
      </w:r>
    </w:p>
    <w:p>
      <w:r>
        <w:rPr>
          <w:b/>
        </w:rPr>
        <w:t xml:space="preserve">Symptôme : </w:t>
      </w:r>
      <w:r>
        <w:t>L’erreur réelle n’était pas le modèle, mais un FileNotFoundError sur un chemin d’image faux.</w:t>
      </w:r>
    </w:p>
    <w:p>
      <w:r>
        <w:rPr>
          <w:b/>
        </w:rPr>
        <w:t xml:space="preserve">Correction apportée : </w:t>
      </w:r>
      <w:r>
        <w:t>Le diagnostic a confirmé que le chargement du modèle était en réalité correct.</w:t>
      </w:r>
    </w:p>
    <w:p>
      <w:pPr>
        <w:pStyle w:val="Heading2"/>
      </w:pPr>
      <w:r>
        <w:t>npx non reconnu pour le frontend</w:t>
      </w:r>
    </w:p>
    <w:p>
      <w:r>
        <w:rPr>
          <w:b/>
        </w:rPr>
        <w:t xml:space="preserve">Symptôme : </w:t>
      </w:r>
      <w:r>
        <w:t>L’initialisation Next.js n’a pas pu démarrer car npx n’est pas reconnu.</w:t>
      </w:r>
    </w:p>
    <w:p>
      <w:r>
        <w:rPr>
          <w:b/>
        </w:rPr>
        <w:t xml:space="preserve">Correction apportée : </w:t>
      </w:r>
      <w:r>
        <w:t>Point à reprendre demain : vérifier l’installation Node.js et le PATH, puis ouvrir un nouveau terminal.</w:t>
      </w:r>
    </w:p>
    <w:p>
      <w:pPr>
        <w:pStyle w:val="Heading1"/>
      </w:pPr>
      <w:r>
        <w:t>9. Résultats de validation obtenus</w:t>
      </w:r>
    </w:p>
    <w:p>
      <w:r>
        <w:t>Une analyse ROI a été exécutée avec succès via POST /api/analyses et a retourné un analysis_id valide.</w:t>
      </w:r>
    </w:p>
    <w:p>
      <w:r>
        <w:t>Le détail de cette analyse a été récupéré via GET /api/analyses/{analysis_id}.</w:t>
      </w:r>
    </w:p>
    <w:p>
      <w:r>
        <w:t>Le JSON retourné contenait notamment : status = SUCCESS, threshold = 0.314511..., model_version = EROBinaryResNet18, ainsi qu’une probabilité d’érosion légèrement au-dessus du seuil.</w:t>
      </w:r>
    </w:p>
    <w:p>
      <w:r>
        <w:t>Un exemple observé : erosion_probability ≈ 0.3145112973 pour threshold ≈ 0.3145112097, donnant predicted_class = 1. Cette sortie illustre bien l’importance de la review du clinicien lorsque la décision est proche du seuil.</w:t>
      </w:r>
    </w:p>
    <w:p>
      <w:r>
        <w:t>Le module Reviews a ensuite été testé avec succès, ce qui signifie que l’architecture backend prend déjà en charge le workflow IA → review clinique.</w:t>
      </w:r>
    </w:p>
    <w:p>
      <w:pPr>
        <w:pStyle w:val="Heading1"/>
      </w:pPr>
      <w:r>
        <w:t>10. Fichiers backend importants à retenir</w:t>
      </w:r>
    </w:p>
    <w:tbl>
      <w:tblPr>
        <w:tblStyle w:val="TableGrid"/>
        <w:tblW w:type="auto" w:w="0"/>
        <w:jc w:val="center"/>
        <w:tblLayout w:type="fixed"/>
        <w:tblLook w:firstColumn="1" w:firstRow="1" w:lastColumn="0" w:lastRow="0" w:noHBand="0" w:noVBand="1" w:val="04A0"/>
      </w:tblPr>
      <w:tblGrid>
        <w:gridCol w:w="4968"/>
        <w:gridCol w:w="4968"/>
      </w:tblGrid>
      <w:tr>
        <w:tc>
          <w:tcPr>
            <w:tcW w:type="dxa" w:w="3456"/>
            <w:vAlign w:val="center"/>
            <w:shd w:fill="1E3A5F"/>
          </w:tcPr>
          <w:p>
            <w:pPr>
              <w:spacing w:after="40" w:before="40"/>
            </w:pPr>
            <w:r/>
            <w:r>
              <w:rPr>
                <w:b/>
                <w:color w:val="FFFFFF"/>
                <w:sz w:val="21"/>
              </w:rPr>
              <w:t>Fichier</w:t>
            </w:r>
          </w:p>
        </w:tc>
        <w:tc>
          <w:tcPr>
            <w:tcW w:type="dxa" w:w="6048"/>
            <w:vAlign w:val="center"/>
            <w:shd w:fill="1E3A5F"/>
          </w:tcPr>
          <w:p>
            <w:pPr>
              <w:spacing w:after="40" w:before="40"/>
            </w:pPr>
            <w:r/>
            <w:r>
              <w:rPr>
                <w:b/>
                <w:color w:val="FFFFFF"/>
                <w:sz w:val="21"/>
              </w:rPr>
              <w:t>Rôle</w:t>
            </w:r>
          </w:p>
        </w:tc>
      </w:tr>
      <w:tr>
        <w:tc>
          <w:tcPr>
            <w:tcW w:type="dxa" w:w="3456"/>
            <w:vAlign w:val="center"/>
          </w:tcPr>
          <w:p>
            <w:pPr>
              <w:spacing w:after="40" w:before="40"/>
            </w:pPr>
            <w:r/>
            <w:r>
              <w:rPr>
                <w:b w:val="0"/>
                <w:sz w:val="18"/>
              </w:rPr>
              <w:t>backend/app/main.py</w:t>
            </w:r>
          </w:p>
        </w:tc>
        <w:tc>
          <w:tcPr>
            <w:tcW w:type="dxa" w:w="6048"/>
            <w:vAlign w:val="center"/>
          </w:tcPr>
          <w:p>
            <w:pPr>
              <w:spacing w:after="40" w:before="40"/>
            </w:pPr>
            <w:r/>
            <w:r>
              <w:rPr>
                <w:b w:val="0"/>
                <w:sz w:val="18"/>
              </w:rPr>
              <w:t>Point d’entrée FastAPI et configuration globale de l’application.</w:t>
            </w:r>
          </w:p>
        </w:tc>
      </w:tr>
      <w:tr>
        <w:tc>
          <w:tcPr>
            <w:tcW w:type="dxa" w:w="3456"/>
            <w:vAlign w:val="center"/>
          </w:tcPr>
          <w:p>
            <w:pPr>
              <w:spacing w:after="40" w:before="40"/>
            </w:pPr>
            <w:r/>
            <w:r>
              <w:rPr>
                <w:b w:val="0"/>
                <w:sz w:val="18"/>
              </w:rPr>
              <w:t>backend/app/core/config.py</w:t>
            </w:r>
          </w:p>
        </w:tc>
        <w:tc>
          <w:tcPr>
            <w:tcW w:type="dxa" w:w="6048"/>
            <w:vAlign w:val="center"/>
          </w:tcPr>
          <w:p>
            <w:pPr>
              <w:spacing w:after="40" w:before="40"/>
            </w:pPr>
            <w:r/>
            <w:r>
              <w:rPr>
                <w:b w:val="0"/>
                <w:sz w:val="18"/>
              </w:rPr>
              <w:t>Configuration (SQLite, chemins locaux, secret key, etc.).</w:t>
            </w:r>
          </w:p>
        </w:tc>
      </w:tr>
      <w:tr>
        <w:tc>
          <w:tcPr>
            <w:tcW w:type="dxa" w:w="3456"/>
            <w:vAlign w:val="center"/>
          </w:tcPr>
          <w:p>
            <w:pPr>
              <w:spacing w:after="40" w:before="40"/>
            </w:pPr>
            <w:r/>
            <w:r>
              <w:rPr>
                <w:b w:val="0"/>
                <w:sz w:val="18"/>
              </w:rPr>
              <w:t>backend/app/db/session.py</w:t>
            </w:r>
          </w:p>
        </w:tc>
        <w:tc>
          <w:tcPr>
            <w:tcW w:type="dxa" w:w="6048"/>
            <w:vAlign w:val="center"/>
          </w:tcPr>
          <w:p>
            <w:pPr>
              <w:spacing w:after="40" w:before="40"/>
            </w:pPr>
            <w:r/>
            <w:r>
              <w:rPr>
                <w:b w:val="0"/>
                <w:sz w:val="18"/>
              </w:rPr>
              <w:t>Création de l’engine SQLAlchemy et session locale.</w:t>
            </w:r>
          </w:p>
        </w:tc>
      </w:tr>
      <w:tr>
        <w:tc>
          <w:tcPr>
            <w:tcW w:type="dxa" w:w="3456"/>
            <w:vAlign w:val="center"/>
          </w:tcPr>
          <w:p>
            <w:pPr>
              <w:spacing w:after="40" w:before="40"/>
            </w:pPr>
            <w:r/>
            <w:r>
              <w:rPr>
                <w:b w:val="0"/>
                <w:sz w:val="18"/>
              </w:rPr>
              <w:t>backend/app/models/*.py</w:t>
            </w:r>
          </w:p>
        </w:tc>
        <w:tc>
          <w:tcPr>
            <w:tcW w:type="dxa" w:w="6048"/>
            <w:vAlign w:val="center"/>
          </w:tcPr>
          <w:p>
            <w:pPr>
              <w:spacing w:after="40" w:before="40"/>
            </w:pPr>
            <w:r/>
            <w:r>
              <w:rPr>
                <w:b w:val="0"/>
                <w:sz w:val="18"/>
              </w:rPr>
              <w:t>Entités de base de données : User, Patient, Exam, UploadedImage, AIAnalysis, ClinicianReview, etc.</w:t>
            </w:r>
          </w:p>
        </w:tc>
      </w:tr>
      <w:tr>
        <w:tc>
          <w:tcPr>
            <w:tcW w:type="dxa" w:w="3456"/>
            <w:vAlign w:val="center"/>
          </w:tcPr>
          <w:p>
            <w:pPr>
              <w:spacing w:after="40" w:before="40"/>
            </w:pPr>
            <w:r/>
            <w:r>
              <w:rPr>
                <w:b w:val="0"/>
                <w:sz w:val="18"/>
              </w:rPr>
              <w:t>backend/app/api/routes/auth.py</w:t>
            </w:r>
          </w:p>
        </w:tc>
        <w:tc>
          <w:tcPr>
            <w:tcW w:type="dxa" w:w="6048"/>
            <w:vAlign w:val="center"/>
          </w:tcPr>
          <w:p>
            <w:pPr>
              <w:spacing w:after="40" w:before="40"/>
            </w:pPr>
            <w:r/>
            <w:r>
              <w:rPr>
                <w:b w:val="0"/>
                <w:sz w:val="18"/>
              </w:rPr>
              <w:t>Login, logout et récupération de l’utilisateur connecté.</w:t>
            </w:r>
          </w:p>
        </w:tc>
      </w:tr>
      <w:tr>
        <w:tc>
          <w:tcPr>
            <w:tcW w:type="dxa" w:w="3456"/>
            <w:vAlign w:val="center"/>
          </w:tcPr>
          <w:p>
            <w:pPr>
              <w:spacing w:after="40" w:before="40"/>
            </w:pPr>
            <w:r/>
            <w:r>
              <w:rPr>
                <w:b w:val="0"/>
                <w:sz w:val="18"/>
              </w:rPr>
              <w:t>backend/app/api/routes/patients.py</w:t>
            </w:r>
          </w:p>
        </w:tc>
        <w:tc>
          <w:tcPr>
            <w:tcW w:type="dxa" w:w="6048"/>
            <w:vAlign w:val="center"/>
          </w:tcPr>
          <w:p>
            <w:pPr>
              <w:spacing w:after="40" w:before="40"/>
            </w:pPr>
            <w:r/>
            <w:r>
              <w:rPr>
                <w:b w:val="0"/>
                <w:sz w:val="18"/>
              </w:rPr>
              <w:t>Listing, création et récupération des patients.</w:t>
            </w:r>
          </w:p>
        </w:tc>
      </w:tr>
      <w:tr>
        <w:tc>
          <w:tcPr>
            <w:tcW w:type="dxa" w:w="3456"/>
            <w:vAlign w:val="center"/>
          </w:tcPr>
          <w:p>
            <w:pPr>
              <w:spacing w:after="40" w:before="40"/>
            </w:pPr>
            <w:r/>
            <w:r>
              <w:rPr>
                <w:b w:val="0"/>
                <w:sz w:val="18"/>
              </w:rPr>
              <w:t>backend/app/api/routes/analyses.py</w:t>
            </w:r>
          </w:p>
        </w:tc>
        <w:tc>
          <w:tcPr>
            <w:tcW w:type="dxa" w:w="6048"/>
            <w:vAlign w:val="center"/>
          </w:tcPr>
          <w:p>
            <w:pPr>
              <w:spacing w:after="40" w:before="40"/>
            </w:pPr>
            <w:r/>
            <w:r>
              <w:rPr>
                <w:b w:val="0"/>
                <w:sz w:val="18"/>
              </w:rPr>
              <w:t>Création d’une analyse via upload d’image ROI, puis récupération du détail.</w:t>
            </w:r>
          </w:p>
        </w:tc>
      </w:tr>
      <w:tr>
        <w:tc>
          <w:tcPr>
            <w:tcW w:type="dxa" w:w="3456"/>
            <w:vAlign w:val="center"/>
          </w:tcPr>
          <w:p>
            <w:pPr>
              <w:spacing w:after="40" w:before="40"/>
            </w:pPr>
            <w:r/>
            <w:r>
              <w:rPr>
                <w:b w:val="0"/>
                <w:sz w:val="18"/>
              </w:rPr>
              <w:t>backend/app/api/routes/reviews.py</w:t>
            </w:r>
          </w:p>
        </w:tc>
        <w:tc>
          <w:tcPr>
            <w:tcW w:type="dxa" w:w="6048"/>
            <w:vAlign w:val="center"/>
          </w:tcPr>
          <w:p>
            <w:pPr>
              <w:spacing w:after="40" w:before="40"/>
            </w:pPr>
            <w:r/>
            <w:r>
              <w:rPr>
                <w:b w:val="0"/>
                <w:sz w:val="18"/>
              </w:rPr>
              <w:t>Création d’un draft, finalisation et lecture de la review courante.</w:t>
            </w:r>
          </w:p>
        </w:tc>
      </w:tr>
      <w:tr>
        <w:tc>
          <w:tcPr>
            <w:tcW w:type="dxa" w:w="3456"/>
            <w:vAlign w:val="center"/>
          </w:tcPr>
          <w:p>
            <w:pPr>
              <w:spacing w:after="40" w:before="40"/>
            </w:pPr>
            <w:r/>
            <w:r>
              <w:rPr>
                <w:b w:val="0"/>
                <w:sz w:val="18"/>
              </w:rPr>
              <w:t>backend/app/ai/model_loader.py</w:t>
            </w:r>
          </w:p>
        </w:tc>
        <w:tc>
          <w:tcPr>
            <w:tcW w:type="dxa" w:w="6048"/>
            <w:vAlign w:val="center"/>
          </w:tcPr>
          <w:p>
            <w:pPr>
              <w:spacing w:after="40" w:before="40"/>
            </w:pPr>
            <w:r/>
            <w:r>
              <w:rPr>
                <w:b w:val="0"/>
                <w:sz w:val="18"/>
              </w:rPr>
              <w:t>Chargement du modèle depuis model_artifacts/.</w:t>
            </w:r>
          </w:p>
        </w:tc>
      </w:tr>
      <w:tr>
        <w:tc>
          <w:tcPr>
            <w:tcW w:type="dxa" w:w="3456"/>
            <w:vAlign w:val="center"/>
          </w:tcPr>
          <w:p>
            <w:pPr>
              <w:spacing w:after="40" w:before="40"/>
            </w:pPr>
            <w:r/>
            <w:r>
              <w:rPr>
                <w:b w:val="0"/>
                <w:sz w:val="18"/>
              </w:rPr>
              <w:t>backend/app/ai/inference.py</w:t>
            </w:r>
          </w:p>
        </w:tc>
        <w:tc>
          <w:tcPr>
            <w:tcW w:type="dxa" w:w="6048"/>
            <w:vAlign w:val="center"/>
          </w:tcPr>
          <w:p>
            <w:pPr>
              <w:spacing w:after="40" w:before="40"/>
            </w:pPr>
            <w:r/>
            <w:r>
              <w:rPr>
                <w:b w:val="0"/>
                <w:sz w:val="18"/>
              </w:rPr>
              <w:t>Pipeline d’inférence PyTorch CPU.</w:t>
            </w:r>
          </w:p>
        </w:tc>
      </w:tr>
      <w:tr>
        <w:tc>
          <w:tcPr>
            <w:tcW w:type="dxa" w:w="3456"/>
            <w:vAlign w:val="center"/>
          </w:tcPr>
          <w:p>
            <w:pPr>
              <w:spacing w:after="40" w:before="40"/>
            </w:pPr>
            <w:r/>
            <w:r>
              <w:rPr>
                <w:b w:val="0"/>
                <w:sz w:val="18"/>
              </w:rPr>
              <w:t>backend/app/services/storage_service.py</w:t>
            </w:r>
          </w:p>
        </w:tc>
        <w:tc>
          <w:tcPr>
            <w:tcW w:type="dxa" w:w="6048"/>
            <w:vAlign w:val="center"/>
          </w:tcPr>
          <w:p>
            <w:pPr>
              <w:spacing w:after="40" w:before="40"/>
            </w:pPr>
            <w:r/>
            <w:r>
              <w:rPr>
                <w:b w:val="0"/>
                <w:sz w:val="18"/>
              </w:rPr>
              <w:t>Validation et stockage local des images uploadées.</w:t>
            </w:r>
          </w:p>
        </w:tc>
      </w:tr>
      <w:tr>
        <w:tc>
          <w:tcPr>
            <w:tcW w:type="dxa" w:w="3456"/>
            <w:vAlign w:val="center"/>
          </w:tcPr>
          <w:p>
            <w:pPr>
              <w:spacing w:after="40" w:before="40"/>
            </w:pPr>
            <w:r/>
            <w:r>
              <w:rPr>
                <w:b w:val="0"/>
                <w:sz w:val="18"/>
              </w:rPr>
              <w:t>backend/scripts/seed.py</w:t>
            </w:r>
          </w:p>
        </w:tc>
        <w:tc>
          <w:tcPr>
            <w:tcW w:type="dxa" w:w="6048"/>
            <w:vAlign w:val="center"/>
          </w:tcPr>
          <w:p>
            <w:pPr>
              <w:spacing w:after="40" w:before="40"/>
            </w:pPr>
            <w:r/>
            <w:r>
              <w:rPr>
                <w:b w:val="0"/>
                <w:sz w:val="18"/>
              </w:rPr>
              <w:t>Seed local des rôles, comptes démo et patients.</w:t>
            </w:r>
          </w:p>
        </w:tc>
      </w:tr>
    </w:tbl>
    <w:p/>
    <w:p>
      <w:pPr>
        <w:pStyle w:val="Heading1"/>
      </w:pPr>
      <w:r>
        <w:t>11. Ce qu’il faudra faire demain en premier</w:t>
      </w:r>
    </w:p>
    <w:tbl>
      <w:tblPr>
        <w:tblW w:type="auto" w:w="0"/>
        <w:jc w:val="center"/>
        <w:tblLook w:firstColumn="1" w:firstRow="1" w:lastColumn="0" w:lastRow="0" w:noHBand="0" w:noVBand="1" w:val="04A0"/>
      </w:tblPr>
      <w:tblGrid>
        <w:gridCol w:w="9936"/>
      </w:tblGrid>
      <w:tr>
        <w:tc>
          <w:tcPr>
            <w:tcW w:type="dxa" w:w="9936"/>
            <w:shd w:fill="FFF4DB"/>
          </w:tcPr>
          <w:p>
            <w:r/>
            <w:r>
              <w:rPr>
                <w:b/>
                <w:color w:val="1E3A5F"/>
                <w:sz w:val="22"/>
              </w:rPr>
              <w:t>Checklist de reprise rapide</w:t>
            </w:r>
          </w:p>
          <w:p>
            <w:pPr>
              <w:ind w:left="160"/>
            </w:pPr>
            <w:r>
              <w:rPr>
                <w:b/>
              </w:rPr>
              <w:t xml:space="preserve">• </w:t>
            </w:r>
            <w:r>
              <w:t>Ouvrir VS Code sur le dossier rheumaassist.</w:t>
            </w:r>
          </w:p>
          <w:p>
            <w:pPr>
              <w:ind w:left="160"/>
            </w:pPr>
            <w:r>
              <w:rPr>
                <w:b/>
              </w:rPr>
              <w:t xml:space="preserve">• </w:t>
            </w:r>
            <w:r>
              <w:t>Ouvrir un terminal backend dans backend/ et activer le venv.</w:t>
            </w:r>
          </w:p>
          <w:p>
            <w:pPr>
              <w:ind w:left="160"/>
            </w:pPr>
            <w:r>
              <w:rPr>
                <w:b/>
              </w:rPr>
              <w:t xml:space="preserve">• </w:t>
            </w:r>
            <w:r>
              <w:t>Lancer le backend avec : python -m uvicorn app.main:app --reload.</w:t>
            </w:r>
          </w:p>
          <w:p>
            <w:pPr>
              <w:ind w:left="160"/>
            </w:pPr>
            <w:r>
              <w:rPr>
                <w:b/>
              </w:rPr>
              <w:t xml:space="preserve">• </w:t>
            </w:r>
            <w:r>
              <w:t>Ouvrir Swagger sur http://127.0.0.1:8000/docs et vérifier rapidement /api/health.</w:t>
            </w:r>
          </w:p>
          <w:p>
            <w:pPr>
              <w:ind w:left="160"/>
            </w:pPr>
            <w:r>
              <w:rPr>
                <w:b/>
              </w:rPr>
              <w:t xml:space="preserve">• </w:t>
            </w:r>
            <w:r>
              <w:t>Se connecter avec admin@local.demo / AdminPassword!ChangeMe si besoin.</w:t>
            </w:r>
          </w:p>
          <w:p>
            <w:pPr>
              <w:ind w:left="160"/>
            </w:pPr>
            <w:r>
              <w:rPr>
                <w:b/>
              </w:rPr>
              <w:t xml:space="preserve">• </w:t>
            </w:r>
            <w:r>
              <w:t>Reprendre ensuite le frontend : vérifier Node.js, npm et surtout npx.</w:t>
            </w:r>
          </w:p>
        </w:tc>
      </w:tr>
    </w:tbl>
    <w:p/>
    <w:p>
      <w:pPr>
        <w:pStyle w:val="Heading2"/>
      </w:pPr>
      <w:r>
        <w:t>11.1. Priorité n°1 de demain : débloquer le frontend</w:t>
      </w:r>
    </w:p>
    <w:p>
      <w:r>
        <w:t>Le prochain vrai chantier est l’initialisation du frontend Next.js dans le dossier frontend/.</w:t>
      </w:r>
    </w:p>
    <w:p>
      <w:r>
        <w:t>Le blocage observé est : npx n’est pas reconnu dans PowerShell. Cela suggère que Node.js n’est pas correctement disponible dans le PATH du terminal actuel, ou que le terminal n’a pas été redémarré après installation.</w:t>
      </w:r>
    </w:p>
    <w:p>
      <w:r>
        <w:t>La première vérification à faire demain est : node --version, npm --version, puis npx --version dans un nouveau terminal VS Code ou un nouveau terminal système.</w:t>
      </w:r>
    </w:p>
    <w:p>
      <w:r>
        <w:t>Si ces commandes ne fonctionnent pas, il faudra vérifier l’installation Node.js et éventuellement relancer VS Code. Si elles fonctionnent, on pourra lancer create-next-app dans frontend/.</w:t>
      </w:r>
    </w:p>
    <w:p>
      <w:pPr>
        <w:pStyle w:val="Heading2"/>
      </w:pPr>
      <w:r>
        <w:t>11.2. Ordre conseillé pour la suite du projet</w:t>
      </w:r>
    </w:p>
    <w:p>
      <w:r>
        <w:t>1. Débloquer Node.js / npx et initialiser Next.js dans frontend/.</w:t>
      </w:r>
    </w:p>
    <w:p>
      <w:r>
        <w:t>2. Créer une page de login frontend connectée à /api/auth/login.</w:t>
      </w:r>
    </w:p>
    <w:p>
      <w:r>
        <w:t>3. Créer un dashboard simple avec navigation.</w:t>
      </w:r>
    </w:p>
    <w:p>
      <w:r>
        <w:t>4. Afficher la liste des patients depuis /api/patients.</w:t>
      </w:r>
    </w:p>
    <w:p>
      <w:r>
        <w:t>5. Créer une page d’analyse permettant d’uploader une image ROI et d’afficher le résultat.</w:t>
      </w:r>
    </w:p>
    <w:p>
      <w:r>
        <w:t>6. Brancher ensuite les reviews cliniques dans l’interface.</w:t>
      </w:r>
    </w:p>
    <w:p>
      <w:r>
        <w:t>7. Puis ajouter l’historique longitudinal et les comparaisons.</w:t>
      </w:r>
    </w:p>
    <w:p>
      <w:pPr>
        <w:pStyle w:val="Heading1"/>
      </w:pPr>
      <w:r>
        <w:t>12. Annexe — commandes de reprise utiles</w:t>
      </w:r>
    </w:p>
    <w:tbl>
      <w:tblPr>
        <w:tblW w:type="auto" w:w="0"/>
        <w:jc w:val="center"/>
        <w:tblLook w:firstColumn="1" w:firstRow="1" w:lastColumn="0" w:lastRow="0" w:noHBand="0" w:noVBand="1" w:val="04A0"/>
      </w:tblPr>
      <w:tblGrid>
        <w:gridCol w:w="9936"/>
      </w:tblGrid>
      <w:tr>
        <w:tc>
          <w:tcPr>
            <w:tcW w:type="dxa" w:w="9936"/>
            <w:shd w:fill="F5F7FA"/>
          </w:tcPr>
          <w:p>
            <w:pPr>
              <w:pStyle w:val="CodeBlock"/>
            </w:pPr>
            <w:r/>
            <w:r>
              <w:rPr>
                <w:rFonts w:ascii="Consolas" w:hAnsi="Consolas" w:eastAsia="Consolas"/>
                <w:sz w:val="17"/>
              </w:rPr>
              <w:t>cd C:\Users\Dell\Desktop\rheumaassist\backend</w:t>
            </w:r>
          </w:p>
          <w:p>
            <w:pPr>
              <w:pStyle w:val="CodeBlock"/>
            </w:pPr>
            <w:r>
              <w:rPr>
                <w:rFonts w:ascii="Consolas" w:hAnsi="Consolas" w:eastAsia="Consolas"/>
                <w:sz w:val="17"/>
              </w:rPr>
              <w:t>.\.venv\Scripts\Activate.ps1</w:t>
            </w:r>
          </w:p>
          <w:p>
            <w:pPr>
              <w:pStyle w:val="CodeBlock"/>
            </w:pPr>
            <w:r>
              <w:rPr>
                <w:rFonts w:ascii="Consolas" w:hAnsi="Consolas" w:eastAsia="Consolas"/>
                <w:sz w:val="17"/>
              </w:rPr>
              <w:t>python -m uvicorn app.main:app --reload</w:t>
            </w:r>
          </w:p>
          <w:p>
            <w:pPr>
              <w:pStyle w:val="CodeBlock"/>
            </w:pPr>
            <w:r>
              <w:rPr>
                <w:rFonts w:ascii="Consolas" w:hAnsi="Consolas" w:eastAsia="Consolas"/>
                <w:sz w:val="17"/>
              </w:rPr>
            </w:r>
          </w:p>
          <w:p>
            <w:pPr>
              <w:pStyle w:val="CodeBlock"/>
            </w:pPr>
            <w:r>
              <w:rPr>
                <w:rFonts w:ascii="Consolas" w:hAnsi="Consolas" w:eastAsia="Consolas"/>
                <w:sz w:val="17"/>
              </w:rPr>
              <w:t># Vérifier les utilisateurs seedés</w:t>
            </w:r>
          </w:p>
          <w:p>
            <w:pPr>
              <w:pStyle w:val="CodeBlock"/>
            </w:pPr>
            <w:r>
              <w:rPr>
                <w:rFonts w:ascii="Consolas" w:hAnsi="Consolas" w:eastAsia="Consolas"/>
                <w:sz w:val="17"/>
              </w:rPr>
              <w:t>python -c "from app.db.session import SessionLocal; from app.models.user import User; db=SessionLocal(); print([u.email for u in db.query(User).all()]); db.close()"</w:t>
            </w:r>
          </w:p>
          <w:p>
            <w:pPr>
              <w:pStyle w:val="CodeBlock"/>
            </w:pPr>
            <w:r>
              <w:rPr>
                <w:rFonts w:ascii="Consolas" w:hAnsi="Consolas" w:eastAsia="Consolas"/>
                <w:sz w:val="17"/>
              </w:rPr>
            </w:r>
          </w:p>
          <w:p>
            <w:pPr>
              <w:pStyle w:val="CodeBlock"/>
            </w:pPr>
            <w:r>
              <w:rPr>
                <w:rFonts w:ascii="Consolas" w:hAnsi="Consolas" w:eastAsia="Consolas"/>
                <w:sz w:val="17"/>
              </w:rPr>
              <w:t># Vérifier le chargement du modèle</w:t>
            </w:r>
          </w:p>
          <w:p>
            <w:pPr>
              <w:pStyle w:val="CodeBlock"/>
            </w:pPr>
            <w:r>
              <w:rPr>
                <w:rFonts w:ascii="Consolas" w:hAnsi="Consolas" w:eastAsia="Consolas"/>
                <w:sz w:val="17"/>
              </w:rPr>
              <w:t>python -c "from app.ai.model_loader import load_model; m=load_model(); print('MODEL LOAD OK'); print(m.config)"</w:t>
            </w:r>
          </w:p>
        </w:tc>
      </w:tr>
    </w:tbl>
    <w:p/>
    <w:p>
      <w:pPr>
        <w:pStyle w:val="Heading1"/>
      </w:pPr>
      <w:r>
        <w:t>13. Conclusion</w:t>
      </w:r>
    </w:p>
    <w:p>
      <w:r>
        <w:t>Le projet a déjà dépassé le stade de simple amorce technique. Le backend local est désormais opérationnel, cohérent avec le mémoire, et capable de produire un vrai résultat IA sur une ROI avec un circuit complet jusqu’à la review clinique.</w:t>
      </w:r>
    </w:p>
    <w:p>
      <w:r>
        <w:t>La journée suivante devra donc se concentrer non plus sur le cœur scientifique du backend, mais sur la couche produit visible : le frontend. Le backend doit être considéré comme une base de travail solide, réutilisable et prête à être branchée sur une interface Next.js.</w:t>
      </w:r>
    </w:p>
    <w:p>
      <w:r>
        <w:t>En reprenant demain à partir de ce rapport, le point d’entrée mental à garder est le suivant : le backend est fonctionnel ; la priorité est désormais de débloquer Node.js / npx, d’initialiser le frontend, puis de connecter progressivement les écrans aux endpoints déjà validés.</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RheumaAssist — rapport d’avancement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E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A6F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3CB4A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E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eastAsia="Consolas"/>
      <w:sz w:val="17"/>
    </w:rPr>
  </w:style>
  <w:style w:type="paragraph" w:customStyle="1" w:styleId="Small">
    <w:name w:val="Small"/>
    <w:rPr>
      <w:rFonts w:ascii="Calibri" w:hAnsi="Calibri" w:eastAsia="Calibri"/>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