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4682"/>
          <w:sz w:val="52"/>
        </w:rPr>
        <w:t>RheumaAssist</w:t>
      </w:r>
    </w:p>
    <w:p>
      <w:pPr>
        <w:jc w:val="center"/>
      </w:pPr>
      <w:r>
        <w:rPr>
          <w:b/>
          <w:color w:val="212529"/>
          <w:sz w:val="32"/>
        </w:rPr>
        <w:t>Rapport complet d’avancement, état actuel et guide de reprise</w:t>
      </w:r>
    </w:p>
    <w:p>
      <w:pPr>
        <w:jc w:val="center"/>
      </w:pPr>
      <w:r>
        <w:rPr>
          <w:i/>
          <w:sz w:val="22"/>
        </w:rPr>
        <w:t>Prototype local-first pour l’évaluation radiographique assistée par IA en rhumatologie</w:t>
      </w:r>
    </w:p>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381"/>
        <w:gridCol w:w="6123"/>
      </w:tblGrid>
      <w:tr>
        <w:tc>
          <w:tcPr>
            <w:tcW w:type="dxa" w:w="2381"/>
            <w:vAlign w:val="center"/>
            <w:shd w:fill="F3F5F7"/>
          </w:tcPr>
          <w:p>
            <w:pPr>
              <w:spacing w:after="40"/>
            </w:pPr>
            <w:r>
              <w:rPr>
                <w:b/>
                <w:sz w:val="20"/>
              </w:rPr>
              <w:t>Date de synthèse</w:t>
            </w:r>
          </w:p>
        </w:tc>
        <w:tc>
          <w:tcPr>
            <w:tcW w:type="dxa" w:w="6123"/>
            <w:vAlign w:val="center"/>
          </w:tcPr>
          <w:p>
            <w:pPr>
              <w:spacing w:after="40"/>
            </w:pPr>
            <w:r>
              <w:rPr>
                <w:sz w:val="20"/>
              </w:rPr>
              <w:t>21/03/2026</w:t>
            </w:r>
          </w:p>
        </w:tc>
      </w:tr>
      <w:tr>
        <w:tc>
          <w:tcPr>
            <w:tcW w:type="dxa" w:w="2381"/>
            <w:vAlign w:val="center"/>
            <w:shd w:fill="F3F5F7"/>
          </w:tcPr>
          <w:p>
            <w:pPr>
              <w:spacing w:after="40"/>
            </w:pPr>
            <w:r>
              <w:rPr>
                <w:b/>
                <w:sz w:val="20"/>
              </w:rPr>
              <w:t>Objectif du document</w:t>
            </w:r>
          </w:p>
        </w:tc>
        <w:tc>
          <w:tcPr>
            <w:tcW w:type="dxa" w:w="6123"/>
            <w:vAlign w:val="center"/>
          </w:tcPr>
          <w:p>
            <w:pPr>
              <w:spacing w:after="40"/>
            </w:pPr>
            <w:r>
              <w:rPr>
                <w:sz w:val="20"/>
              </w:rPr>
              <w:t>Conserver une trace détaillée de tout ce qui a été construit, validé, corrigé et stabilisé afin de reprendre le travail immédiatement demain sans perte de contexte.</w:t>
            </w:r>
          </w:p>
        </w:tc>
      </w:tr>
      <w:tr>
        <w:tc>
          <w:tcPr>
            <w:tcW w:type="dxa" w:w="2381"/>
            <w:vAlign w:val="center"/>
            <w:shd w:fill="F3F5F7"/>
          </w:tcPr>
          <w:p>
            <w:pPr>
              <w:spacing w:after="40"/>
            </w:pPr>
            <w:r>
              <w:rPr>
                <w:b/>
                <w:sz w:val="20"/>
              </w:rPr>
              <w:t>État global</w:t>
            </w:r>
          </w:p>
        </w:tc>
        <w:tc>
          <w:tcPr>
            <w:tcW w:type="dxa" w:w="6123"/>
            <w:vAlign w:val="center"/>
          </w:tcPr>
          <w:p>
            <w:pPr>
              <w:spacing w:after="40"/>
            </w:pPr>
            <w:r>
              <w:rPr>
                <w:sz w:val="20"/>
              </w:rPr>
              <w:t>MVP clinique local-first fonctionnel : authentification, patients, création patient, analyse ROI, inférence réelle, affichage du résultat, image ROI, review clinique persistante, vue patient et comparaison longitudinale simple.</w:t>
            </w:r>
          </w:p>
        </w:tc>
      </w:tr>
      <w:tr>
        <w:tc>
          <w:tcPr>
            <w:tcW w:type="dxa" w:w="2381"/>
            <w:vAlign w:val="center"/>
            <w:shd w:fill="F3F5F7"/>
          </w:tcPr>
          <w:p>
            <w:pPr>
              <w:spacing w:after="40"/>
            </w:pPr>
            <w:r>
              <w:rPr>
                <w:b/>
                <w:sz w:val="20"/>
              </w:rPr>
              <w:t>Public visé</w:t>
            </w:r>
          </w:p>
        </w:tc>
        <w:tc>
          <w:tcPr>
            <w:tcW w:type="dxa" w:w="6123"/>
            <w:vAlign w:val="center"/>
          </w:tcPr>
          <w:p>
            <w:pPr>
              <w:spacing w:after="40"/>
            </w:pPr>
            <w:r>
              <w:rPr>
                <w:sz w:val="20"/>
              </w:rPr>
              <w:t>Toi-même demain, avec un document suffisamment précis pour relancer l’application, comprendre sa structure et poursuivre le développement.</w:t>
            </w:r>
          </w:p>
        </w:tc>
      </w:tr>
    </w:tbl>
    <w:p/>
    <w:tbl>
      <w:tblPr>
        <w:tblW w:type="auto" w:w="0"/>
        <w:jc w:val="center"/>
        <w:tblLayout w:type="fixed"/>
        <w:tblLook w:firstColumn="1" w:firstRow="1" w:lastColumn="0" w:lastRow="0" w:noHBand="0" w:noVBand="1" w:val="04A0"/>
        <w:tblBorders>
          <w:top w:val="single" w:sz="8" w:color="E0C35A"/>
          <w:left w:val="single" w:sz="8" w:color="E0C35A"/>
          <w:bottom w:val="single" w:sz="8" w:color="E0C35A"/>
          <w:right w:val="single" w:sz="8" w:color="E0C35A"/>
          <w:insideH w:val="single" w:sz="8" w:color="E0C35A"/>
          <w:insideV w:val="single" w:sz="8" w:color="E0C35A"/>
        </w:tblBorders>
      </w:tblPr>
      <w:tblGrid>
        <w:gridCol w:w="9354"/>
      </w:tblGrid>
      <w:tr>
        <w:tc>
          <w:tcPr>
            <w:tcW w:type="dxa" w:w="9746"/>
            <w:shd w:fill="FFF4D6"/>
            <w:vAlign w:val="center"/>
          </w:tcPr>
          <w:p>
            <w:pPr>
              <w:spacing w:after="60"/>
            </w:pPr>
            <w:r>
              <w:rPr>
                <w:b/>
                <w:sz w:val="21"/>
              </w:rPr>
              <w:t>Rappel clinique essentiel</w:t>
            </w:r>
          </w:p>
          <w:p>
            <w:pPr>
              <w:spacing w:after="0"/>
            </w:pPr>
            <w:r>
              <w:rPr>
                <w:sz w:val="20"/>
              </w:rPr>
              <w:t>L’application n’est pas conçue comme un outil de diagnostic autonome de la polyarthrite rhumatoïde. Le workflow implémenté reste explicitement : résultat IA → review clinique → interprétation finale du clinicien.</w:t>
            </w:r>
          </w:p>
        </w:tc>
      </w:tr>
    </w:tbl>
    <w:p>
      <w:r>
        <w:br w:type="page"/>
      </w:r>
    </w:p>
    <w:p>
      <w:pPr>
        <w:pStyle w:val="Heading1"/>
      </w:pPr>
      <w:r>
        <w:t>Sommaire exécutif</w:t>
      </w:r>
    </w:p>
    <w:p>
      <w:r>
        <w:t>Depuis le point de départ, le projet a évolué d’une architecture cible encore théorique vers un MVP réellement exécutable en local sur Windows. Le backend FastAPI et le frontend Next.js communiquent correctement, la base SQLite est opérationnelle, le modèle PyTorch CPU produit de vraies prédictions sur des ROI de poignet, et le parcours clinique principal est maintenant validé de bout en bout.</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1984"/>
        <w:gridCol w:w="1134"/>
        <w:gridCol w:w="6236"/>
      </w:tblGrid>
      <w:tr>
        <w:trPr>
          <w:trHeight w:hRule="atLeast"/>
        </w:trPr>
        <w:tc>
          <w:tcPr>
            <w:tcW w:type="dxa" w:w="1984"/>
            <w:vAlign w:val="center"/>
            <w:shd w:fill="D9EAF7"/>
          </w:tcPr>
          <w:p>
            <w:pPr>
              <w:spacing w:after="0"/>
              <w:jc w:val="center"/>
            </w:pPr>
            <w:r>
              <w:rPr>
                <w:b/>
                <w:color w:val="212529"/>
                <w:sz w:val="20"/>
              </w:rPr>
              <w:t>Bloc</w:t>
            </w:r>
          </w:p>
        </w:tc>
        <w:tc>
          <w:tcPr>
            <w:tcW w:type="dxa" w:w="1134"/>
            <w:vAlign w:val="center"/>
            <w:shd w:fill="D9EAF7"/>
          </w:tcPr>
          <w:p>
            <w:pPr>
              <w:spacing w:after="0"/>
              <w:jc w:val="center"/>
            </w:pPr>
            <w:r>
              <w:rPr>
                <w:b/>
                <w:color w:val="212529"/>
                <w:sz w:val="20"/>
              </w:rPr>
              <w:t>Statut</w:t>
            </w:r>
          </w:p>
        </w:tc>
        <w:tc>
          <w:tcPr>
            <w:tcW w:type="dxa" w:w="6236"/>
            <w:vAlign w:val="center"/>
            <w:shd w:fill="D9EAF7"/>
          </w:tcPr>
          <w:p>
            <w:pPr>
              <w:spacing w:after="0"/>
              <w:jc w:val="center"/>
            </w:pPr>
            <w:r>
              <w:rPr>
                <w:b/>
                <w:color w:val="212529"/>
                <w:sz w:val="20"/>
              </w:rPr>
              <w:t>Commentaire</w:t>
            </w:r>
          </w:p>
        </w:tc>
      </w:tr>
      <w:tr>
        <w:tc>
          <w:tcPr>
            <w:tcW w:type="dxa" w:w="1984"/>
            <w:vAlign w:val="center"/>
          </w:tcPr>
          <w:p>
            <w:pPr>
              <w:spacing w:after="0"/>
              <w:jc w:val="center"/>
            </w:pPr>
            <w:r>
              <w:rPr>
                <w:sz w:val="20"/>
              </w:rPr>
              <w:t>Environnement backend</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Python, venv, FastAPI, SQLite et migrations fonctionnent.</w:t>
            </w:r>
          </w:p>
        </w:tc>
      </w:tr>
      <w:tr>
        <w:tc>
          <w:tcPr>
            <w:tcW w:type="dxa" w:w="1984"/>
            <w:vAlign w:val="center"/>
          </w:tcPr>
          <w:p>
            <w:pPr>
              <w:spacing w:after="0"/>
              <w:jc w:val="center"/>
            </w:pPr>
            <w:r>
              <w:rPr>
                <w:sz w:val="20"/>
              </w:rPr>
              <w:t>Environnement frontend</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Node.js, npm, Next.js et communication avec le backend fonctionnent.</w:t>
            </w:r>
          </w:p>
        </w:tc>
      </w:tr>
      <w:tr>
        <w:tc>
          <w:tcPr>
            <w:tcW w:type="dxa" w:w="1984"/>
            <w:vAlign w:val="center"/>
          </w:tcPr>
          <w:p>
            <w:pPr>
              <w:spacing w:after="0"/>
              <w:jc w:val="center"/>
            </w:pPr>
            <w:r>
              <w:rPr>
                <w:sz w:val="20"/>
              </w:rPr>
              <w:t>Authentification</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Login, session cookie, logout et dashboard protégé validés.</w:t>
            </w:r>
          </w:p>
        </w:tc>
      </w:tr>
      <w:tr>
        <w:tc>
          <w:tcPr>
            <w:tcW w:type="dxa" w:w="1984"/>
            <w:vAlign w:val="center"/>
          </w:tcPr>
          <w:p>
            <w:pPr>
              <w:spacing w:after="0"/>
              <w:jc w:val="center"/>
            </w:pPr>
            <w:r>
              <w:rPr>
                <w:sz w:val="20"/>
              </w:rPr>
              <w:t>Patients</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Listing, création, vue patient détaillée et historique disponibles.</w:t>
            </w:r>
          </w:p>
        </w:tc>
      </w:tr>
      <w:tr>
        <w:tc>
          <w:tcPr>
            <w:tcW w:type="dxa" w:w="1984"/>
            <w:vAlign w:val="center"/>
          </w:tcPr>
          <w:p>
            <w:pPr>
              <w:spacing w:after="0"/>
              <w:jc w:val="center"/>
            </w:pPr>
            <w:r>
              <w:rPr>
                <w:sz w:val="20"/>
              </w:rPr>
              <w:t>Analyses IA ROI</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Upload ROI, inférence CPU réelle, résultat détaillé et image preview disponibles.</w:t>
            </w:r>
          </w:p>
        </w:tc>
      </w:tr>
      <w:tr>
        <w:tc>
          <w:tcPr>
            <w:tcW w:type="dxa" w:w="1984"/>
            <w:vAlign w:val="center"/>
          </w:tcPr>
          <w:p>
            <w:pPr>
              <w:spacing w:after="0"/>
              <w:jc w:val="center"/>
            </w:pPr>
            <w:r>
              <w:rPr>
                <w:sz w:val="20"/>
              </w:rPr>
              <w:t>Review clinique</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Draft, finalize et rechargement automatique après refresh validés.</w:t>
            </w:r>
          </w:p>
        </w:tc>
      </w:tr>
      <w:tr>
        <w:tc>
          <w:tcPr>
            <w:tcW w:type="dxa" w:w="1984"/>
            <w:vAlign w:val="center"/>
          </w:tcPr>
          <w:p>
            <w:pPr>
              <w:spacing w:after="0"/>
              <w:jc w:val="center"/>
            </w:pPr>
            <w:r>
              <w:rPr>
                <w:sz w:val="20"/>
              </w:rPr>
              <w:t>Suivi longitudinal</w:t>
            </w:r>
          </w:p>
        </w:tc>
        <w:tc>
          <w:tcPr>
            <w:tcW w:type="dxa" w:w="1134"/>
            <w:vAlign w:val="center"/>
          </w:tcPr>
          <w:p>
            <w:pPr>
              <w:spacing w:after="0"/>
              <w:jc w:val="center"/>
            </w:pPr>
            <w:r>
              <w:rPr>
                <w:sz w:val="20"/>
              </w:rPr>
              <w:t>OK</w:t>
            </w:r>
          </w:p>
        </w:tc>
        <w:tc>
          <w:tcPr>
            <w:tcW w:type="dxa" w:w="6236"/>
            <w:vAlign w:val="center"/>
          </w:tcPr>
          <w:p>
            <w:pPr>
              <w:spacing w:after="0"/>
              <w:jc w:val="left"/>
            </w:pPr>
            <w:r>
              <w:rPr>
                <w:sz w:val="20"/>
              </w:rPr>
              <w:t>Historique patient et comparaison simple entre deux analyses disponibles.</w:t>
            </w:r>
          </w:p>
        </w:tc>
      </w:tr>
      <w:tr>
        <w:tc>
          <w:tcPr>
            <w:tcW w:type="dxa" w:w="1984"/>
            <w:vAlign w:val="center"/>
          </w:tcPr>
          <w:p>
            <w:pPr>
              <w:spacing w:after="0"/>
              <w:jc w:val="center"/>
            </w:pPr>
            <w:r>
              <w:rPr>
                <w:sz w:val="20"/>
              </w:rPr>
              <w:t>Dette technique</w:t>
            </w:r>
          </w:p>
        </w:tc>
        <w:tc>
          <w:tcPr>
            <w:tcW w:type="dxa" w:w="1134"/>
            <w:vAlign w:val="center"/>
          </w:tcPr>
          <w:p>
            <w:pPr>
              <w:spacing w:after="0"/>
              <w:jc w:val="center"/>
            </w:pPr>
            <w:r>
              <w:rPr>
                <w:sz w:val="20"/>
              </w:rPr>
              <w:t>Partielle</w:t>
            </w:r>
          </w:p>
        </w:tc>
        <w:tc>
          <w:tcPr>
            <w:tcW w:type="dxa" w:w="6236"/>
            <w:vAlign w:val="center"/>
          </w:tcPr>
          <w:p>
            <w:pPr>
              <w:spacing w:after="0"/>
              <w:jc w:val="left"/>
            </w:pPr>
            <w:r>
              <w:rPr>
                <w:sz w:val="20"/>
              </w:rPr>
              <w:t>Warnings Pydantic, nettoyage global, durcissement technique et enrichissement dashboard restent à faire.</w:t>
            </w:r>
          </w:p>
        </w:tc>
      </w:tr>
    </w:tbl>
    <w:p/>
    <w:p>
      <w:pPr>
        <w:pStyle w:val="Heading1"/>
      </w:pPr>
      <w:r>
        <w:t>1. Vision initiale et objectif produit</w:t>
      </w:r>
    </w:p>
    <w:p>
      <w:r>
        <w:t>Le produit visé dès le départ était un prototype web hospitalier local-first cohérent avec le mémoire, capable de soutenir l’évaluation radiographique précoce en rhumatologie sans se présenter comme un système de diagnostic autonome.</w:t>
      </w:r>
    </w:p>
    <w:p>
      <w:pPr>
        <w:spacing w:after="80"/>
        <w:ind w:left="283"/>
      </w:pPr>
      <w:r>
        <w:rPr>
          <w:b/>
        </w:rPr>
        <w:t xml:space="preserve">• </w:t>
      </w:r>
      <w:r>
        <w:t>Approche centrée sur la ROI (wrist ROI) et non sur une radiographie brute complète comme unique entrée du modèle V1.</w:t>
      </w:r>
    </w:p>
    <w:p>
      <w:pPr>
        <w:spacing w:after="80"/>
        <w:ind w:left="283"/>
      </w:pPr>
      <w:r>
        <w:rPr>
          <w:b/>
        </w:rPr>
        <w:t xml:space="preserve">• </w:t>
      </w:r>
      <w:r>
        <w:t>Modèle d’IA réel chargé depuis les artefacts PyTorch, exécuté sur CPU uniquement, sans dépendance à une infrastructure lourde.</w:t>
      </w:r>
    </w:p>
    <w:p>
      <w:pPr>
        <w:spacing w:after="80"/>
        <w:ind w:left="283"/>
      </w:pPr>
      <w:r>
        <w:rPr>
          <w:b/>
        </w:rPr>
        <w:t xml:space="preserve">• </w:t>
      </w:r>
      <w:r>
        <w:t>Séparation explicite entre la sortie IA, la review du clinicien et l’interprétation clinique finale.</w:t>
      </w:r>
    </w:p>
    <w:p>
      <w:pPr>
        <w:spacing w:after="80"/>
        <w:ind w:left="283"/>
      </w:pPr>
      <w:r>
        <w:rPr>
          <w:b/>
        </w:rPr>
        <w:t xml:space="preserve">• </w:t>
      </w:r>
      <w:r>
        <w:t>Suivi patient longitudinal pour permettre de comparer plusieurs analyses successives d’un même patient.</w:t>
      </w:r>
    </w:p>
    <w:p>
      <w:r>
        <w:t>Le workflow produit attendu a donc été défini comme suit : authentification → registre patient → création patient si nécessaire → nouvelle analyse ROI → inférence réelle → résultat détaillé → review clinique → historique patient → comparaison longitudinale.</w:t>
      </w:r>
    </w:p>
    <w:p>
      <w:pPr>
        <w:pStyle w:val="Heading1"/>
      </w:pPr>
      <w:r>
        <w:t>2. Architecture et principe de fonctionnement</w:t>
      </w:r>
    </w:p>
    <w:p>
      <w:r>
        <w:t>L’architecture actuelle est une architecture locale simple, adaptée au MVP et à ta machine Windows.</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1814"/>
        <w:gridCol w:w="2381"/>
        <w:gridCol w:w="5159"/>
      </w:tblGrid>
      <w:tr>
        <w:trPr>
          <w:trHeight w:hRule="atLeast"/>
        </w:trPr>
        <w:tc>
          <w:tcPr>
            <w:tcW w:type="dxa" w:w="1814"/>
            <w:vAlign w:val="center"/>
            <w:shd w:fill="D9EAF7"/>
          </w:tcPr>
          <w:p>
            <w:pPr>
              <w:spacing w:after="0"/>
              <w:jc w:val="center"/>
            </w:pPr>
            <w:r>
              <w:rPr>
                <w:b/>
                <w:color w:val="212529"/>
                <w:sz w:val="20"/>
              </w:rPr>
              <w:t>Composant</w:t>
            </w:r>
          </w:p>
        </w:tc>
        <w:tc>
          <w:tcPr>
            <w:tcW w:type="dxa" w:w="2381"/>
            <w:vAlign w:val="center"/>
            <w:shd w:fill="D9EAF7"/>
          </w:tcPr>
          <w:p>
            <w:pPr>
              <w:spacing w:after="0"/>
              <w:jc w:val="center"/>
            </w:pPr>
            <w:r>
              <w:rPr>
                <w:b/>
                <w:color w:val="212529"/>
                <w:sz w:val="20"/>
              </w:rPr>
              <w:t>Technologie</w:t>
            </w:r>
          </w:p>
        </w:tc>
        <w:tc>
          <w:tcPr>
            <w:tcW w:type="dxa" w:w="5159"/>
            <w:vAlign w:val="center"/>
            <w:shd w:fill="D9EAF7"/>
          </w:tcPr>
          <w:p>
            <w:pPr>
              <w:spacing w:after="0"/>
              <w:jc w:val="center"/>
            </w:pPr>
            <w:r>
              <w:rPr>
                <w:b/>
                <w:color w:val="212529"/>
                <w:sz w:val="20"/>
              </w:rPr>
              <w:t>Rôle</w:t>
            </w:r>
          </w:p>
        </w:tc>
      </w:tr>
      <w:tr>
        <w:tc>
          <w:tcPr>
            <w:tcW w:type="dxa" w:w="1814"/>
            <w:vAlign w:val="center"/>
          </w:tcPr>
          <w:p>
            <w:pPr>
              <w:spacing w:after="0"/>
              <w:jc w:val="center"/>
            </w:pPr>
            <w:r>
              <w:rPr>
                <w:sz w:val="20"/>
              </w:rPr>
              <w:t>Frontend</w:t>
            </w:r>
          </w:p>
        </w:tc>
        <w:tc>
          <w:tcPr>
            <w:tcW w:type="dxa" w:w="2381"/>
            <w:vAlign w:val="center"/>
          </w:tcPr>
          <w:p>
            <w:pPr>
              <w:spacing w:after="0"/>
              <w:jc w:val="left"/>
            </w:pPr>
            <w:r>
              <w:rPr>
                <w:sz w:val="20"/>
              </w:rPr>
              <w:t>Next.js + TypeScript + Tailwind</w:t>
            </w:r>
          </w:p>
        </w:tc>
        <w:tc>
          <w:tcPr>
            <w:tcW w:type="dxa" w:w="5159"/>
            <w:vAlign w:val="center"/>
          </w:tcPr>
          <w:p>
            <w:pPr>
              <w:spacing w:after="0"/>
              <w:jc w:val="left"/>
            </w:pPr>
            <w:r>
              <w:rPr>
                <w:sz w:val="20"/>
              </w:rPr>
              <w:t>Interface utilisateur locale et navigation entre les écrans du MVP.</w:t>
            </w:r>
          </w:p>
        </w:tc>
      </w:tr>
      <w:tr>
        <w:tc>
          <w:tcPr>
            <w:tcW w:type="dxa" w:w="1814"/>
            <w:vAlign w:val="center"/>
          </w:tcPr>
          <w:p>
            <w:pPr>
              <w:spacing w:after="0"/>
              <w:jc w:val="center"/>
            </w:pPr>
            <w:r>
              <w:rPr>
                <w:sz w:val="20"/>
              </w:rPr>
              <w:t>Backend</w:t>
            </w:r>
          </w:p>
        </w:tc>
        <w:tc>
          <w:tcPr>
            <w:tcW w:type="dxa" w:w="2381"/>
            <w:vAlign w:val="center"/>
          </w:tcPr>
          <w:p>
            <w:pPr>
              <w:spacing w:after="0"/>
              <w:jc w:val="center"/>
            </w:pPr>
            <w:r>
              <w:rPr>
                <w:sz w:val="20"/>
              </w:rPr>
              <w:t>FastAPI</w:t>
            </w:r>
          </w:p>
        </w:tc>
        <w:tc>
          <w:tcPr>
            <w:tcW w:type="dxa" w:w="5159"/>
            <w:vAlign w:val="center"/>
          </w:tcPr>
          <w:p>
            <w:pPr>
              <w:spacing w:after="0"/>
              <w:jc w:val="left"/>
            </w:pPr>
            <w:r>
              <w:rPr>
                <w:sz w:val="20"/>
              </w:rPr>
              <w:t>API locale pour auth, patients, analyses, reviews et service d’images.</w:t>
            </w:r>
          </w:p>
        </w:tc>
      </w:tr>
      <w:tr>
        <w:tc>
          <w:tcPr>
            <w:tcW w:type="dxa" w:w="1814"/>
            <w:vAlign w:val="center"/>
          </w:tcPr>
          <w:p>
            <w:pPr>
              <w:spacing w:after="0"/>
              <w:jc w:val="center"/>
            </w:pPr>
            <w:r>
              <w:rPr>
                <w:sz w:val="20"/>
              </w:rPr>
              <w:t>Base de données</w:t>
            </w:r>
          </w:p>
        </w:tc>
        <w:tc>
          <w:tcPr>
            <w:tcW w:type="dxa" w:w="2381"/>
            <w:vAlign w:val="center"/>
          </w:tcPr>
          <w:p>
            <w:pPr>
              <w:spacing w:after="0"/>
              <w:jc w:val="center"/>
            </w:pPr>
            <w:r>
              <w:rPr>
                <w:sz w:val="20"/>
              </w:rPr>
              <w:t>SQLite</w:t>
            </w:r>
          </w:p>
        </w:tc>
        <w:tc>
          <w:tcPr>
            <w:tcW w:type="dxa" w:w="5159"/>
            <w:vAlign w:val="center"/>
          </w:tcPr>
          <w:p>
            <w:pPr>
              <w:spacing w:after="0"/>
              <w:jc w:val="left"/>
            </w:pPr>
            <w:r>
              <w:rPr>
                <w:sz w:val="20"/>
              </w:rPr>
              <w:t>Stockage local des utilisateurs, patients, examens, images, analyses et reviews.</w:t>
            </w:r>
          </w:p>
        </w:tc>
      </w:tr>
      <w:tr>
        <w:tc>
          <w:tcPr>
            <w:tcW w:type="dxa" w:w="1814"/>
            <w:vAlign w:val="center"/>
          </w:tcPr>
          <w:p>
            <w:pPr>
              <w:spacing w:after="0"/>
              <w:jc w:val="center"/>
            </w:pPr>
            <w:r>
              <w:rPr>
                <w:sz w:val="20"/>
              </w:rPr>
              <w:t>IA</w:t>
            </w:r>
          </w:p>
        </w:tc>
        <w:tc>
          <w:tcPr>
            <w:tcW w:type="dxa" w:w="2381"/>
            <w:vAlign w:val="center"/>
          </w:tcPr>
          <w:p>
            <w:pPr>
              <w:spacing w:after="0"/>
              <w:jc w:val="center"/>
            </w:pPr>
            <w:r>
              <w:rPr>
                <w:sz w:val="20"/>
              </w:rPr>
              <w:t>PyTorch CPU-only</w:t>
            </w:r>
          </w:p>
        </w:tc>
        <w:tc>
          <w:tcPr>
            <w:tcW w:type="dxa" w:w="5159"/>
            <w:vAlign w:val="center"/>
          </w:tcPr>
          <w:p>
            <w:pPr>
              <w:spacing w:after="0"/>
              <w:jc w:val="left"/>
            </w:pPr>
            <w:r>
              <w:rPr>
                <w:sz w:val="20"/>
              </w:rPr>
              <w:t>Chargement du modèle d’érosion et inférence sur ROI.</w:t>
            </w:r>
          </w:p>
        </w:tc>
      </w:tr>
      <w:tr>
        <w:tc>
          <w:tcPr>
            <w:tcW w:type="dxa" w:w="1814"/>
            <w:vAlign w:val="center"/>
          </w:tcPr>
          <w:p>
            <w:pPr>
              <w:spacing w:after="0"/>
              <w:jc w:val="center"/>
            </w:pPr>
            <w:r>
              <w:rPr>
                <w:sz w:val="20"/>
              </w:rPr>
              <w:t>Stockage fichiers</w:t>
            </w:r>
          </w:p>
        </w:tc>
        <w:tc>
          <w:tcPr>
            <w:tcW w:type="dxa" w:w="2381"/>
            <w:vAlign w:val="center"/>
          </w:tcPr>
          <w:p>
            <w:pPr>
              <w:spacing w:after="0"/>
              <w:jc w:val="center"/>
            </w:pPr>
            <w:r>
              <w:rPr>
                <w:sz w:val="20"/>
              </w:rPr>
              <w:t>uploads/</w:t>
            </w:r>
          </w:p>
        </w:tc>
        <w:tc>
          <w:tcPr>
            <w:tcW w:type="dxa" w:w="5159"/>
            <w:vAlign w:val="center"/>
          </w:tcPr>
          <w:p>
            <w:pPr>
              <w:spacing w:after="0"/>
              <w:jc w:val="left"/>
            </w:pPr>
            <w:r>
              <w:rPr>
                <w:sz w:val="20"/>
              </w:rPr>
              <w:t>Conservation locale des images uploadées utilisées par les analyses.</w:t>
            </w:r>
          </w:p>
        </w:tc>
      </w:tr>
      <w:tr>
        <w:tc>
          <w:tcPr>
            <w:tcW w:type="dxa" w:w="1814"/>
            <w:vAlign w:val="center"/>
          </w:tcPr>
          <w:p>
            <w:pPr>
              <w:spacing w:after="0"/>
              <w:jc w:val="center"/>
            </w:pPr>
            <w:r>
              <w:rPr>
                <w:sz w:val="20"/>
              </w:rPr>
              <w:t>Artefacts modèle</w:t>
            </w:r>
          </w:p>
        </w:tc>
        <w:tc>
          <w:tcPr>
            <w:tcW w:type="dxa" w:w="2381"/>
            <w:vAlign w:val="center"/>
          </w:tcPr>
          <w:p>
            <w:pPr>
              <w:spacing w:after="0"/>
              <w:jc w:val="center"/>
            </w:pPr>
            <w:r>
              <w:rPr>
                <w:sz w:val="20"/>
              </w:rPr>
              <w:t>model_artifacts/</w:t>
            </w:r>
          </w:p>
        </w:tc>
        <w:tc>
          <w:tcPr>
            <w:tcW w:type="dxa" w:w="5159"/>
            <w:vAlign w:val="center"/>
          </w:tcPr>
          <w:p>
            <w:pPr>
              <w:spacing w:after="0"/>
              <w:jc w:val="left"/>
            </w:pPr>
            <w:r>
              <w:rPr>
                <w:sz w:val="20"/>
              </w:rPr>
              <w:t>Checkpoint, config et éventuels fichiers dérivés du modèle.</w:t>
            </w:r>
          </w:p>
        </w:tc>
      </w:tr>
    </w:tbl>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9354"/>
      </w:tblGrid>
      <w:tr>
        <w:tc>
          <w:tcPr>
            <w:tcW w:type="dxa" w:w="9746"/>
            <w:shd w:fill="D9EAF7"/>
            <w:vAlign w:val="center"/>
          </w:tcPr>
          <w:p>
            <w:pPr>
              <w:spacing w:after="60"/>
            </w:pPr>
            <w:r>
              <w:rPr>
                <w:b/>
                <w:sz w:val="21"/>
              </w:rPr>
              <w:t>Principe de fonctionnement global</w:t>
            </w:r>
          </w:p>
          <w:p>
            <w:pPr>
              <w:spacing w:after="0"/>
            </w:pPr>
            <w:r>
              <w:rPr>
                <w:sz w:val="20"/>
              </w:rPr>
              <w:t>Le frontend appelle l’API FastAPI, l’API valide l’utilisateur, stocke les métadonnées dans SQLite, enregistre l’image ROI, exécute l’inférence sur CPU, renvoie le résultat détaillé, puis accepte une review clinique persistante qui sera rechargée automatiquement à l’ouverture ultérieure de la même analyse.</w:t>
            </w:r>
          </w:p>
        </w:tc>
      </w:tr>
    </w:tbl>
    <w:p>
      <w:pPr>
        <w:pStyle w:val="Heading1"/>
      </w:pPr>
      <w:r>
        <w:t>3. Environnement de travail réellement validé</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381"/>
        <w:gridCol w:w="6123"/>
      </w:tblGrid>
      <w:tr>
        <w:tc>
          <w:tcPr>
            <w:tcW w:type="dxa" w:w="2381"/>
            <w:vAlign w:val="center"/>
            <w:shd w:fill="F3F5F7"/>
          </w:tcPr>
          <w:p>
            <w:pPr>
              <w:spacing w:after="40"/>
            </w:pPr>
            <w:r>
              <w:rPr>
                <w:b/>
                <w:sz w:val="20"/>
              </w:rPr>
              <w:t>Machine et système</w:t>
            </w:r>
          </w:p>
        </w:tc>
        <w:tc>
          <w:tcPr>
            <w:tcW w:type="dxa" w:w="6123"/>
            <w:vAlign w:val="center"/>
          </w:tcPr>
          <w:p>
            <w:pPr>
              <w:spacing w:after="40"/>
            </w:pPr>
            <w:r>
              <w:rPr>
                <w:sz w:val="20"/>
              </w:rPr>
              <w:t>Windows 11 sur machine Dell, usage CPU-only.</w:t>
            </w:r>
          </w:p>
        </w:tc>
      </w:tr>
      <w:tr>
        <w:tc>
          <w:tcPr>
            <w:tcW w:type="dxa" w:w="2381"/>
            <w:vAlign w:val="center"/>
            <w:shd w:fill="F3F5F7"/>
          </w:tcPr>
          <w:p>
            <w:pPr>
              <w:spacing w:after="40"/>
            </w:pPr>
            <w:r>
              <w:rPr>
                <w:b/>
                <w:sz w:val="20"/>
              </w:rPr>
              <w:t>Éditeur principal</w:t>
            </w:r>
          </w:p>
        </w:tc>
        <w:tc>
          <w:tcPr>
            <w:tcW w:type="dxa" w:w="6123"/>
            <w:vAlign w:val="center"/>
          </w:tcPr>
          <w:p>
            <w:pPr>
              <w:spacing w:after="40"/>
            </w:pPr>
            <w:r>
              <w:rPr>
                <w:sz w:val="20"/>
              </w:rPr>
              <w:t>Visual Studio Code.</w:t>
            </w:r>
          </w:p>
        </w:tc>
      </w:tr>
      <w:tr>
        <w:tc>
          <w:tcPr>
            <w:tcW w:type="dxa" w:w="2381"/>
            <w:vAlign w:val="center"/>
            <w:shd w:fill="F3F5F7"/>
          </w:tcPr>
          <w:p>
            <w:pPr>
              <w:spacing w:after="40"/>
            </w:pPr>
            <w:r>
              <w:rPr>
                <w:b/>
                <w:sz w:val="20"/>
              </w:rPr>
              <w:t>Backend runtime</w:t>
            </w:r>
          </w:p>
        </w:tc>
        <w:tc>
          <w:tcPr>
            <w:tcW w:type="dxa" w:w="6123"/>
            <w:vAlign w:val="center"/>
          </w:tcPr>
          <w:p>
            <w:pPr>
              <w:spacing w:after="40"/>
            </w:pPr>
            <w:r>
              <w:rPr>
                <w:sz w:val="20"/>
              </w:rPr>
              <w:t>Python + environnement virtuel .venv.</w:t>
            </w:r>
          </w:p>
        </w:tc>
      </w:tr>
      <w:tr>
        <w:tc>
          <w:tcPr>
            <w:tcW w:type="dxa" w:w="2381"/>
            <w:vAlign w:val="center"/>
            <w:shd w:fill="F3F5F7"/>
          </w:tcPr>
          <w:p>
            <w:pPr>
              <w:spacing w:after="40"/>
            </w:pPr>
            <w:r>
              <w:rPr>
                <w:b/>
                <w:sz w:val="20"/>
              </w:rPr>
              <w:t>Frontend runtime</w:t>
            </w:r>
          </w:p>
        </w:tc>
        <w:tc>
          <w:tcPr>
            <w:tcW w:type="dxa" w:w="6123"/>
            <w:vAlign w:val="center"/>
          </w:tcPr>
          <w:p>
            <w:pPr>
              <w:spacing w:after="40"/>
            </w:pPr>
            <w:r>
              <w:rPr>
                <w:sz w:val="20"/>
              </w:rPr>
              <w:t>Node.js / npm.</w:t>
            </w:r>
          </w:p>
        </w:tc>
      </w:tr>
      <w:tr>
        <w:tc>
          <w:tcPr>
            <w:tcW w:type="dxa" w:w="2381"/>
            <w:vAlign w:val="center"/>
            <w:shd w:fill="F3F5F7"/>
          </w:tcPr>
          <w:p>
            <w:pPr>
              <w:spacing w:after="40"/>
            </w:pPr>
            <w:r>
              <w:rPr>
                <w:b/>
                <w:sz w:val="20"/>
              </w:rPr>
              <w:t>Base locale</w:t>
            </w:r>
          </w:p>
        </w:tc>
        <w:tc>
          <w:tcPr>
            <w:tcW w:type="dxa" w:w="6123"/>
            <w:vAlign w:val="center"/>
          </w:tcPr>
          <w:p>
            <w:pPr>
              <w:spacing w:after="40"/>
            </w:pPr>
            <w:r>
              <w:rPr>
                <w:sz w:val="20"/>
              </w:rPr>
              <w:t>SQLite, fichier backend/data/rheumaassist.db.</w:t>
            </w:r>
          </w:p>
        </w:tc>
      </w:tr>
      <w:tr>
        <w:tc>
          <w:tcPr>
            <w:tcW w:type="dxa" w:w="2381"/>
            <w:vAlign w:val="center"/>
            <w:shd w:fill="F3F5F7"/>
          </w:tcPr>
          <w:p>
            <w:pPr>
              <w:spacing w:after="40"/>
            </w:pPr>
            <w:r>
              <w:rPr>
                <w:b/>
                <w:sz w:val="20"/>
              </w:rPr>
              <w:t>Pile de développement active</w:t>
            </w:r>
          </w:p>
        </w:tc>
        <w:tc>
          <w:tcPr>
            <w:tcW w:type="dxa" w:w="6123"/>
            <w:vAlign w:val="center"/>
          </w:tcPr>
          <w:p>
            <w:pPr>
              <w:spacing w:after="40"/>
            </w:pPr>
            <w:r>
              <w:rPr>
                <w:sz w:val="20"/>
              </w:rPr>
              <w:t>FastAPI + SQLAlchemy + SQLite + PyTorch d’un côté ; Next.js + TypeScript + Tailwind de l’autre.</w:t>
            </w:r>
          </w:p>
        </w:tc>
      </w:tr>
    </w:tbl>
    <w:p>
      <w:pPr>
        <w:pStyle w:val="Heading1"/>
      </w:pPr>
      <w:r>
        <w:t>4. Comment lancer l’application demain</w:t>
      </w:r>
    </w:p>
    <w:p>
      <w:pPr>
        <w:pStyle w:val="Heading2"/>
      </w:pPr>
      <w:r>
        <w:t>4.1. Lancement normal (si tout est déjà en place)</w:t>
      </w:r>
    </w:p>
    <w:p>
      <w:r>
        <w:t>Backend — dans un premier terminal PowerShell :</w:t>
      </w:r>
    </w:p>
    <w:p>
      <w:pPr>
        <w:ind w:left="454"/>
      </w:pPr>
      <w:r>
        <w:rPr>
          <w:rFonts w:ascii="Consolas" w:hAnsi="Consolas"/>
          <w:sz w:val="19"/>
        </w:rPr>
        <w:t>cd C:\Users\Dell\Desktop\rheumaassist\backend</w:t>
      </w:r>
    </w:p>
    <w:p>
      <w:pPr>
        <w:ind w:left="454"/>
      </w:pPr>
      <w:r>
        <w:rPr>
          <w:rFonts w:ascii="Consolas" w:hAnsi="Consolas"/>
          <w:sz w:val="19"/>
        </w:rPr>
        <w:t>.\.venv\Scripts\Activate.ps1</w:t>
      </w:r>
    </w:p>
    <w:p>
      <w:pPr>
        <w:ind w:left="454"/>
      </w:pPr>
      <w:r>
        <w:rPr>
          <w:rFonts w:ascii="Consolas" w:hAnsi="Consolas"/>
          <w:sz w:val="19"/>
        </w:rPr>
        <w:t>python -m uvicorn app.main:app --reload</w:t>
      </w:r>
    </w:p>
    <w:p>
      <w:r>
        <w:t>Frontend — dans un second terminal PowerShell :</w:t>
      </w:r>
    </w:p>
    <w:p>
      <w:pPr>
        <w:ind w:left="454"/>
      </w:pPr>
      <w:r>
        <w:rPr>
          <w:rFonts w:ascii="Consolas" w:hAnsi="Consolas"/>
          <w:sz w:val="19"/>
        </w:rPr>
        <w:t>cd C:\Users\Dell\Desktop\rheumaassist\frontend</w:t>
      </w:r>
    </w:p>
    <w:p>
      <w:pPr>
        <w:ind w:left="454"/>
      </w:pPr>
      <w:r>
        <w:rPr>
          <w:rFonts w:ascii="Consolas" w:hAnsi="Consolas"/>
          <w:sz w:val="19"/>
        </w:rPr>
        <w:t>npm run dev</w:t>
      </w:r>
    </w:p>
    <w:p>
      <w:r>
        <w:t>URLs utiles :</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268"/>
        <w:gridCol w:w="3515"/>
        <w:gridCol w:w="3402"/>
      </w:tblGrid>
      <w:tr>
        <w:trPr>
          <w:trHeight w:hRule="atLeast"/>
        </w:trPr>
        <w:tc>
          <w:tcPr>
            <w:tcW w:type="dxa" w:w="2268"/>
            <w:vAlign w:val="center"/>
            <w:shd w:fill="D9EAF7"/>
          </w:tcPr>
          <w:p>
            <w:pPr>
              <w:spacing w:after="0"/>
              <w:jc w:val="center"/>
            </w:pPr>
            <w:r>
              <w:rPr>
                <w:b/>
                <w:color w:val="212529"/>
                <w:sz w:val="20"/>
              </w:rPr>
              <w:t>Usage</w:t>
            </w:r>
          </w:p>
        </w:tc>
        <w:tc>
          <w:tcPr>
            <w:tcW w:type="dxa" w:w="3515"/>
            <w:vAlign w:val="center"/>
            <w:shd w:fill="D9EAF7"/>
          </w:tcPr>
          <w:p>
            <w:pPr>
              <w:spacing w:after="0"/>
              <w:jc w:val="center"/>
            </w:pPr>
            <w:r>
              <w:rPr>
                <w:b/>
                <w:color w:val="212529"/>
                <w:sz w:val="20"/>
              </w:rPr>
              <w:t>URL</w:t>
            </w:r>
          </w:p>
        </w:tc>
        <w:tc>
          <w:tcPr>
            <w:tcW w:type="dxa" w:w="3402"/>
            <w:vAlign w:val="center"/>
            <w:shd w:fill="D9EAF7"/>
          </w:tcPr>
          <w:p>
            <w:pPr>
              <w:spacing w:after="0"/>
              <w:jc w:val="center"/>
            </w:pPr>
            <w:r>
              <w:rPr>
                <w:b/>
                <w:color w:val="212529"/>
                <w:sz w:val="20"/>
              </w:rPr>
              <w:t>Remarque</w:t>
            </w:r>
          </w:p>
        </w:tc>
      </w:tr>
      <w:tr>
        <w:tc>
          <w:tcPr>
            <w:tcW w:type="dxa" w:w="2268"/>
            <w:vAlign w:val="center"/>
          </w:tcPr>
          <w:p>
            <w:pPr>
              <w:spacing w:after="0"/>
              <w:jc w:val="center"/>
            </w:pPr>
            <w:r>
              <w:rPr>
                <w:sz w:val="20"/>
              </w:rPr>
              <w:t>Frontend</w:t>
            </w:r>
          </w:p>
        </w:tc>
        <w:tc>
          <w:tcPr>
            <w:tcW w:type="dxa" w:w="3515"/>
            <w:vAlign w:val="center"/>
          </w:tcPr>
          <w:p>
            <w:pPr>
              <w:spacing w:after="0"/>
              <w:jc w:val="center"/>
            </w:pPr>
            <w:r>
              <w:rPr>
                <w:sz w:val="20"/>
              </w:rPr>
              <w:t>http://localhost:3000</w:t>
            </w:r>
          </w:p>
        </w:tc>
        <w:tc>
          <w:tcPr>
            <w:tcW w:type="dxa" w:w="3402"/>
            <w:vAlign w:val="center"/>
          </w:tcPr>
          <w:p>
            <w:pPr>
              <w:spacing w:after="0"/>
              <w:jc w:val="left"/>
            </w:pPr>
            <w:r>
              <w:rPr>
                <w:sz w:val="20"/>
              </w:rPr>
              <w:t>Point d’entrée utilisateur du MVP.</w:t>
            </w:r>
          </w:p>
        </w:tc>
      </w:tr>
      <w:tr>
        <w:tc>
          <w:tcPr>
            <w:tcW w:type="dxa" w:w="2268"/>
            <w:vAlign w:val="center"/>
          </w:tcPr>
          <w:p>
            <w:pPr>
              <w:spacing w:after="0"/>
              <w:jc w:val="center"/>
            </w:pPr>
            <w:r>
              <w:rPr>
                <w:sz w:val="20"/>
              </w:rPr>
              <w:t>Health check backend</w:t>
            </w:r>
          </w:p>
        </w:tc>
        <w:tc>
          <w:tcPr>
            <w:tcW w:type="dxa" w:w="3515"/>
            <w:vAlign w:val="center"/>
          </w:tcPr>
          <w:p>
            <w:pPr>
              <w:spacing w:after="0"/>
              <w:jc w:val="left"/>
            </w:pPr>
            <w:r>
              <w:rPr>
                <w:sz w:val="20"/>
              </w:rPr>
              <w:t>http://localhost:8000/api/health</w:t>
            </w:r>
          </w:p>
        </w:tc>
        <w:tc>
          <w:tcPr>
            <w:tcW w:type="dxa" w:w="3402"/>
            <w:vAlign w:val="center"/>
          </w:tcPr>
          <w:p>
            <w:pPr>
              <w:spacing w:after="0"/>
              <w:jc w:val="left"/>
            </w:pPr>
            <w:r>
              <w:rPr>
                <w:sz w:val="20"/>
              </w:rPr>
              <w:t>Doit renvoyer {"status":"ok"}.</w:t>
            </w:r>
          </w:p>
        </w:tc>
      </w:tr>
      <w:tr>
        <w:tc>
          <w:tcPr>
            <w:tcW w:type="dxa" w:w="2268"/>
            <w:vAlign w:val="center"/>
          </w:tcPr>
          <w:p>
            <w:pPr>
              <w:spacing w:after="0"/>
              <w:jc w:val="center"/>
            </w:pPr>
            <w:r>
              <w:rPr>
                <w:sz w:val="20"/>
              </w:rPr>
              <w:t>Swagger / API docs</w:t>
            </w:r>
          </w:p>
        </w:tc>
        <w:tc>
          <w:tcPr>
            <w:tcW w:type="dxa" w:w="3515"/>
            <w:vAlign w:val="center"/>
          </w:tcPr>
          <w:p>
            <w:pPr>
              <w:spacing w:after="0"/>
              <w:jc w:val="left"/>
            </w:pPr>
            <w:r>
              <w:rPr>
                <w:sz w:val="20"/>
              </w:rPr>
              <w:t>http://localhost:8000/docs</w:t>
            </w:r>
          </w:p>
        </w:tc>
        <w:tc>
          <w:tcPr>
            <w:tcW w:type="dxa" w:w="3402"/>
            <w:vAlign w:val="center"/>
          </w:tcPr>
          <w:p>
            <w:pPr>
              <w:spacing w:after="0"/>
              <w:jc w:val="left"/>
            </w:pPr>
            <w:r>
              <w:rPr>
                <w:sz w:val="20"/>
              </w:rPr>
              <w:t>Permet de tester l’API et vérifier les routes exposées.</w:t>
            </w:r>
          </w:p>
        </w:tc>
      </w:tr>
    </w:tbl>
    <w:p>
      <w:pPr>
        <w:pStyle w:val="Heading2"/>
      </w:pPr>
      <w:r>
        <w:t>4.2. Relance de la base si la base SQLite doit être recréée</w:t>
      </w:r>
    </w:p>
    <w:p>
      <w:r>
        <w:t>Si la base a été supprimée ou doit être régénérée, l’ordre correct de récupération est le suivant :</w:t>
      </w:r>
    </w:p>
    <w:p>
      <w:pPr>
        <w:ind w:left="454"/>
      </w:pPr>
      <w:r>
        <w:rPr>
          <w:rFonts w:ascii="Consolas" w:hAnsi="Consolas"/>
          <w:sz w:val="19"/>
        </w:rPr>
        <w:t>cd C:\Users\Dell\Desktop\rheumaassist\backend</w:t>
      </w:r>
    </w:p>
    <w:p>
      <w:pPr>
        <w:ind w:left="454"/>
      </w:pPr>
      <w:r>
        <w:rPr>
          <w:rFonts w:ascii="Consolas" w:hAnsi="Consolas"/>
          <w:sz w:val="19"/>
        </w:rPr>
        <w:t>.\.venv\Scripts\Activate.ps1</w:t>
      </w:r>
    </w:p>
    <w:p>
      <w:pPr>
        <w:ind w:left="454"/>
      </w:pPr>
      <w:r>
        <w:rPr>
          <w:rFonts w:ascii="Consolas" w:hAnsi="Consolas"/>
          <w:sz w:val="19"/>
        </w:rPr>
        <w:t>python -m alembic upgrade head</w:t>
      </w:r>
    </w:p>
    <w:p>
      <w:pPr>
        <w:ind w:left="454"/>
      </w:pPr>
      <w:r>
        <w:rPr>
          <w:rFonts w:ascii="Consolas" w:hAnsi="Consolas"/>
          <w:sz w:val="19"/>
        </w:rPr>
        <w:t>python -m scripts.seed</w:t>
      </w:r>
    </w:p>
    <w:p>
      <w:pPr>
        <w:ind w:left="454"/>
      </w:pPr>
      <w:r>
        <w:rPr>
          <w:rFonts w:ascii="Consolas" w:hAnsi="Consolas"/>
          <w:sz w:val="19"/>
        </w:rPr>
        <w:t>python -m uvicorn app.main:app --reload</w:t>
      </w:r>
    </w:p>
    <w:p>
      <w:pPr>
        <w:pStyle w:val="Heading2"/>
      </w:pPr>
      <w:r>
        <w:t>4.3. Comptes de démonstration connus</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1701"/>
        <w:gridCol w:w="3402"/>
        <w:gridCol w:w="4082"/>
      </w:tblGrid>
      <w:tr>
        <w:trPr>
          <w:trHeight w:hRule="atLeast"/>
        </w:trPr>
        <w:tc>
          <w:tcPr>
            <w:tcW w:type="dxa" w:w="1701"/>
            <w:vAlign w:val="center"/>
            <w:shd w:fill="D9EAF7"/>
          </w:tcPr>
          <w:p>
            <w:pPr>
              <w:spacing w:after="0"/>
              <w:jc w:val="center"/>
            </w:pPr>
            <w:r>
              <w:rPr>
                <w:b/>
                <w:color w:val="212529"/>
                <w:sz w:val="20"/>
              </w:rPr>
              <w:t>Rôle</w:t>
            </w:r>
          </w:p>
        </w:tc>
        <w:tc>
          <w:tcPr>
            <w:tcW w:type="dxa" w:w="3402"/>
            <w:vAlign w:val="center"/>
            <w:shd w:fill="D9EAF7"/>
          </w:tcPr>
          <w:p>
            <w:pPr>
              <w:spacing w:after="0"/>
              <w:jc w:val="center"/>
            </w:pPr>
            <w:r>
              <w:rPr>
                <w:b/>
                <w:color w:val="212529"/>
                <w:sz w:val="20"/>
              </w:rPr>
              <w:t>Email</w:t>
            </w:r>
          </w:p>
        </w:tc>
        <w:tc>
          <w:tcPr>
            <w:tcW w:type="dxa" w:w="4082"/>
            <w:vAlign w:val="center"/>
            <w:shd w:fill="D9EAF7"/>
          </w:tcPr>
          <w:p>
            <w:pPr>
              <w:spacing w:after="0"/>
              <w:jc w:val="center"/>
            </w:pPr>
            <w:r>
              <w:rPr>
                <w:b/>
                <w:color w:val="212529"/>
                <w:sz w:val="20"/>
              </w:rPr>
              <w:t>Mot de passe</w:t>
            </w:r>
          </w:p>
        </w:tc>
      </w:tr>
      <w:tr>
        <w:tc>
          <w:tcPr>
            <w:tcW w:type="dxa" w:w="1701"/>
            <w:vAlign w:val="center"/>
          </w:tcPr>
          <w:p>
            <w:pPr>
              <w:spacing w:after="0"/>
              <w:jc w:val="center"/>
            </w:pPr>
            <w:r>
              <w:rPr>
                <w:sz w:val="20"/>
              </w:rPr>
              <w:t>Admin</w:t>
            </w:r>
          </w:p>
        </w:tc>
        <w:tc>
          <w:tcPr>
            <w:tcW w:type="dxa" w:w="3402"/>
            <w:vAlign w:val="center"/>
          </w:tcPr>
          <w:p>
            <w:pPr>
              <w:spacing w:after="0"/>
              <w:jc w:val="center"/>
            </w:pPr>
            <w:r>
              <w:rPr>
                <w:sz w:val="20"/>
              </w:rPr>
              <w:t>admin@local.demo</w:t>
            </w:r>
          </w:p>
        </w:tc>
        <w:tc>
          <w:tcPr>
            <w:tcW w:type="dxa" w:w="4082"/>
            <w:vAlign w:val="center"/>
          </w:tcPr>
          <w:p>
            <w:pPr>
              <w:spacing w:after="0"/>
              <w:jc w:val="left"/>
            </w:pPr>
            <w:r>
              <w:rPr>
                <w:sz w:val="20"/>
              </w:rPr>
              <w:t>AdminPassword!ChangeMe</w:t>
            </w:r>
          </w:p>
        </w:tc>
      </w:tr>
      <w:tr>
        <w:tc>
          <w:tcPr>
            <w:tcW w:type="dxa" w:w="1701"/>
            <w:vAlign w:val="center"/>
          </w:tcPr>
          <w:p>
            <w:pPr>
              <w:spacing w:after="0"/>
              <w:jc w:val="center"/>
            </w:pPr>
            <w:r>
              <w:rPr>
                <w:sz w:val="20"/>
              </w:rPr>
              <w:t>Rheumatologist</w:t>
            </w:r>
          </w:p>
        </w:tc>
        <w:tc>
          <w:tcPr>
            <w:tcW w:type="dxa" w:w="3402"/>
            <w:vAlign w:val="center"/>
          </w:tcPr>
          <w:p>
            <w:pPr>
              <w:spacing w:after="0"/>
              <w:jc w:val="center"/>
            </w:pPr>
            <w:r>
              <w:rPr>
                <w:sz w:val="20"/>
              </w:rPr>
              <w:t>rheum@local.demo</w:t>
            </w:r>
          </w:p>
        </w:tc>
        <w:tc>
          <w:tcPr>
            <w:tcW w:type="dxa" w:w="4082"/>
            <w:vAlign w:val="center"/>
          </w:tcPr>
          <w:p>
            <w:pPr>
              <w:spacing w:after="0"/>
              <w:jc w:val="left"/>
            </w:pPr>
            <w:r>
              <w:rPr>
                <w:sz w:val="20"/>
              </w:rPr>
              <w:t>RheumPassword!ChangeMe</w:t>
            </w:r>
          </w:p>
        </w:tc>
      </w:tr>
      <w:tr>
        <w:tc>
          <w:tcPr>
            <w:tcW w:type="dxa" w:w="1701"/>
            <w:vAlign w:val="center"/>
          </w:tcPr>
          <w:p>
            <w:pPr>
              <w:spacing w:after="0"/>
              <w:jc w:val="center"/>
            </w:pPr>
            <w:r>
              <w:rPr>
                <w:sz w:val="20"/>
              </w:rPr>
              <w:t>Resident</w:t>
            </w:r>
          </w:p>
        </w:tc>
        <w:tc>
          <w:tcPr>
            <w:tcW w:type="dxa" w:w="3402"/>
            <w:vAlign w:val="center"/>
          </w:tcPr>
          <w:p>
            <w:pPr>
              <w:spacing w:after="0"/>
              <w:jc w:val="center"/>
            </w:pPr>
            <w:r>
              <w:rPr>
                <w:sz w:val="20"/>
              </w:rPr>
              <w:t>resident@local.demo</w:t>
            </w:r>
          </w:p>
        </w:tc>
        <w:tc>
          <w:tcPr>
            <w:tcW w:type="dxa" w:w="4082"/>
            <w:vAlign w:val="center"/>
          </w:tcPr>
          <w:p>
            <w:pPr>
              <w:spacing w:after="0"/>
              <w:jc w:val="left"/>
            </w:pPr>
            <w:r>
              <w:rPr>
                <w:sz w:val="20"/>
              </w:rPr>
              <w:t>ResidentPassword!ChangeMe</w:t>
            </w:r>
          </w:p>
        </w:tc>
      </w:tr>
    </w:tbl>
    <w:p/>
    <w:tbl>
      <w:tblPr>
        <w:tblW w:type="auto" w:w="0"/>
        <w:jc w:val="center"/>
        <w:tblLayout w:type="fixed"/>
        <w:tblLook w:firstColumn="1" w:firstRow="1" w:lastColumn="0" w:lastRow="0" w:noHBand="0" w:noVBand="1" w:val="04A0"/>
        <w:tblBorders>
          <w:top w:val="single" w:sz="8" w:color="E0C35A"/>
          <w:left w:val="single" w:sz="8" w:color="E0C35A"/>
          <w:bottom w:val="single" w:sz="8" w:color="E0C35A"/>
          <w:right w:val="single" w:sz="8" w:color="E0C35A"/>
          <w:insideH w:val="single" w:sz="8" w:color="E0C35A"/>
          <w:insideV w:val="single" w:sz="8" w:color="E0C35A"/>
        </w:tblBorders>
      </w:tblPr>
      <w:tblGrid>
        <w:gridCol w:w="9354"/>
      </w:tblGrid>
      <w:tr>
        <w:tc>
          <w:tcPr>
            <w:tcW w:type="dxa" w:w="9746"/>
            <w:shd w:fill="FFF4D6"/>
            <w:vAlign w:val="center"/>
          </w:tcPr>
          <w:p>
            <w:pPr>
              <w:spacing w:after="60"/>
            </w:pPr>
            <w:r>
              <w:rPr>
                <w:b/>
                <w:sz w:val="21"/>
              </w:rPr>
              <w:t>Point d’attention important</w:t>
            </w:r>
          </w:p>
          <w:p>
            <w:pPr>
              <w:spacing w:after="0"/>
            </w:pPr>
            <w:r>
              <w:rPr>
                <w:sz w:val="20"/>
              </w:rPr>
              <w:t>Le frontend a été stabilisé en utilisant l’API sur http://localhost:8000/api. La différence entre localhost et 127.0.0.1 avait provoqué auparavant des problèmes de cookie de session ; il faut donc conserver cette cohérence.</w:t>
            </w:r>
          </w:p>
        </w:tc>
      </w:tr>
    </w:tbl>
    <w:p>
      <w:pPr>
        <w:pStyle w:val="Heading1"/>
      </w:pPr>
      <w:r>
        <w:t>5. Ce qui a été construit côté backend</w:t>
      </w:r>
    </w:p>
    <w:p>
      <w:pPr>
        <w:pStyle w:val="Heading2"/>
      </w:pPr>
      <w:r>
        <w:t>5.1. Authentification</w:t>
      </w:r>
    </w:p>
    <w:p>
      <w:pPr>
        <w:spacing w:after="80"/>
        <w:ind w:left="283"/>
      </w:pPr>
      <w:r>
        <w:rPr>
          <w:b/>
        </w:rPr>
        <w:t xml:space="preserve">• </w:t>
      </w:r>
      <w:r>
        <w:t>Route de login fonctionnelle avec création de cookie de session.</w:t>
      </w:r>
    </w:p>
    <w:p>
      <w:pPr>
        <w:spacing w:after="80"/>
        <w:ind w:left="283"/>
      </w:pPr>
      <w:r>
        <w:rPr>
          <w:b/>
        </w:rPr>
        <w:t xml:space="preserve">• </w:t>
      </w:r>
      <w:r>
        <w:t>Route /api/auth/me utilisée pour charger la session côté frontend.</w:t>
      </w:r>
    </w:p>
    <w:p>
      <w:pPr>
        <w:spacing w:after="80"/>
        <w:ind w:left="283"/>
      </w:pPr>
      <w:r>
        <w:rPr>
          <w:b/>
        </w:rPr>
        <w:t xml:space="preserve">• </w:t>
      </w:r>
      <w:r>
        <w:t>Logout fonctionnel.</w:t>
      </w:r>
    </w:p>
    <w:p>
      <w:pPr>
        <w:spacing w:after="80"/>
        <w:ind w:left="283"/>
      </w:pPr>
      <w:r>
        <w:rPr>
          <w:b/>
        </w:rPr>
        <w:t xml:space="preserve">• </w:t>
      </w:r>
      <w:r>
        <w:t>Correction d’un problème de session entre localhost et 127.0.0.1.</w:t>
      </w:r>
    </w:p>
    <w:p>
      <w:pPr>
        <w:pStyle w:val="Heading2"/>
      </w:pPr>
      <w:r>
        <w:t>5.2. Patients</w:t>
      </w:r>
    </w:p>
    <w:p>
      <w:pPr>
        <w:spacing w:after="80"/>
        <w:ind w:left="283"/>
      </w:pPr>
      <w:r>
        <w:rPr>
          <w:b/>
        </w:rPr>
        <w:t xml:space="preserve">• </w:t>
      </w:r>
      <w:r>
        <w:t>Liste des patients disponible via l’API.</w:t>
      </w:r>
    </w:p>
    <w:p>
      <w:pPr>
        <w:spacing w:after="80"/>
        <w:ind w:left="283"/>
      </w:pPr>
      <w:r>
        <w:rPr>
          <w:b/>
        </w:rPr>
        <w:t xml:space="preserve">• </w:t>
      </w:r>
      <w:r>
        <w:t>Création d’un patient validée depuis le frontend.</w:t>
      </w:r>
    </w:p>
    <w:p>
      <w:pPr>
        <w:spacing w:after="80"/>
        <w:ind w:left="283"/>
      </w:pPr>
      <w:r>
        <w:rPr>
          <w:b/>
        </w:rPr>
        <w:t xml:space="preserve">• </w:t>
      </w:r>
      <w:r>
        <w:t>Récupération détaillée d’un patient pour affichage sur une page dédiée.</w:t>
      </w:r>
    </w:p>
    <w:p>
      <w:pPr>
        <w:pStyle w:val="Heading2"/>
      </w:pPr>
      <w:r>
        <w:t>5.3. Analyses IA</w:t>
      </w:r>
    </w:p>
    <w:p>
      <w:pPr>
        <w:spacing w:after="80"/>
        <w:ind w:left="283"/>
      </w:pPr>
      <w:r>
        <w:rPr>
          <w:b/>
        </w:rPr>
        <w:t xml:space="preserve">• </w:t>
      </w:r>
      <w:r>
        <w:t>Création d’un examen et d’une analyse à partir d’une image ROI.</w:t>
      </w:r>
    </w:p>
    <w:p>
      <w:pPr>
        <w:spacing w:after="80"/>
        <w:ind w:left="283"/>
      </w:pPr>
      <w:r>
        <w:rPr>
          <w:b/>
        </w:rPr>
        <w:t xml:space="preserve">• </w:t>
      </w:r>
      <w:r>
        <w:t>Stockage local de l’image uploadée dans uploads/ avec métadonnées.</w:t>
      </w:r>
    </w:p>
    <w:p>
      <w:pPr>
        <w:spacing w:after="80"/>
        <w:ind w:left="283"/>
      </w:pPr>
      <w:r>
        <w:rPr>
          <w:b/>
        </w:rPr>
        <w:t xml:space="preserve">• </w:t>
      </w:r>
      <w:r>
        <w:t>Chargement réel du modèle PyTorch CPU depuis model_artifacts/.</w:t>
      </w:r>
    </w:p>
    <w:p>
      <w:pPr>
        <w:spacing w:after="80"/>
        <w:ind w:left="283"/>
      </w:pPr>
      <w:r>
        <w:rPr>
          <w:b/>
        </w:rPr>
        <w:t xml:space="preserve">• </w:t>
      </w:r>
      <w:r>
        <w:t>Exécution de l’inférence et retour des champs utiles : probabilité, seuil, classe prédite, version du modèle, patient, date d’examen.</w:t>
      </w:r>
    </w:p>
    <w:p>
      <w:pPr>
        <w:pStyle w:val="Heading2"/>
      </w:pPr>
      <w:r>
        <w:t>5.4. Reviews cliniques</w:t>
      </w:r>
    </w:p>
    <w:p>
      <w:pPr>
        <w:spacing w:after="80"/>
        <w:ind w:left="283"/>
      </w:pPr>
      <w:r>
        <w:rPr>
          <w:b/>
        </w:rPr>
        <w:t xml:space="preserve">• </w:t>
      </w:r>
      <w:r>
        <w:t>Enregistrement d’une review en DRAFT.</w:t>
      </w:r>
    </w:p>
    <w:p>
      <w:pPr>
        <w:spacing w:after="80"/>
        <w:ind w:left="283"/>
      </w:pPr>
      <w:r>
        <w:rPr>
          <w:b/>
        </w:rPr>
        <w:t xml:space="preserve">• </w:t>
      </w:r>
      <w:r>
        <w:t>Finalisation d’une review avec statut FINAL et signed_at renseigné.</w:t>
      </w:r>
    </w:p>
    <w:p>
      <w:pPr>
        <w:spacing w:after="80"/>
        <w:ind w:left="283"/>
      </w:pPr>
      <w:r>
        <w:rPr>
          <w:b/>
        </w:rPr>
        <w:t xml:space="preserve">• </w:t>
      </w:r>
      <w:r>
        <w:t>Récupération de la latest review dans le détail d’une analyse afin de la réafficher après rafraîchissement.</w:t>
      </w:r>
    </w:p>
    <w:p>
      <w:pPr>
        <w:pStyle w:val="Heading2"/>
      </w:pPr>
      <w:r>
        <w:t>5.5. Historique et images</w:t>
      </w:r>
    </w:p>
    <w:p>
      <w:pPr>
        <w:spacing w:after="80"/>
        <w:ind w:left="283"/>
      </w:pPr>
      <w:r>
        <w:rPr>
          <w:b/>
        </w:rPr>
        <w:t xml:space="preserve">• </w:t>
      </w:r>
      <w:r>
        <w:t>Retour de l’historique des analyses par patient.</w:t>
      </w:r>
    </w:p>
    <w:p>
      <w:pPr>
        <w:spacing w:after="80"/>
        <w:ind w:left="283"/>
      </w:pPr>
      <w:r>
        <w:rPr>
          <w:b/>
        </w:rPr>
        <w:t xml:space="preserve">• </w:t>
      </w:r>
      <w:r>
        <w:t>Ajout du statut de review, de la décision et de la date de signature dans la liste des analyses.</w:t>
      </w:r>
    </w:p>
    <w:p>
      <w:pPr>
        <w:spacing w:after="80"/>
        <w:ind w:left="283"/>
      </w:pPr>
      <w:r>
        <w:rPr>
          <w:b/>
        </w:rPr>
        <w:t xml:space="preserve">• </w:t>
      </w:r>
      <w:r>
        <w:t>Service d’image via /api/images/{image_id} pour afficher le ROI uploadé sur la page résultat.</w:t>
      </w:r>
    </w:p>
    <w:p>
      <w:pPr>
        <w:pStyle w:val="Heading1"/>
      </w:pPr>
      <w:r>
        <w:t>6. Ce qui a été construit côté frontend</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835"/>
        <w:gridCol w:w="1134"/>
        <w:gridCol w:w="5669"/>
      </w:tblGrid>
      <w:tr>
        <w:trPr>
          <w:trHeight w:hRule="atLeast"/>
        </w:trPr>
        <w:tc>
          <w:tcPr>
            <w:tcW w:type="dxa" w:w="2835"/>
            <w:vAlign w:val="center"/>
            <w:shd w:fill="D9EAF7"/>
          </w:tcPr>
          <w:p>
            <w:pPr>
              <w:spacing w:after="0"/>
              <w:jc w:val="center"/>
            </w:pPr>
            <w:r>
              <w:rPr>
                <w:b/>
                <w:color w:val="212529"/>
                <w:sz w:val="20"/>
              </w:rPr>
              <w:t>Écran / page</w:t>
            </w:r>
          </w:p>
        </w:tc>
        <w:tc>
          <w:tcPr>
            <w:tcW w:type="dxa" w:w="1134"/>
            <w:vAlign w:val="center"/>
            <w:shd w:fill="D9EAF7"/>
          </w:tcPr>
          <w:p>
            <w:pPr>
              <w:spacing w:after="0"/>
              <w:jc w:val="center"/>
            </w:pPr>
            <w:r>
              <w:rPr>
                <w:b/>
                <w:color w:val="212529"/>
                <w:sz w:val="20"/>
              </w:rPr>
              <w:t>Statut</w:t>
            </w:r>
          </w:p>
        </w:tc>
        <w:tc>
          <w:tcPr>
            <w:tcW w:type="dxa" w:w="5669"/>
            <w:vAlign w:val="center"/>
            <w:shd w:fill="D9EAF7"/>
          </w:tcPr>
          <w:p>
            <w:pPr>
              <w:spacing w:after="0"/>
              <w:jc w:val="center"/>
            </w:pPr>
            <w:r>
              <w:rPr>
                <w:b/>
                <w:color w:val="212529"/>
                <w:sz w:val="20"/>
              </w:rPr>
              <w:t>Fonction réelle</w:t>
            </w:r>
          </w:p>
        </w:tc>
      </w:tr>
      <w:tr>
        <w:tc>
          <w:tcPr>
            <w:tcW w:type="dxa" w:w="2835"/>
            <w:vAlign w:val="center"/>
          </w:tcPr>
          <w:p>
            <w:pPr>
              <w:spacing w:after="0"/>
              <w:jc w:val="center"/>
            </w:pPr>
            <w:r>
              <w:rPr>
                <w:sz w:val="20"/>
              </w:rPr>
              <w:t>/login</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Authentification utilisateur avec retour sur dashboard.</w:t>
            </w:r>
          </w:p>
        </w:tc>
      </w:tr>
      <w:tr>
        <w:tc>
          <w:tcPr>
            <w:tcW w:type="dxa" w:w="2835"/>
            <w:vAlign w:val="center"/>
          </w:tcPr>
          <w:p>
            <w:pPr>
              <w:spacing w:after="0"/>
              <w:jc w:val="center"/>
            </w:pPr>
            <w:r>
              <w:rPr>
                <w:sz w:val="20"/>
              </w:rPr>
              <w:t>/app</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Dashboard protégé avec navigation de base.</w:t>
            </w:r>
          </w:p>
        </w:tc>
      </w:tr>
      <w:tr>
        <w:tc>
          <w:tcPr>
            <w:tcW w:type="dxa" w:w="2835"/>
            <w:vAlign w:val="center"/>
          </w:tcPr>
          <w:p>
            <w:pPr>
              <w:spacing w:after="0"/>
              <w:jc w:val="center"/>
            </w:pPr>
            <w:r>
              <w:rPr>
                <w:sz w:val="20"/>
              </w:rPr>
              <w:t>/app/patients</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Liste des patients et accès aux fiches individuelles.</w:t>
            </w:r>
          </w:p>
        </w:tc>
      </w:tr>
      <w:tr>
        <w:tc>
          <w:tcPr>
            <w:tcW w:type="dxa" w:w="2835"/>
            <w:vAlign w:val="center"/>
          </w:tcPr>
          <w:p>
            <w:pPr>
              <w:spacing w:after="0"/>
              <w:jc w:val="center"/>
            </w:pPr>
            <w:r>
              <w:rPr>
                <w:sz w:val="20"/>
              </w:rPr>
              <w:t>/app/patients/new</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Création d’un patient depuis le frontend.</w:t>
            </w:r>
          </w:p>
        </w:tc>
      </w:tr>
      <w:tr>
        <w:tc>
          <w:tcPr>
            <w:tcW w:type="dxa" w:w="2835"/>
            <w:vAlign w:val="center"/>
          </w:tcPr>
          <w:p>
            <w:pPr>
              <w:spacing w:after="0"/>
              <w:jc w:val="left"/>
            </w:pPr>
            <w:r>
              <w:rPr>
                <w:sz w:val="20"/>
              </w:rPr>
              <w:t>/app/patients/[patientId]</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Vue patient détaillée, historique et comparaison longitudinale.</w:t>
            </w:r>
          </w:p>
        </w:tc>
      </w:tr>
      <w:tr>
        <w:tc>
          <w:tcPr>
            <w:tcW w:type="dxa" w:w="2835"/>
            <w:vAlign w:val="center"/>
          </w:tcPr>
          <w:p>
            <w:pPr>
              <w:spacing w:after="0"/>
              <w:jc w:val="center"/>
            </w:pPr>
            <w:r>
              <w:rPr>
                <w:sz w:val="20"/>
              </w:rPr>
              <w:t>/app/analyses/new</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Création d’une nouvelle analyse ROI.</w:t>
            </w:r>
          </w:p>
        </w:tc>
      </w:tr>
      <w:tr>
        <w:tc>
          <w:tcPr>
            <w:tcW w:type="dxa" w:w="2835"/>
            <w:vAlign w:val="center"/>
          </w:tcPr>
          <w:p>
            <w:pPr>
              <w:spacing w:after="0"/>
              <w:jc w:val="left"/>
            </w:pPr>
            <w:r>
              <w:rPr>
                <w:sz w:val="20"/>
              </w:rPr>
              <w:t>/app/analyses/[analysisId]</w:t>
            </w:r>
          </w:p>
        </w:tc>
        <w:tc>
          <w:tcPr>
            <w:tcW w:type="dxa" w:w="1134"/>
            <w:vAlign w:val="center"/>
          </w:tcPr>
          <w:p>
            <w:pPr>
              <w:spacing w:after="0"/>
              <w:jc w:val="center"/>
            </w:pPr>
            <w:r>
              <w:rPr>
                <w:sz w:val="20"/>
              </w:rPr>
              <w:t>OK</w:t>
            </w:r>
          </w:p>
        </w:tc>
        <w:tc>
          <w:tcPr>
            <w:tcW w:type="dxa" w:w="5669"/>
            <w:vAlign w:val="center"/>
          </w:tcPr>
          <w:p>
            <w:pPr>
              <w:spacing w:after="0"/>
              <w:jc w:val="left"/>
            </w:pPr>
            <w:r>
              <w:rPr>
                <w:sz w:val="20"/>
              </w:rPr>
              <w:t>Résultat d’analyse, preview image ROI, review clinique et rechargement de la latest review.</w:t>
            </w:r>
          </w:p>
        </w:tc>
      </w:tr>
    </w:tbl>
    <w:p>
      <w:pPr>
        <w:pStyle w:val="Heading1"/>
      </w:pPr>
      <w:r>
        <w:t>7. Flux fonctionnels réellement validés</w:t>
      </w:r>
    </w:p>
    <w:p>
      <w:pPr>
        <w:pStyle w:val="Heading2"/>
      </w:pPr>
      <w:r>
        <w:t>7.1. Flux d’authentification</w:t>
      </w:r>
    </w:p>
    <w:p>
      <w:r>
        <w:t>Le login a été validé via le frontend, avec retour du cookie de session, chargement correct de /api/auth/me, ouverture du dashboard et fonctionnement du logout.</w:t>
      </w:r>
    </w:p>
    <w:p>
      <w:pPr>
        <w:pStyle w:val="Heading2"/>
      </w:pPr>
      <w:r>
        <w:t>7.2. Flux patient</w:t>
      </w:r>
    </w:p>
    <w:p>
      <w:r>
        <w:t>La liste des patients est récupérée depuis l’API, un nouveau patient peut être créé, puis visualisé dans la liste et dans sa vue dédiée.</w:t>
      </w:r>
    </w:p>
    <w:p>
      <w:pPr>
        <w:pStyle w:val="Heading2"/>
      </w:pPr>
      <w:r>
        <w:t>7.3. Flux analyse ROI</w:t>
      </w:r>
    </w:p>
    <w:p>
      <w:r>
        <w:t>Le parcours complet fonctionne : sélection d’un patient, date d’examen, upload d’une ROI, exécution de l’analyse, redirection vers la page résultat et affichage du score d’érosion.</w:t>
      </w:r>
    </w:p>
    <w:p>
      <w:pPr>
        <w:pStyle w:val="Heading2"/>
      </w:pPr>
      <w:r>
        <w:t>7.4. Flux review clinique</w:t>
      </w:r>
    </w:p>
    <w:p>
      <w:r>
        <w:t>Depuis la page résultat, le clinicien peut enregistrer une review en brouillon puis la finaliser. La décision, la note libre, le statut, la version et la date de signature sont correctement persistés.</w:t>
      </w:r>
    </w:p>
    <w:p>
      <w:pPr>
        <w:pStyle w:val="Heading2"/>
      </w:pPr>
      <w:r>
        <w:t>7.5. Flux longitudinal</w:t>
      </w:r>
    </w:p>
    <w:p>
      <w:r>
        <w:t>Pour un patient donné, l’historique des analyses est affiché et une comparaison simple entre deux analyses permet de visualiser l’évolution de la probabilité, de la prédiction et des statuts de review.</w:t>
      </w:r>
    </w:p>
    <w:p>
      <w:pPr>
        <w:pStyle w:val="Heading1"/>
      </w:pPr>
      <w:r>
        <w:t>8. Grandes difficultés rencontrées et corrections apportées</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948"/>
        <w:gridCol w:w="2891"/>
        <w:gridCol w:w="3969"/>
      </w:tblGrid>
      <w:tr>
        <w:trPr>
          <w:trHeight w:hRule="atLeast"/>
        </w:trPr>
        <w:tc>
          <w:tcPr>
            <w:tcW w:type="dxa" w:w="2948"/>
            <w:vAlign w:val="center"/>
            <w:shd w:fill="D9EAF7"/>
          </w:tcPr>
          <w:p>
            <w:pPr>
              <w:spacing w:after="0"/>
              <w:jc w:val="center"/>
            </w:pPr>
            <w:r>
              <w:rPr>
                <w:b/>
                <w:color w:val="212529"/>
                <w:sz w:val="20"/>
              </w:rPr>
              <w:t>Problème rencontré</w:t>
            </w:r>
          </w:p>
        </w:tc>
        <w:tc>
          <w:tcPr>
            <w:tcW w:type="dxa" w:w="2891"/>
            <w:vAlign w:val="center"/>
            <w:shd w:fill="D9EAF7"/>
          </w:tcPr>
          <w:p>
            <w:pPr>
              <w:spacing w:after="0"/>
              <w:jc w:val="center"/>
            </w:pPr>
            <w:r>
              <w:rPr>
                <w:b/>
                <w:color w:val="212529"/>
                <w:sz w:val="20"/>
              </w:rPr>
              <w:t>Cause identifiée</w:t>
            </w:r>
          </w:p>
        </w:tc>
        <w:tc>
          <w:tcPr>
            <w:tcW w:type="dxa" w:w="3969"/>
            <w:vAlign w:val="center"/>
            <w:shd w:fill="D9EAF7"/>
          </w:tcPr>
          <w:p>
            <w:pPr>
              <w:spacing w:after="0"/>
              <w:jc w:val="center"/>
            </w:pPr>
            <w:r>
              <w:rPr>
                <w:b/>
                <w:color w:val="212529"/>
                <w:sz w:val="20"/>
              </w:rPr>
              <w:t>Correction apportée</w:t>
            </w:r>
          </w:p>
        </w:tc>
      </w:tr>
      <w:tr>
        <w:tc>
          <w:tcPr>
            <w:tcW w:type="dxa" w:w="2948"/>
            <w:vAlign w:val="center"/>
          </w:tcPr>
          <w:p>
            <w:pPr>
              <w:spacing w:after="0"/>
              <w:jc w:val="left"/>
            </w:pPr>
            <w:r>
              <w:rPr>
                <w:sz w:val="20"/>
              </w:rPr>
              <w:t>Node / npm / npx non reconnus</w:t>
            </w:r>
          </w:p>
        </w:tc>
        <w:tc>
          <w:tcPr>
            <w:tcW w:type="dxa" w:w="2891"/>
            <w:vAlign w:val="center"/>
          </w:tcPr>
          <w:p>
            <w:pPr>
              <w:spacing w:after="0"/>
              <w:jc w:val="left"/>
            </w:pPr>
            <w:r>
              <w:rPr>
                <w:sz w:val="20"/>
              </w:rPr>
              <w:t>Node.js non disponible dans le terminal</w:t>
            </w:r>
          </w:p>
        </w:tc>
        <w:tc>
          <w:tcPr>
            <w:tcW w:type="dxa" w:w="3969"/>
            <w:vAlign w:val="center"/>
          </w:tcPr>
          <w:p>
            <w:pPr>
              <w:spacing w:after="0"/>
              <w:jc w:val="left"/>
            </w:pPr>
            <w:r>
              <w:rPr>
                <w:sz w:val="20"/>
              </w:rPr>
              <w:t>Installation correcte de Node.js puis initialisation du frontend Next.js.</w:t>
            </w:r>
          </w:p>
        </w:tc>
      </w:tr>
      <w:tr>
        <w:tc>
          <w:tcPr>
            <w:tcW w:type="dxa" w:w="2948"/>
            <w:vAlign w:val="center"/>
          </w:tcPr>
          <w:p>
            <w:pPr>
              <w:spacing w:after="0"/>
              <w:jc w:val="left"/>
            </w:pPr>
            <w:r>
              <w:rPr>
                <w:sz w:val="20"/>
              </w:rPr>
              <w:t>Login frontend échouait après POST login</w:t>
            </w:r>
          </w:p>
        </w:tc>
        <w:tc>
          <w:tcPr>
            <w:tcW w:type="dxa" w:w="2891"/>
            <w:vAlign w:val="center"/>
          </w:tcPr>
          <w:p>
            <w:pPr>
              <w:spacing w:after="0"/>
              <w:jc w:val="left"/>
            </w:pPr>
            <w:r>
              <w:rPr>
                <w:sz w:val="20"/>
              </w:rPr>
              <w:t>Mauvaise cohérence entre localhost et 127.0.0.1 pour les cookies</w:t>
            </w:r>
          </w:p>
        </w:tc>
        <w:tc>
          <w:tcPr>
            <w:tcW w:type="dxa" w:w="3969"/>
            <w:vAlign w:val="center"/>
          </w:tcPr>
          <w:p>
            <w:pPr>
              <w:spacing w:after="0"/>
              <w:jc w:val="left"/>
            </w:pPr>
            <w:r>
              <w:rPr>
                <w:sz w:val="20"/>
              </w:rPr>
              <w:t>Uniformisation vers localhost pour l’API côté frontend.</w:t>
            </w:r>
          </w:p>
        </w:tc>
      </w:tr>
      <w:tr>
        <w:tc>
          <w:tcPr>
            <w:tcW w:type="dxa" w:w="2948"/>
            <w:vAlign w:val="center"/>
          </w:tcPr>
          <w:p>
            <w:pPr>
              <w:spacing w:after="0"/>
              <w:jc w:val="left"/>
            </w:pPr>
            <w:r>
              <w:rPr>
                <w:sz w:val="20"/>
              </w:rPr>
              <w:t>Route /app/analyses/new tombait dans [analysisId]</w:t>
            </w:r>
          </w:p>
        </w:tc>
        <w:tc>
          <w:tcPr>
            <w:tcW w:type="dxa" w:w="2891"/>
            <w:vAlign w:val="center"/>
          </w:tcPr>
          <w:p>
            <w:pPr>
              <w:spacing w:after="0"/>
              <w:jc w:val="left"/>
            </w:pPr>
            <w:r>
              <w:rPr>
                <w:sz w:val="20"/>
              </w:rPr>
              <w:t>Structure de routes Next.js incorrecte ou route statique absente</w:t>
            </w:r>
          </w:p>
        </w:tc>
        <w:tc>
          <w:tcPr>
            <w:tcW w:type="dxa" w:w="3969"/>
            <w:vAlign w:val="center"/>
          </w:tcPr>
          <w:p>
            <w:pPr>
              <w:spacing w:after="0"/>
              <w:jc w:val="left"/>
            </w:pPr>
            <w:r>
              <w:rPr>
                <w:sz w:val="20"/>
              </w:rPr>
              <w:t>Création de la vraie route statique analyses/new/page.tsx.</w:t>
            </w:r>
          </w:p>
        </w:tc>
      </w:tr>
      <w:tr>
        <w:tc>
          <w:tcPr>
            <w:tcW w:type="dxa" w:w="2948"/>
            <w:vAlign w:val="center"/>
          </w:tcPr>
          <w:p>
            <w:pPr>
              <w:spacing w:after="0"/>
              <w:jc w:val="left"/>
            </w:pPr>
            <w:r>
              <w:rPr>
                <w:sz w:val="20"/>
              </w:rPr>
              <w:t>Patient et date absents sur résultat</w:t>
            </w:r>
          </w:p>
        </w:tc>
        <w:tc>
          <w:tcPr>
            <w:tcW w:type="dxa" w:w="2891"/>
            <w:vAlign w:val="center"/>
          </w:tcPr>
          <w:p>
            <w:pPr>
              <w:spacing w:after="0"/>
              <w:jc w:val="left"/>
            </w:pPr>
            <w:r>
              <w:rPr>
                <w:sz w:val="20"/>
              </w:rPr>
              <w:t>Backend réel ne renvoyait pas la structure attendue par le frontend</w:t>
            </w:r>
          </w:p>
        </w:tc>
        <w:tc>
          <w:tcPr>
            <w:tcW w:type="dxa" w:w="3969"/>
            <w:vAlign w:val="center"/>
          </w:tcPr>
          <w:p>
            <w:pPr>
              <w:spacing w:after="0"/>
              <w:jc w:val="left"/>
            </w:pPr>
            <w:r>
              <w:rPr>
                <w:sz w:val="20"/>
              </w:rPr>
              <w:t>Mise à jour du détail d’analyse pour renvoyer patient et exam correctement.</w:t>
            </w:r>
          </w:p>
        </w:tc>
      </w:tr>
      <w:tr>
        <w:tc>
          <w:tcPr>
            <w:tcW w:type="dxa" w:w="2948"/>
            <w:vAlign w:val="center"/>
          </w:tcPr>
          <w:p>
            <w:pPr>
              <w:spacing w:after="0"/>
              <w:jc w:val="left"/>
            </w:pPr>
            <w:r>
              <w:rPr>
                <w:sz w:val="20"/>
              </w:rPr>
              <w:t>Échecs backend successifs à l’import</w:t>
            </w:r>
          </w:p>
        </w:tc>
        <w:tc>
          <w:tcPr>
            <w:tcW w:type="dxa" w:w="2891"/>
            <w:vAlign w:val="center"/>
          </w:tcPr>
          <w:p>
            <w:pPr>
              <w:spacing w:after="0"/>
              <w:jc w:val="left"/>
            </w:pPr>
            <w:r>
              <w:rPr>
                <w:sz w:val="20"/>
              </w:rPr>
              <w:t>Fichiers manquants ou incohérents (NotFoundError, roi_selection, audit, audit_log, etc.)</w:t>
            </w:r>
          </w:p>
        </w:tc>
        <w:tc>
          <w:tcPr>
            <w:tcW w:type="dxa" w:w="3969"/>
            <w:vAlign w:val="center"/>
          </w:tcPr>
          <w:p>
            <w:pPr>
              <w:spacing w:after="0"/>
              <w:jc w:val="left"/>
            </w:pPr>
            <w:r>
              <w:rPr>
                <w:sz w:val="20"/>
              </w:rPr>
              <w:t>Recréation et réalignement progressif des fichiers réellement utilisés par le MVP.</w:t>
            </w:r>
          </w:p>
        </w:tc>
      </w:tr>
      <w:tr>
        <w:tc>
          <w:tcPr>
            <w:tcW w:type="dxa" w:w="2948"/>
            <w:vAlign w:val="center"/>
          </w:tcPr>
          <w:p>
            <w:pPr>
              <w:spacing w:after="0"/>
              <w:jc w:val="left"/>
            </w:pPr>
            <w:r>
              <w:rPr>
                <w:sz w:val="20"/>
              </w:rPr>
              <w:t>Login redevenu invalide après recréation de base</w:t>
            </w:r>
          </w:p>
        </w:tc>
        <w:tc>
          <w:tcPr>
            <w:tcW w:type="dxa" w:w="2891"/>
            <w:vAlign w:val="center"/>
          </w:tcPr>
          <w:p>
            <w:pPr>
              <w:spacing w:after="0"/>
              <w:jc w:val="left"/>
            </w:pPr>
            <w:r>
              <w:rPr>
                <w:sz w:val="20"/>
              </w:rPr>
              <w:t>Base vide ou seed absent / incohérent</w:t>
            </w:r>
          </w:p>
        </w:tc>
        <w:tc>
          <w:tcPr>
            <w:tcW w:type="dxa" w:w="3969"/>
            <w:vAlign w:val="center"/>
          </w:tcPr>
          <w:p>
            <w:pPr>
              <w:spacing w:after="0"/>
              <w:jc w:val="left"/>
            </w:pPr>
            <w:r>
              <w:rPr>
                <w:sz w:val="20"/>
              </w:rPr>
              <w:t>Réapplication des migrations puis reseed complet des comptes démo.</w:t>
            </w:r>
          </w:p>
        </w:tc>
      </w:tr>
      <w:tr>
        <w:tc>
          <w:tcPr>
            <w:tcW w:type="dxa" w:w="2948"/>
            <w:vAlign w:val="center"/>
          </w:tcPr>
          <w:p>
            <w:pPr>
              <w:spacing w:after="0"/>
              <w:jc w:val="left"/>
            </w:pPr>
            <w:r>
              <w:rPr>
                <w:sz w:val="20"/>
              </w:rPr>
              <w:t>Échec lors de la création d’analyse</w:t>
            </w:r>
          </w:p>
        </w:tc>
        <w:tc>
          <w:tcPr>
            <w:tcW w:type="dxa" w:w="2891"/>
            <w:vAlign w:val="center"/>
          </w:tcPr>
          <w:p>
            <w:pPr>
              <w:spacing w:after="0"/>
              <w:jc w:val="left"/>
            </w:pPr>
            <w:r>
              <w:rPr>
                <w:sz w:val="20"/>
              </w:rPr>
              <w:t>Mismatch entre la route backend analyses et la nouvelle signature de create_and_run</w:t>
            </w:r>
          </w:p>
        </w:tc>
        <w:tc>
          <w:tcPr>
            <w:tcW w:type="dxa" w:w="3969"/>
            <w:vAlign w:val="center"/>
          </w:tcPr>
          <w:p>
            <w:pPr>
              <w:spacing w:after="0"/>
              <w:jc w:val="left"/>
            </w:pPr>
            <w:r>
              <w:rPr>
                <w:sz w:val="20"/>
              </w:rPr>
              <w:t>Mise à jour de la route analyses.py pour transmettre mode, full_image et roi_meta.</w:t>
            </w:r>
          </w:p>
        </w:tc>
      </w:tr>
      <w:tr>
        <w:tc>
          <w:tcPr>
            <w:tcW w:type="dxa" w:w="2948"/>
            <w:vAlign w:val="center"/>
          </w:tcPr>
          <w:p>
            <w:pPr>
              <w:spacing w:after="0"/>
              <w:jc w:val="left"/>
            </w:pPr>
            <w:r>
              <w:rPr>
                <w:sz w:val="20"/>
              </w:rPr>
              <w:t>Échecs liés au schéma SQLite</w:t>
            </w:r>
          </w:p>
        </w:tc>
        <w:tc>
          <w:tcPr>
            <w:tcW w:type="dxa" w:w="2891"/>
            <w:vAlign w:val="center"/>
          </w:tcPr>
          <w:p>
            <w:pPr>
              <w:spacing w:after="0"/>
              <w:jc w:val="center"/>
            </w:pPr>
            <w:r>
              <w:rPr>
                <w:sz w:val="20"/>
              </w:rPr>
              <w:t>Base recréée sans tables</w:t>
            </w:r>
          </w:p>
        </w:tc>
        <w:tc>
          <w:tcPr>
            <w:tcW w:type="dxa" w:w="3969"/>
            <w:vAlign w:val="center"/>
          </w:tcPr>
          <w:p>
            <w:pPr>
              <w:spacing w:after="0"/>
              <w:jc w:val="left"/>
            </w:pPr>
            <w:r>
              <w:rPr>
                <w:sz w:val="20"/>
              </w:rPr>
              <w:t>Usage correct de python -m alembic upgrade head avant le seed.</w:t>
            </w:r>
          </w:p>
        </w:tc>
      </w:tr>
    </w:tbl>
    <w:p>
      <w:pPr>
        <w:pStyle w:val="Heading1"/>
      </w:pPr>
      <w:r>
        <w:t>9. Fonctionnement courant de l’application</w:t>
      </w:r>
    </w:p>
    <w:p>
      <w:r>
        <w:t>Aujourd’hui, le fonctionnement normal de l’application est le suivant.</w:t>
      </w:r>
    </w:p>
    <w:p>
      <w:pPr>
        <w:spacing w:after="80"/>
        <w:ind w:left="283"/>
      </w:pPr>
      <w:r>
        <w:rPr>
          <w:b/>
        </w:rPr>
        <w:t xml:space="preserve">• </w:t>
      </w:r>
      <w:r>
        <w:t>L’utilisateur se connecte via la page de login.</w:t>
      </w:r>
    </w:p>
    <w:p>
      <w:pPr>
        <w:spacing w:after="80"/>
        <w:ind w:left="283"/>
      </w:pPr>
      <w:r>
        <w:rPr>
          <w:b/>
        </w:rPr>
        <w:t xml:space="preserve">• </w:t>
      </w:r>
      <w:r>
        <w:t>Le dashboard protégé s’ouvre après vérification de la session.</w:t>
      </w:r>
    </w:p>
    <w:p>
      <w:pPr>
        <w:spacing w:after="80"/>
        <w:ind w:left="283"/>
      </w:pPr>
      <w:r>
        <w:rPr>
          <w:b/>
        </w:rPr>
        <w:t xml:space="preserve">• </w:t>
      </w:r>
      <w:r>
        <w:t>Depuis le dashboard, l’utilisateur peut consulter les patients, en créer un nouveau ou lancer une nouvelle analyse.</w:t>
      </w:r>
    </w:p>
    <w:p>
      <w:pPr>
        <w:spacing w:after="80"/>
        <w:ind w:left="283"/>
      </w:pPr>
      <w:r>
        <w:rPr>
          <w:b/>
        </w:rPr>
        <w:t xml:space="preserve">• </w:t>
      </w:r>
      <w:r>
        <w:t>Lors d’une nouvelle analyse, le clinicien choisit un patient, vérifie la date d’examen, charge une image ROI et lance l’inférence.</w:t>
      </w:r>
    </w:p>
    <w:p>
      <w:pPr>
        <w:spacing w:after="80"/>
        <w:ind w:left="283"/>
      </w:pPr>
      <w:r>
        <w:rPr>
          <w:b/>
        </w:rPr>
        <w:t xml:space="preserve">• </w:t>
      </w:r>
      <w:r>
        <w:t>La page résultat affiche les informations de l’analyse : identifiant, patient, date, score, seuil, prédiction, version du modèle et preview de la ROI.</w:t>
      </w:r>
    </w:p>
    <w:p>
      <w:pPr>
        <w:spacing w:after="80"/>
        <w:ind w:left="283"/>
      </w:pPr>
      <w:r>
        <w:rPr>
          <w:b/>
        </w:rPr>
        <w:t xml:space="preserve">• </w:t>
      </w:r>
      <w:r>
        <w:t>Le clinicien peut ensuite enregistrer une review en draft ou la finaliser.</w:t>
      </w:r>
    </w:p>
    <w:p>
      <w:pPr>
        <w:spacing w:after="80"/>
        <w:ind w:left="283"/>
      </w:pPr>
      <w:r>
        <w:rPr>
          <w:b/>
        </w:rPr>
        <w:t xml:space="preserve">• </w:t>
      </w:r>
      <w:r>
        <w:t>La review est persistée et rechargée automatiquement à l’ouverture ultérieure de la même analyse.</w:t>
      </w:r>
    </w:p>
    <w:p>
      <w:pPr>
        <w:spacing w:after="80"/>
        <w:ind w:left="283"/>
      </w:pPr>
      <w:r>
        <w:rPr>
          <w:b/>
        </w:rPr>
        <w:t xml:space="preserve">• </w:t>
      </w:r>
      <w:r>
        <w:t>Dans la page patient, l’historique de toutes les analyses est affiché, avec le statut de review et une comparaison entre deux analyses sélectionnées.</w:t>
      </w:r>
    </w:p>
    <w:p>
      <w:pPr>
        <w:pStyle w:val="Heading1"/>
      </w:pPr>
      <w:r>
        <w:t>10. État actuel du MVP — où en sommes-nous ?</w:t>
      </w:r>
    </w:p>
    <w:p>
      <w:r>
        <w:t>Par rapport à l’objectif initial du MVP, l’état actuel est très avancé. Le cœur métier n’est plus un simple squelette : il est déjà utilisable pour une démonstration sérieuse.</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2835"/>
        <w:gridCol w:w="1701"/>
        <w:gridCol w:w="5272"/>
      </w:tblGrid>
      <w:tr>
        <w:trPr>
          <w:trHeight w:hRule="atLeast"/>
        </w:trPr>
        <w:tc>
          <w:tcPr>
            <w:tcW w:type="dxa" w:w="2835"/>
            <w:vAlign w:val="center"/>
            <w:shd w:fill="D9EAF7"/>
          </w:tcPr>
          <w:p>
            <w:pPr>
              <w:spacing w:after="0"/>
              <w:jc w:val="center"/>
            </w:pPr>
            <w:r>
              <w:rPr>
                <w:b/>
                <w:color w:val="212529"/>
                <w:sz w:val="20"/>
              </w:rPr>
              <w:t>Dimension</w:t>
            </w:r>
          </w:p>
        </w:tc>
        <w:tc>
          <w:tcPr>
            <w:tcW w:type="dxa" w:w="1701"/>
            <w:vAlign w:val="center"/>
            <w:shd w:fill="D9EAF7"/>
          </w:tcPr>
          <w:p>
            <w:pPr>
              <w:spacing w:after="0"/>
              <w:jc w:val="center"/>
            </w:pPr>
            <w:r>
              <w:rPr>
                <w:b/>
                <w:color w:val="212529"/>
                <w:sz w:val="20"/>
              </w:rPr>
              <w:t>État actuel</w:t>
            </w:r>
          </w:p>
        </w:tc>
        <w:tc>
          <w:tcPr>
            <w:tcW w:type="dxa" w:w="5272"/>
            <w:vAlign w:val="center"/>
            <w:shd w:fill="D9EAF7"/>
          </w:tcPr>
          <w:p>
            <w:pPr>
              <w:spacing w:after="0"/>
              <w:jc w:val="center"/>
            </w:pPr>
            <w:r>
              <w:rPr>
                <w:b/>
                <w:color w:val="212529"/>
                <w:sz w:val="20"/>
              </w:rPr>
              <w:t>Commentaire</w:t>
            </w:r>
          </w:p>
        </w:tc>
      </w:tr>
      <w:tr>
        <w:tc>
          <w:tcPr>
            <w:tcW w:type="dxa" w:w="2835"/>
            <w:vAlign w:val="center"/>
          </w:tcPr>
          <w:p>
            <w:pPr>
              <w:spacing w:after="0"/>
              <w:jc w:val="left"/>
            </w:pPr>
            <w:r>
              <w:rPr>
                <w:sz w:val="20"/>
              </w:rPr>
              <w:t>Cœur clinique du workflow</w:t>
            </w:r>
          </w:p>
        </w:tc>
        <w:tc>
          <w:tcPr>
            <w:tcW w:type="dxa" w:w="1701"/>
            <w:vAlign w:val="center"/>
          </w:tcPr>
          <w:p>
            <w:pPr>
              <w:spacing w:after="0"/>
              <w:jc w:val="center"/>
            </w:pPr>
            <w:r>
              <w:rPr>
                <w:sz w:val="20"/>
              </w:rPr>
              <w:t>Validé</w:t>
            </w:r>
          </w:p>
        </w:tc>
        <w:tc>
          <w:tcPr>
            <w:tcW w:type="dxa" w:w="5272"/>
            <w:vAlign w:val="center"/>
          </w:tcPr>
          <w:p>
            <w:pPr>
              <w:spacing w:after="0"/>
              <w:jc w:val="left"/>
            </w:pPr>
            <w:r>
              <w:rPr>
                <w:sz w:val="20"/>
              </w:rPr>
              <w:t>Le parcours authentification → patient → analyse → review → historique fonctionne.</w:t>
            </w:r>
          </w:p>
        </w:tc>
      </w:tr>
      <w:tr>
        <w:tc>
          <w:tcPr>
            <w:tcW w:type="dxa" w:w="2835"/>
            <w:vAlign w:val="center"/>
          </w:tcPr>
          <w:p>
            <w:pPr>
              <w:spacing w:after="0"/>
              <w:jc w:val="center"/>
            </w:pPr>
            <w:r>
              <w:rPr>
                <w:sz w:val="20"/>
              </w:rPr>
              <w:t>Valeur démontrable</w:t>
            </w:r>
          </w:p>
        </w:tc>
        <w:tc>
          <w:tcPr>
            <w:tcW w:type="dxa" w:w="1701"/>
            <w:vAlign w:val="center"/>
          </w:tcPr>
          <w:p>
            <w:pPr>
              <w:spacing w:after="0"/>
              <w:jc w:val="center"/>
            </w:pPr>
            <w:r>
              <w:rPr>
                <w:sz w:val="20"/>
              </w:rPr>
              <w:t>Élevée</w:t>
            </w:r>
          </w:p>
        </w:tc>
        <w:tc>
          <w:tcPr>
            <w:tcW w:type="dxa" w:w="5272"/>
            <w:vAlign w:val="center"/>
          </w:tcPr>
          <w:p>
            <w:pPr>
              <w:spacing w:after="0"/>
              <w:jc w:val="left"/>
            </w:pPr>
            <w:r>
              <w:rPr>
                <w:sz w:val="20"/>
              </w:rPr>
              <w:t>Une démonstration complète et cohérente peut déjà être montrée.</w:t>
            </w:r>
          </w:p>
        </w:tc>
      </w:tr>
      <w:tr>
        <w:tc>
          <w:tcPr>
            <w:tcW w:type="dxa" w:w="2835"/>
            <w:vAlign w:val="center"/>
          </w:tcPr>
          <w:p>
            <w:pPr>
              <w:spacing w:after="0"/>
              <w:jc w:val="center"/>
            </w:pPr>
            <w:r>
              <w:rPr>
                <w:sz w:val="20"/>
              </w:rPr>
              <w:t>Polish produit</w:t>
            </w:r>
          </w:p>
        </w:tc>
        <w:tc>
          <w:tcPr>
            <w:tcW w:type="dxa" w:w="1701"/>
            <w:vAlign w:val="center"/>
          </w:tcPr>
          <w:p>
            <w:pPr>
              <w:spacing w:after="0"/>
              <w:jc w:val="center"/>
            </w:pPr>
            <w:r>
              <w:rPr>
                <w:sz w:val="20"/>
              </w:rPr>
              <w:t>Partiel</w:t>
            </w:r>
          </w:p>
        </w:tc>
        <w:tc>
          <w:tcPr>
            <w:tcW w:type="dxa" w:w="5272"/>
            <w:vAlign w:val="center"/>
          </w:tcPr>
          <w:p>
            <w:pPr>
              <w:spacing w:after="0"/>
              <w:jc w:val="left"/>
            </w:pPr>
            <w:r>
              <w:rPr>
                <w:sz w:val="20"/>
              </w:rPr>
              <w:t>Le design est propre, mais le dashboard et certains raffinements restent à faire.</w:t>
            </w:r>
          </w:p>
        </w:tc>
      </w:tr>
      <w:tr>
        <w:tc>
          <w:tcPr>
            <w:tcW w:type="dxa" w:w="2835"/>
            <w:vAlign w:val="center"/>
          </w:tcPr>
          <w:p>
            <w:pPr>
              <w:spacing w:after="0"/>
              <w:jc w:val="center"/>
            </w:pPr>
            <w:r>
              <w:rPr>
                <w:sz w:val="20"/>
              </w:rPr>
              <w:t>Robustesse technique</w:t>
            </w:r>
          </w:p>
        </w:tc>
        <w:tc>
          <w:tcPr>
            <w:tcW w:type="dxa" w:w="1701"/>
            <w:vAlign w:val="center"/>
          </w:tcPr>
          <w:p>
            <w:pPr>
              <w:spacing w:after="0"/>
              <w:jc w:val="center"/>
            </w:pPr>
            <w:r>
              <w:rPr>
                <w:sz w:val="20"/>
              </w:rPr>
              <w:t>Moyenne</w:t>
            </w:r>
          </w:p>
        </w:tc>
        <w:tc>
          <w:tcPr>
            <w:tcW w:type="dxa" w:w="5272"/>
            <w:vAlign w:val="center"/>
          </w:tcPr>
          <w:p>
            <w:pPr>
              <w:spacing w:after="0"/>
              <w:jc w:val="left"/>
            </w:pPr>
            <w:r>
              <w:rPr>
                <w:sz w:val="20"/>
              </w:rPr>
              <w:t>Le système fonctionne, mais nécessite encore nettoyage, durcissement et stabilisation.</w:t>
            </w:r>
          </w:p>
        </w:tc>
      </w:tr>
      <w:tr>
        <w:tc>
          <w:tcPr>
            <w:tcW w:type="dxa" w:w="2835"/>
            <w:vAlign w:val="center"/>
          </w:tcPr>
          <w:p>
            <w:pPr>
              <w:spacing w:after="0"/>
              <w:jc w:val="center"/>
            </w:pPr>
            <w:r>
              <w:rPr>
                <w:sz w:val="20"/>
              </w:rPr>
              <w:t>Dette technique</w:t>
            </w:r>
          </w:p>
        </w:tc>
        <w:tc>
          <w:tcPr>
            <w:tcW w:type="dxa" w:w="1701"/>
            <w:vAlign w:val="center"/>
          </w:tcPr>
          <w:p>
            <w:pPr>
              <w:spacing w:after="0"/>
              <w:jc w:val="center"/>
            </w:pPr>
            <w:r>
              <w:rPr>
                <w:sz w:val="20"/>
              </w:rPr>
              <w:t>Présente</w:t>
            </w:r>
          </w:p>
        </w:tc>
        <w:tc>
          <w:tcPr>
            <w:tcW w:type="dxa" w:w="5272"/>
            <w:vAlign w:val="center"/>
          </w:tcPr>
          <w:p>
            <w:pPr>
              <w:spacing w:after="0"/>
              <w:jc w:val="left"/>
            </w:pPr>
            <w:r>
              <w:rPr>
                <w:sz w:val="20"/>
              </w:rPr>
              <w:t>Plusieurs fichiers ont été réalignés au fil du debugging ; un nettoyage global sera nécessaire.</w:t>
            </w:r>
          </w:p>
        </w:tc>
      </w:tr>
    </w:tbl>
    <w:p>
      <w:r>
        <w:t>En pourcentage pragmatique, on peut considérer que le premier MVP démontrable se situe déjà autour de 75–80 % de l’objectif initial, le cœur du workflow étant désormais validé.</w:t>
      </w:r>
    </w:p>
    <w:p>
      <w:pPr>
        <w:pStyle w:val="Heading1"/>
      </w:pPr>
      <w:r>
        <w:t>11. Ce qui n’est pas encore fait ou reste à consolider</w:t>
      </w:r>
    </w:p>
    <w:p>
      <w:pPr>
        <w:spacing w:after="80"/>
        <w:ind w:left="283"/>
      </w:pPr>
      <w:r>
        <w:rPr>
          <w:b/>
        </w:rPr>
        <w:t xml:space="preserve">• </w:t>
      </w:r>
      <w:r>
        <w:t>Dashboard enrichi avec indicateurs globaux (par exemple total patients, total analyses, total final reviews).</w:t>
      </w:r>
    </w:p>
    <w:p>
      <w:pPr>
        <w:spacing w:after="80"/>
        <w:ind w:left="283"/>
      </w:pPr>
      <w:r>
        <w:rPr>
          <w:b/>
        </w:rPr>
        <w:t xml:space="preserve">• </w:t>
      </w:r>
      <w:r>
        <w:t>Nettoyage technique du backend et revue de cohérence de tous les fichiers recréés ou modifiés pendant le débogage.</w:t>
      </w:r>
    </w:p>
    <w:p>
      <w:pPr>
        <w:spacing w:after="80"/>
        <w:ind w:left="283"/>
      </w:pPr>
      <w:r>
        <w:rPr>
          <w:b/>
        </w:rPr>
        <w:t xml:space="preserve">• </w:t>
      </w:r>
      <w:r>
        <w:t>Correction propre des warnings Pydantic non bloquants, notamment autour des champs commençant par model_.</w:t>
      </w:r>
    </w:p>
    <w:p>
      <w:pPr>
        <w:spacing w:after="80"/>
        <w:ind w:left="283"/>
      </w:pPr>
      <w:r>
        <w:rPr>
          <w:b/>
        </w:rPr>
        <w:t xml:space="preserve">• </w:t>
      </w:r>
      <w:r>
        <w:t>Renforcement des tests automatiques backend et frontend.</w:t>
      </w:r>
    </w:p>
    <w:p>
      <w:pPr>
        <w:spacing w:after="80"/>
        <w:ind w:left="283"/>
      </w:pPr>
      <w:r>
        <w:rPr>
          <w:b/>
        </w:rPr>
        <w:t xml:space="preserve">• </w:t>
      </w:r>
      <w:r>
        <w:t>Éventuelle activation ou amélioration d’un mode full radiograph + ROI manuelle dans l’interface si cela reste dans la roadmap.</w:t>
      </w:r>
    </w:p>
    <w:p>
      <w:pPr>
        <w:spacing w:after="80"/>
        <w:ind w:left="283"/>
      </w:pPr>
      <w:r>
        <w:rPr>
          <w:b/>
        </w:rPr>
        <w:t xml:space="preserve">• </w:t>
      </w:r>
      <w:r>
        <w:t>Éventuel enrichissement visuel de la comparaison longitudinale (graphiques simples, meilleure synthèse visuelle).</w:t>
      </w:r>
    </w:p>
    <w:p>
      <w:pPr>
        <w:spacing w:after="80"/>
        <w:ind w:left="283"/>
      </w:pPr>
      <w:r>
        <w:rPr>
          <w:b/>
        </w:rPr>
        <w:t xml:space="preserve">• </w:t>
      </w:r>
      <w:r>
        <w:t>Préparation d’une version de démonstration propre avec moins de dette technique et un guide d’installation compact.</w:t>
      </w:r>
    </w:p>
    <w:p>
      <w:pPr>
        <w:pStyle w:val="Heading1"/>
      </w:pPr>
      <w:r>
        <w:t>12. Fichiers clés à connaître pour reprendre demain</w:t>
      </w:r>
    </w:p>
    <w:p>
      <w:r>
        <w:t>Backend :</w:t>
      </w:r>
    </w:p>
    <w:p>
      <w:pPr>
        <w:spacing w:after="80"/>
        <w:ind w:left="283"/>
      </w:pPr>
      <w:r>
        <w:rPr>
          <w:b/>
        </w:rPr>
        <w:t xml:space="preserve">• </w:t>
      </w:r>
      <w:r>
        <w:t>backend/app/main.py — point d’entrée FastAPI.</w:t>
      </w:r>
    </w:p>
    <w:p>
      <w:pPr>
        <w:spacing w:after="80"/>
        <w:ind w:left="283"/>
      </w:pPr>
      <w:r>
        <w:rPr>
          <w:b/>
        </w:rPr>
        <w:t xml:space="preserve">• </w:t>
      </w:r>
      <w:r>
        <w:t>backend/app/api/router.py — routeur principal des routes réellement exposées.</w:t>
      </w:r>
    </w:p>
    <w:p>
      <w:pPr>
        <w:spacing w:after="80"/>
        <w:ind w:left="283"/>
      </w:pPr>
      <w:r>
        <w:rPr>
          <w:b/>
        </w:rPr>
        <w:t xml:space="preserve">• </w:t>
      </w:r>
      <w:r>
        <w:t>backend/app/api/routes/auth.py — login / me / logout.</w:t>
      </w:r>
    </w:p>
    <w:p>
      <w:pPr>
        <w:spacing w:after="80"/>
        <w:ind w:left="283"/>
      </w:pPr>
      <w:r>
        <w:rPr>
          <w:b/>
        </w:rPr>
        <w:t xml:space="preserve">• </w:t>
      </w:r>
      <w:r>
        <w:t>backend/app/api/routes/patients.py — listing, création et détail patient.</w:t>
      </w:r>
    </w:p>
    <w:p>
      <w:pPr>
        <w:spacing w:after="80"/>
        <w:ind w:left="283"/>
      </w:pPr>
      <w:r>
        <w:rPr>
          <w:b/>
        </w:rPr>
        <w:t xml:space="preserve">• </w:t>
      </w:r>
      <w:r>
        <w:t>backend/app/api/routes/analyses.py — création d’analyse, détail, analyses par patient.</w:t>
      </w:r>
    </w:p>
    <w:p>
      <w:pPr>
        <w:spacing w:after="80"/>
        <w:ind w:left="283"/>
      </w:pPr>
      <w:r>
        <w:rPr>
          <w:b/>
        </w:rPr>
        <w:t xml:space="preserve">• </w:t>
      </w:r>
      <w:r>
        <w:t>backend/app/api/routes/reviews.py — save draft / finalize review.</w:t>
      </w:r>
    </w:p>
    <w:p>
      <w:pPr>
        <w:spacing w:after="80"/>
        <w:ind w:left="283"/>
      </w:pPr>
      <w:r>
        <w:rPr>
          <w:b/>
        </w:rPr>
        <w:t xml:space="preserve">• </w:t>
      </w:r>
      <w:r>
        <w:t>backend/app/api/routes/images.py — service d’image ROI uploadée.</w:t>
      </w:r>
    </w:p>
    <w:p>
      <w:pPr>
        <w:spacing w:after="80"/>
        <w:ind w:left="283"/>
      </w:pPr>
      <w:r>
        <w:rPr>
          <w:b/>
        </w:rPr>
        <w:t xml:space="preserve">• </w:t>
      </w:r>
      <w:r>
        <w:t>backend/app/services/analysis_service.py — logique principale de création d’analyse, détail et historique.</w:t>
      </w:r>
    </w:p>
    <w:p>
      <w:pPr>
        <w:spacing w:after="80"/>
        <w:ind w:left="283"/>
      </w:pPr>
      <w:r>
        <w:rPr>
          <w:b/>
        </w:rPr>
        <w:t xml:space="preserve">• </w:t>
      </w:r>
      <w:r>
        <w:t>backend/app/services/review_service.py — logique des reviews cliniques.</w:t>
      </w:r>
    </w:p>
    <w:p>
      <w:pPr>
        <w:spacing w:after="80"/>
        <w:ind w:left="283"/>
      </w:pPr>
      <w:r>
        <w:rPr>
          <w:b/>
        </w:rPr>
        <w:t xml:space="preserve">• </w:t>
      </w:r>
      <w:r>
        <w:t>backend/app/ai/model_loader.py et backend/app/ai/inference.py — chargement modèle et inférence CPU.</w:t>
      </w:r>
    </w:p>
    <w:p>
      <w:pPr>
        <w:spacing w:after="80"/>
        <w:ind w:left="283"/>
      </w:pPr>
      <w:r>
        <w:rPr>
          <w:b/>
        </w:rPr>
        <w:t xml:space="preserve">• </w:t>
      </w:r>
      <w:r>
        <w:t>backend/scripts/seed.py — recréation des rôles, comptes démo et patients de base.</w:t>
      </w:r>
    </w:p>
    <w:p>
      <w:r>
        <w:t>Frontend :</w:t>
      </w:r>
    </w:p>
    <w:p>
      <w:pPr>
        <w:spacing w:after="80"/>
        <w:ind w:left="283"/>
      </w:pPr>
      <w:r>
        <w:rPr>
          <w:b/>
        </w:rPr>
        <w:t xml:space="preserve">• </w:t>
      </w:r>
      <w:r>
        <w:t>frontend/src/app/login/page.tsx — écran de login.</w:t>
      </w:r>
    </w:p>
    <w:p>
      <w:pPr>
        <w:spacing w:after="80"/>
        <w:ind w:left="283"/>
      </w:pPr>
      <w:r>
        <w:rPr>
          <w:b/>
        </w:rPr>
        <w:t xml:space="preserve">• </w:t>
      </w:r>
      <w:r>
        <w:t>frontend/src/app/app/page.tsx — dashboard protégé.</w:t>
      </w:r>
    </w:p>
    <w:p>
      <w:pPr>
        <w:spacing w:after="80"/>
        <w:ind w:left="283"/>
      </w:pPr>
      <w:r>
        <w:rPr>
          <w:b/>
        </w:rPr>
        <w:t xml:space="preserve">• </w:t>
      </w:r>
      <w:r>
        <w:t>frontend/src/app/app/patients/page.tsx — liste des patients.</w:t>
      </w:r>
    </w:p>
    <w:p>
      <w:pPr>
        <w:spacing w:after="80"/>
        <w:ind w:left="283"/>
      </w:pPr>
      <w:r>
        <w:rPr>
          <w:b/>
        </w:rPr>
        <w:t xml:space="preserve">• </w:t>
      </w:r>
      <w:r>
        <w:t>frontend/src/app/app/patients/new/page.tsx — création patient.</w:t>
      </w:r>
    </w:p>
    <w:p>
      <w:pPr>
        <w:spacing w:after="80"/>
        <w:ind w:left="283"/>
      </w:pPr>
      <w:r>
        <w:rPr>
          <w:b/>
        </w:rPr>
        <w:t xml:space="preserve">• </w:t>
      </w:r>
      <w:r>
        <w:t>frontend/src/app/app/patients/[patientId]/page.tsx — vue patient détaillée, historique et comparaison longitudinale.</w:t>
      </w:r>
    </w:p>
    <w:p>
      <w:pPr>
        <w:spacing w:after="80"/>
        <w:ind w:left="283"/>
      </w:pPr>
      <w:r>
        <w:rPr>
          <w:b/>
        </w:rPr>
        <w:t xml:space="preserve">• </w:t>
      </w:r>
      <w:r>
        <w:t>frontend/src/app/app/analyses/new/page.tsx — nouvelle analyse ROI.</w:t>
      </w:r>
    </w:p>
    <w:p>
      <w:pPr>
        <w:spacing w:after="80"/>
        <w:ind w:left="283"/>
      </w:pPr>
      <w:r>
        <w:rPr>
          <w:b/>
        </w:rPr>
        <w:t xml:space="preserve">• </w:t>
      </w:r>
      <w:r>
        <w:t>frontend/src/app/app/analyses/[analysisId]/page.tsx — résultat d’analyse, ROI preview et review clinique.</w:t>
      </w:r>
    </w:p>
    <w:p>
      <w:pPr>
        <w:spacing w:after="80"/>
        <w:ind w:left="283"/>
      </w:pPr>
      <w:r>
        <w:rPr>
          <w:b/>
        </w:rPr>
        <w:t xml:space="preserve">• </w:t>
      </w:r>
      <w:r>
        <w:t>frontend/src/types/api.ts — contrat de types frontend aligné sur les réponses backend.</w:t>
      </w:r>
    </w:p>
    <w:p>
      <w:pPr>
        <w:spacing w:after="80"/>
        <w:ind w:left="283"/>
      </w:pPr>
      <w:r>
        <w:rPr>
          <w:b/>
        </w:rPr>
        <w:t xml:space="preserve">• </w:t>
      </w:r>
      <w:r>
        <w:t>frontend/.env.local — contient la base URL API côté frontend.</w:t>
      </w:r>
    </w:p>
    <w:p>
      <w:pPr>
        <w:pStyle w:val="Heading1"/>
      </w:pPr>
      <w:r>
        <w:t>13. Procédure de reprise conseillée demain matin</w:t>
      </w:r>
    </w:p>
    <w:p>
      <w:pPr>
        <w:spacing w:after="80"/>
        <w:ind w:left="283"/>
      </w:pPr>
      <w:r>
        <w:rPr>
          <w:b/>
        </w:rPr>
        <w:t xml:space="preserve">• </w:t>
      </w:r>
      <w:r>
        <w:t>Ouvrir VS Code sur le dossier racine rheumaassist.</w:t>
      </w:r>
    </w:p>
    <w:p>
      <w:pPr>
        <w:spacing w:after="80"/>
        <w:ind w:left="283"/>
      </w:pPr>
      <w:r>
        <w:rPr>
          <w:b/>
        </w:rPr>
        <w:t xml:space="preserve">• </w:t>
      </w:r>
      <w:r>
        <w:t>Lancer le backend dans un premier terminal et vérifier /api/health.</w:t>
      </w:r>
    </w:p>
    <w:p>
      <w:pPr>
        <w:spacing w:after="80"/>
        <w:ind w:left="283"/>
      </w:pPr>
      <w:r>
        <w:rPr>
          <w:b/>
        </w:rPr>
        <w:t xml:space="preserve">• </w:t>
      </w:r>
      <w:r>
        <w:t>Lancer le frontend dans un second terminal et ouvrir http://localhost:3000.</w:t>
      </w:r>
    </w:p>
    <w:p>
      <w:pPr>
        <w:spacing w:after="80"/>
        <w:ind w:left="283"/>
      </w:pPr>
      <w:r>
        <w:rPr>
          <w:b/>
        </w:rPr>
        <w:t xml:space="preserve">• </w:t>
      </w:r>
      <w:r>
        <w:t>Se connecter avec admin@local.demo / AdminPassword!ChangeMe.</w:t>
      </w:r>
    </w:p>
    <w:p>
      <w:pPr>
        <w:spacing w:after="80"/>
        <w:ind w:left="283"/>
      </w:pPr>
      <w:r>
        <w:rPr>
          <w:b/>
        </w:rPr>
        <w:t xml:space="preserve">• </w:t>
      </w:r>
      <w:r>
        <w:t>Vérifier rapidement la liste des patients et l’ouverture d’une analyse existante.</w:t>
      </w:r>
    </w:p>
    <w:p>
      <w:pPr>
        <w:spacing w:after="80"/>
        <w:ind w:left="283"/>
      </w:pPr>
      <w:r>
        <w:rPr>
          <w:b/>
        </w:rPr>
        <w:t xml:space="preserve">• </w:t>
      </w:r>
      <w:r>
        <w:t>Choisir ensuite la prochaine tâche produit ou technique à implémenter.</w:t>
      </w:r>
    </w:p>
    <w:tbl>
      <w:tblPr>
        <w:tblW w:type="auto" w:w="0"/>
        <w:jc w:val="center"/>
        <w:tblLayout w:type="fixed"/>
        <w:tblLook w:firstColumn="1" w:firstRow="1" w:lastColumn="0" w:lastRow="0" w:noHBand="0" w:noVBand="1" w:val="04A0"/>
        <w:tblBorders>
          <w:top w:val="single" w:sz="8" w:color="D9DEE3"/>
          <w:left w:val="single" w:sz="8" w:color="D9DEE3"/>
          <w:bottom w:val="single" w:sz="8" w:color="D9DEE3"/>
          <w:right w:val="single" w:sz="8" w:color="D9DEE3"/>
          <w:insideH w:val="single" w:sz="8" w:color="D9DEE3"/>
          <w:insideV w:val="single" w:sz="8" w:color="D9DEE3"/>
        </w:tblBorders>
      </w:tblPr>
      <w:tblGrid>
        <w:gridCol w:w="9354"/>
      </w:tblGrid>
      <w:tr>
        <w:tc>
          <w:tcPr>
            <w:tcW w:type="dxa" w:w="9746"/>
            <w:shd w:fill="EAF6EC"/>
            <w:vAlign w:val="center"/>
          </w:tcPr>
          <w:p>
            <w:pPr>
              <w:spacing w:after="60"/>
            </w:pPr>
            <w:r>
              <w:rPr>
                <w:b/>
                <w:sz w:val="21"/>
              </w:rPr>
              <w:t>Ordre de reprise recommandé</w:t>
            </w:r>
          </w:p>
          <w:p>
            <w:pPr>
              <w:spacing w:after="0"/>
            </w:pPr>
            <w:r>
              <w:rPr>
                <w:sz w:val="20"/>
              </w:rPr>
              <w:t>1) Vérifier que l’application démarre correctement ; 2) valider rapidement un login ; 3) ouvrir un patient avec historique ; 4) reprendre le développement sur la prochaine fonctionnalité prioritaire sans redéboguer inutilement le cœur déjà validé.</w:t>
            </w:r>
          </w:p>
        </w:tc>
      </w:tr>
    </w:tbl>
    <w:p>
      <w:pPr>
        <w:pStyle w:val="Heading1"/>
      </w:pPr>
      <w:r>
        <w:t>14. Recommandation de suite prioritaire</w:t>
      </w:r>
    </w:p>
    <w:p>
      <w:r>
        <w:t>La prochaine étape la plus logique après l’état actuel est probablement l’enrichissement du dashboard avec quelques KPI simples, car le cœur clinique est déjà en place. Cette étape permettrait d’améliorer la lisibilité produit sans rouvrir immédiatement de lourde dette technique.</w:t>
      </w:r>
    </w:p>
    <w:p>
      <w:pPr>
        <w:spacing w:after="80"/>
        <w:ind w:left="283"/>
      </w:pPr>
      <w:r>
        <w:rPr>
          <w:b/>
        </w:rPr>
        <w:t xml:space="preserve">• </w:t>
      </w:r>
      <w:r>
        <w:t>KPI simples suggérés : total patients, total analyses, total reviews finalisées.</w:t>
      </w:r>
    </w:p>
    <w:p>
      <w:pPr>
        <w:spacing w:after="80"/>
        <w:ind w:left="283"/>
      </w:pPr>
      <w:r>
        <w:rPr>
          <w:b/>
        </w:rPr>
        <w:t xml:space="preserve">• </w:t>
      </w:r>
      <w:r>
        <w:t>Ensuite : nettoyage technique global et stabilisation du backend.</w:t>
      </w:r>
    </w:p>
    <w:p>
      <w:pPr>
        <w:spacing w:after="80"/>
        <w:ind w:left="283"/>
      </w:pPr>
      <w:r>
        <w:rPr>
          <w:b/>
        </w:rPr>
        <w:t xml:space="preserve">• </w:t>
      </w:r>
      <w:r>
        <w:t>Puis : amélioration visuelle ou analytique de la comparaison longitudinale si nécessaire.</w:t>
      </w:r>
    </w:p>
    <w:p>
      <w:pPr>
        <w:pStyle w:val="Heading1"/>
      </w:pPr>
      <w:r>
        <w:t>15. Conclusion générale</w:t>
      </w:r>
    </w:p>
    <w:p>
      <w:r>
        <w:t>Le projet RheumaAssist a désormais dépassé le stade de l’amorce technique. Le MVP local-first est fonctionnel, démontrable et fidèle à la logique clinique initiale. Le cœur du produit — de l’authentification jusqu’à la review clinique persistante — fonctionne réellement. La suite du travail peut donc se concentrer sur la consolidation, le polissage produit et l’enrichissement ciblé de l’interface, plutôt que sur la reconstruction du socle.</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Document de continuité de travail — </w:t>
    </w:r>
    <w:r>
      <w:rPr>
        <w:sz w:val="18"/>
      </w:rPr>
      <w:t>21/03/2026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RheumaAssist — Rapport d’avancement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146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125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125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1468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Label"/>
    <w:basedOn w:val="Normal"/>
    <w:rPr>
      <w:rFonts w:ascii="Calibri" w:hAnsi="Calibri" w:eastAsia="Calibri"/>
      <w:b/>
      <w:color w:val="5A63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