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02C57"/>
          <w:sz w:val="44"/>
        </w:rPr>
        <w:t>Reporte Técnico de Entrega — Semana 1 (S1)</w:t>
        <w:br/>
        <w:t>CotejAI: Agente Autónomo de Cuentas por Pagar</w:t>
      </w:r>
    </w:p>
    <w:p>
      <w:pPr>
        <w:spacing w:after="360"/>
      </w:pPr>
      <w:r>
        <w:rPr>
          <w:rFonts w:ascii="Calibri" w:hAnsi="Calibri"/>
          <w:i/>
          <w:color w:val="646464"/>
          <w:sz w:val="22"/>
        </w:rPr>
        <w:t>Reto Agente 2026 · Platica.mx × Campuslands · Track 1</w:t>
        <w:br/>
        <w:t>Fecha: Octubre 2026 | Repositorio: https://github.com/TEstebanGQ/CotejIA</w:t>
      </w:r>
    </w:p>
    <w:p>
      <w:pPr>
        <w:pStyle w:val="Heading1"/>
        <w:spacing w:before="280"/>
      </w:pPr>
      <w:r>
        <w:t>1. Resumen Ejecutivo y Objetivos Cumplidos</w:t>
      </w:r>
    </w:p>
    <w:p>
      <w:r>
        <w:t>Durante la Semana 1 (S1), se implementó y validó con éxito el flujo end-to-end de CotejAI contra el modelo Grok 4.6 a través del gateway del reto (api.reto.pltk.mx). El agente resuelve una necesidad crítica en las empresas mexicanas: la conciliación automatizada de 3 vías (Three-Way Matching) entre Orden de Compra (OC), Remisión de entrega y Factura CFDI 4.0 XML, evitando pagos indebidos por faltantes de mercancía, sobreprecios o inconsistencias fiscales ante el SAT.</w:t>
      </w:r>
    </w:p>
    <w:p>
      <w:pPr>
        <w:pStyle w:val="Heading1"/>
      </w:pPr>
      <w:r>
        <w:t>2. Arquitectura del Agente: Código Determinista + Grok</w:t>
      </w:r>
    </w:p>
    <w:p>
      <w:r>
        <w:t>Para garantizar precisión absoluta y evitar alucinaciones con importes e impuestos, la solución implementa una estricta separación de responsabilidades:</w:t>
      </w:r>
    </w:p>
    <w:p>
      <w:pPr>
        <w:pStyle w:val="ListBullet"/>
      </w:pPr>
      <w:r>
        <w:rPr>
          <w:b/>
        </w:rPr>
        <w:t xml:space="preserve">Parseo nativo de CFDI 4.0 (XML): </w:t>
      </w:r>
      <w:r>
        <w:t>Lectura determinista en Python sin LLM. Extrae claves del SAT, subtotales, descuentos y desglosa impuestos por concepto (IVA 16%, 8% frontera, 0%, exento, retenciones e IEPS).</w:t>
      </w:r>
    </w:p>
    <w:p>
      <w:pPr>
        <w:pStyle w:val="ListBullet"/>
      </w:pPr>
      <w:r>
        <w:rPr>
          <w:b/>
        </w:rPr>
        <w:t xml:space="preserve">Motor de Cotejo en Decimal: </w:t>
      </w:r>
      <w:r>
        <w:t>Aplica con exactitud a nivel de centavos la regla 'se paga lo recibido, al precio pactado, sin exceder lo ordenado'.</w:t>
      </w:r>
    </w:p>
    <w:p>
      <w:pPr>
        <w:pStyle w:val="ListBullet"/>
      </w:pPr>
      <w:r>
        <w:rPr>
          <w:b/>
        </w:rPr>
        <w:t xml:space="preserve">Razonamiento con Grok 4.6: </w:t>
      </w:r>
      <w:r>
        <w:t>Recibe el expediente con los importes ya calculados. Interpreta las discrepancias, aplica límites de autonomía (hasta $5,000 MXN) y emite un veredicto estructurado (APROBADO, EN_RECLAMO, ESCALADO).</w:t>
      </w:r>
    </w:p>
    <w:p>
      <w:pPr>
        <w:pStyle w:val="ListBullet"/>
      </w:pPr>
      <w:r>
        <w:rPr>
          <w:b/>
        </w:rPr>
        <w:t xml:space="preserve">Compuerta de Políticas: </w:t>
      </w:r>
      <w:r>
        <w:t>Valida que Grok no altere los montos matemáticos calculados antes de consolidar el cierre del caso.</w:t>
      </w:r>
    </w:p>
    <w:p>
      <w:pPr>
        <w:pStyle w:val="Heading1"/>
      </w:pPr>
      <w:r>
        <w:t>3. Resultados de Telemetría, Costos y Casos de Prueba</w:t>
      </w:r>
    </w:p>
    <w:p>
      <w:r>
        <w:t>A continuación se detallan las métricas reales registradas en la ejecución del lote completo (audit --all):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133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33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Veredicto</w:t>
            </w:r>
          </w:p>
        </w:tc>
        <w:tc>
          <w:tcPr>
            <w:tcW w:type="dxa" w:w="133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Fuga Retenida</w:t>
            </w:r>
          </w:p>
        </w:tc>
        <w:tc>
          <w:tcPr>
            <w:tcW w:type="dxa" w:w="133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Neto a Pagar</w:t>
            </w:r>
          </w:p>
        </w:tc>
        <w:tc>
          <w:tcPr>
            <w:tcW w:type="dxa" w:w="133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Tokens (In/Out)</w:t>
            </w:r>
          </w:p>
        </w:tc>
        <w:tc>
          <w:tcPr>
            <w:tcW w:type="dxa" w:w="133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Latencia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OC-001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Operación Limpia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APROBADO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$0.00 MXN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$6,090.00 MXN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2,529 / 133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10.1 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OC-002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Faltante 20 tornillos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EN_RECLAMO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$290.00 MXN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$5,800.00 MXN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2,565 / 154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11.0 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OC-003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Sobreprecio de cable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EN_RECLAMO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$464.00 MXN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$6,090.00 MXN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2,571 / 162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12.4 s</w:t>
            </w:r>
          </w:p>
        </w:tc>
      </w:tr>
    </w:tbl>
    <w:p/>
    <w:p>
      <w:r>
        <w:rPr>
          <w:b/>
        </w:rPr>
        <w:t>Métricas Financieras Consolidadas:</w:t>
        <w:br/>
      </w:r>
      <w:r>
        <w:t>• Consumo promedio por factura: ~2,555 tokens de entrada y ~150 tokens de salida.</w:t>
        <w:br/>
        <w:t>• Costo medio por auditoría: ~$0.006 USD (~$0.11 MXN).</w:t>
        <w:br/>
        <w:t>• Dinero retenido en el lote de prueba: $754.00 MXN en cobros indebidos.</w:t>
        <w:br/>
        <w:t>• Retorno de Inversión (ROI): Con un gasto de apenas $0.018 USD en tokens, el retorno supera 600x.</w:t>
      </w:r>
    </w:p>
    <w:p>
      <w:pPr>
        <w:pStyle w:val="Heading1"/>
      </w:pPr>
      <w:r>
        <w:t>4. Retos Identificados y Soluciones Técnicas</w:t>
      </w:r>
    </w:p>
    <w:p>
      <w:r>
        <w:t>1. Latencia de doble ciclo ReAct: Cada auditoría realizaba dos llamadas HTTP externas (pedir cotejo y cerrar caso), sumando ~11s por los tokens de razonamiento de Grok. Se mitigó con estados en vivo en la terminal y para S2 se implementará expediente precargado para bajar el tiempo a ~5s.</w:t>
        <w:br/>
        <w:t>2. Experiencia de Usuario: Se reemplazó la dependencia de comandos complejos por una interfaz de terminal interactiva (python main.py) que permite probar casos con teclas directas o conversar en lenguaje natural.</w:t>
        <w:br/>
        <w:t>3. Confiabilidad de Código: Se integró una suite de 35 pruebas unitarias automatizadas (pytest) que validan al 100% el comportamiento determinista y las compuertas de seguridad.</w:t>
      </w:r>
    </w:p>
    <w:p>
      <w:pPr>
        <w:pStyle w:val="Heading1"/>
      </w:pPr>
      <w:r>
        <w:t>5. Próximos Pasos (Semana 2)</w:t>
      </w:r>
    </w:p>
    <w:p>
      <w:r>
        <w:t>Para el hito S2 se implementarán las tres herramientas reales requeridas:</w:t>
        <w:br/>
        <w:t>• Extracción multimodal de remisiones físicas (fotos/firmas) con Grok Vision.</w:t>
        <w:br/>
        <w:t>• Consulta de estado del CFDI ante el SAT (SOAP) y lista negra 69-B con circuit breaker.</w:t>
        <w:br/>
        <w:t>• Generador formal de solicitudes de Nota de Crédito (CFDI tipo E con relación 01) e interfaces de notificación.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