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0EA1" w14:textId="77777777" w:rsidR="00AC6AE8" w:rsidRPr="00C204B5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TFGR 理論：3本の決定的エビデンス（専門家向け概要）</w:t>
      </w:r>
    </w:p>
    <w:p w14:paraId="39DF1559" w14:textId="77777777" w:rsidR="00AC6AE8" w:rsidRPr="00C204B5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① AIC/BIC による統計的優位性</w:t>
      </w:r>
    </w:p>
    <w:p w14:paraId="3E42CF86" w14:textId="77777777" w:rsidR="00AC6AE8" w:rsidRPr="00C204B5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</w:rPr>
        <w:t>Λ</w:t>
      </w:r>
      <w:r w:rsidRPr="00C204B5">
        <w:rPr>
          <w:rFonts w:ascii="BIZ UDPゴシック" w:eastAsia="BIZ UDPゴシック" w:hAnsi="BIZ UDPゴシック"/>
          <w:lang w:eastAsia="ja-JP"/>
        </w:rPr>
        <w:t xml:space="preserve">CDM（NFW, </w:t>
      </w:r>
      <w:proofErr w:type="spellStart"/>
      <w:r w:rsidRPr="00C204B5">
        <w:rPr>
          <w:rFonts w:ascii="BIZ UDPゴシック" w:eastAsia="BIZ UDPゴシック" w:hAnsi="BIZ UDPゴシック"/>
          <w:lang w:eastAsia="ja-JP"/>
        </w:rPr>
        <w:t>Einasto</w:t>
      </w:r>
      <w:proofErr w:type="spellEnd"/>
      <w:r w:rsidRPr="00C204B5">
        <w:rPr>
          <w:rFonts w:ascii="BIZ UDPゴシック" w:eastAsia="BIZ UDPゴシック" w:hAnsi="BIZ UDPゴシック"/>
          <w:lang w:eastAsia="ja-JP"/>
        </w:rPr>
        <w:t xml:space="preserve">, DC14）とTFGRのモデル比較において、全銀河サンプルでTFGRが圧倒的に優位。特にPhase 23-Cでは </w:t>
      </w:r>
      <w:r w:rsidRPr="00C204B5">
        <w:rPr>
          <w:rFonts w:ascii="BIZ UDPゴシック" w:eastAsia="BIZ UDPゴシック" w:hAnsi="BIZ UDPゴシック"/>
        </w:rPr>
        <w:t>Δ</w:t>
      </w:r>
      <w:r w:rsidRPr="00C204B5">
        <w:rPr>
          <w:rFonts w:ascii="BIZ UDPゴシック" w:eastAsia="BIZ UDPゴシック" w:hAnsi="BIZ UDPゴシック"/>
          <w:lang w:eastAsia="ja-JP"/>
        </w:rPr>
        <w:t xml:space="preserve">AIC ≈ 216.8, </w:t>
      </w:r>
      <w:r w:rsidRPr="00C204B5">
        <w:rPr>
          <w:rFonts w:ascii="BIZ UDPゴシック" w:eastAsia="BIZ UDPゴシック" w:hAnsi="BIZ UDPゴシック"/>
        </w:rPr>
        <w:t>Δ</w:t>
      </w:r>
      <w:r w:rsidRPr="00C204B5">
        <w:rPr>
          <w:rFonts w:ascii="BIZ UDPゴシック" w:eastAsia="BIZ UDPゴシック" w:hAnsi="BIZ UDPゴシック"/>
          <w:lang w:eastAsia="ja-JP"/>
        </w:rPr>
        <w:t>BIC ≈ 215.2 と、情報量規準における『決定的証拠（decisive evidence）』を示した。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6AE8" w:rsidRPr="00C204B5" w14:paraId="31F7EA9D" w14:textId="77777777">
        <w:tc>
          <w:tcPr>
            <w:tcW w:w="2160" w:type="dxa"/>
          </w:tcPr>
          <w:p w14:paraId="24201981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proofErr w:type="spellStart"/>
            <w:r w:rsidRPr="00C204B5">
              <w:rPr>
                <w:rFonts w:ascii="BIZ UDPゴシック" w:eastAsia="BIZ UDPゴシック" w:hAnsi="BIZ UDPゴシック"/>
              </w:rPr>
              <w:t>モデル</w:t>
            </w:r>
            <w:proofErr w:type="spellEnd"/>
          </w:p>
        </w:tc>
        <w:tc>
          <w:tcPr>
            <w:tcW w:w="2160" w:type="dxa"/>
          </w:tcPr>
          <w:p w14:paraId="7E7F2AD3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ΔAIC</w:t>
            </w:r>
          </w:p>
        </w:tc>
        <w:tc>
          <w:tcPr>
            <w:tcW w:w="2160" w:type="dxa"/>
          </w:tcPr>
          <w:p w14:paraId="6F9ACCFF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ΔBIC</w:t>
            </w:r>
          </w:p>
        </w:tc>
        <w:tc>
          <w:tcPr>
            <w:tcW w:w="2160" w:type="dxa"/>
          </w:tcPr>
          <w:p w14:paraId="20B745A7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評価</w:t>
            </w:r>
          </w:p>
        </w:tc>
      </w:tr>
      <w:tr w:rsidR="00AC6AE8" w:rsidRPr="00C204B5" w14:paraId="58DDF70A" w14:textId="77777777">
        <w:tc>
          <w:tcPr>
            <w:tcW w:w="2160" w:type="dxa"/>
          </w:tcPr>
          <w:p w14:paraId="0EF065CD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NFW</w:t>
            </w:r>
          </w:p>
        </w:tc>
        <w:tc>
          <w:tcPr>
            <w:tcW w:w="2160" w:type="dxa"/>
          </w:tcPr>
          <w:p w14:paraId="377E1801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+44.7</w:t>
            </w:r>
          </w:p>
        </w:tc>
        <w:tc>
          <w:tcPr>
            <w:tcW w:w="2160" w:type="dxa"/>
          </w:tcPr>
          <w:p w14:paraId="7B6BB07B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+43.4</w:t>
            </w:r>
          </w:p>
        </w:tc>
        <w:tc>
          <w:tcPr>
            <w:tcW w:w="2160" w:type="dxa"/>
          </w:tcPr>
          <w:p w14:paraId="6D5E61E1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TFGR 優位</w:t>
            </w:r>
          </w:p>
        </w:tc>
      </w:tr>
      <w:tr w:rsidR="00AC6AE8" w:rsidRPr="00C204B5" w14:paraId="4159BCD0" w14:textId="77777777">
        <w:tc>
          <w:tcPr>
            <w:tcW w:w="2160" w:type="dxa"/>
          </w:tcPr>
          <w:p w14:paraId="565B0FAD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Einasto</w:t>
            </w:r>
          </w:p>
        </w:tc>
        <w:tc>
          <w:tcPr>
            <w:tcW w:w="2160" w:type="dxa"/>
          </w:tcPr>
          <w:p w14:paraId="7E753FE7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+34.4</w:t>
            </w:r>
          </w:p>
        </w:tc>
        <w:tc>
          <w:tcPr>
            <w:tcW w:w="2160" w:type="dxa"/>
          </w:tcPr>
          <w:p w14:paraId="73217BDF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+33.1</w:t>
            </w:r>
          </w:p>
        </w:tc>
        <w:tc>
          <w:tcPr>
            <w:tcW w:w="2160" w:type="dxa"/>
          </w:tcPr>
          <w:p w14:paraId="669A1D0F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TFGR 優位</w:t>
            </w:r>
          </w:p>
        </w:tc>
      </w:tr>
      <w:tr w:rsidR="00AC6AE8" w:rsidRPr="00C204B5" w14:paraId="663A1077" w14:textId="77777777">
        <w:tc>
          <w:tcPr>
            <w:tcW w:w="2160" w:type="dxa"/>
          </w:tcPr>
          <w:p w14:paraId="2AAD54C6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DC14</w:t>
            </w:r>
          </w:p>
        </w:tc>
        <w:tc>
          <w:tcPr>
            <w:tcW w:w="2160" w:type="dxa"/>
          </w:tcPr>
          <w:p w14:paraId="569A0845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+35.6</w:t>
            </w:r>
          </w:p>
        </w:tc>
        <w:tc>
          <w:tcPr>
            <w:tcW w:w="2160" w:type="dxa"/>
          </w:tcPr>
          <w:p w14:paraId="6E3C1ED3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+34.3</w:t>
            </w:r>
          </w:p>
        </w:tc>
        <w:tc>
          <w:tcPr>
            <w:tcW w:w="2160" w:type="dxa"/>
          </w:tcPr>
          <w:p w14:paraId="137763BD" w14:textId="77777777" w:rsidR="00AC6AE8" w:rsidRPr="00C204B5" w:rsidRDefault="00000000">
            <w:pPr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TFGR 優位</w:t>
            </w:r>
          </w:p>
        </w:tc>
      </w:tr>
    </w:tbl>
    <w:p w14:paraId="5C969805" w14:textId="77777777" w:rsidR="00AC6AE8" w:rsidRPr="00C204B5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→ モデル自由度を考慮しても TFGR が統計的に</w:t>
      </w:r>
      <w:r w:rsidRPr="00C204B5">
        <w:rPr>
          <w:rFonts w:ascii="BIZ UDPゴシック" w:eastAsia="BIZ UDPゴシック" w:hAnsi="BIZ UDPゴシック"/>
        </w:rPr>
        <w:t>Λ</w:t>
      </w:r>
      <w:r w:rsidRPr="00C204B5">
        <w:rPr>
          <w:rFonts w:ascii="BIZ UDPゴシック" w:eastAsia="BIZ UDPゴシック" w:hAnsi="BIZ UDPゴシック"/>
          <w:lang w:eastAsia="ja-JP"/>
        </w:rPr>
        <w:t>CDMを凌駕。</w:t>
      </w:r>
    </w:p>
    <w:p w14:paraId="1852DC26" w14:textId="77777777" w:rsidR="00AC6AE8" w:rsidRPr="00C204B5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② 銀河スケール質量スケーリング関係</w:t>
      </w:r>
    </w:p>
    <w:p w14:paraId="3DD45999" w14:textId="77777777" w:rsidR="00AC6AE8" w:rsidRPr="00C204B5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銀河ごとの有効質量（</w:t>
      </w:r>
      <w:proofErr w:type="spellStart"/>
      <w:r w:rsidRPr="00C204B5">
        <w:rPr>
          <w:rFonts w:ascii="BIZ UDPゴシック" w:eastAsia="BIZ UDPゴシック" w:hAnsi="BIZ UDPゴシック"/>
          <w:lang w:eastAsia="ja-JP"/>
        </w:rPr>
        <w:t>M_eff</w:t>
      </w:r>
      <w:proofErr w:type="spellEnd"/>
      <w:r w:rsidRPr="00C204B5">
        <w:rPr>
          <w:rFonts w:ascii="BIZ UDPゴシック" w:eastAsia="BIZ UDPゴシック" w:hAnsi="BIZ UDPゴシック"/>
          <w:lang w:eastAsia="ja-JP"/>
        </w:rPr>
        <w:t>）と</w:t>
      </w:r>
      <w:r w:rsidRPr="00C204B5">
        <w:rPr>
          <w:rFonts w:ascii="BIZ UDPゴシック" w:eastAsia="BIZ UDPゴシック" w:hAnsi="BIZ UDPゴシック"/>
        </w:rPr>
        <w:t>Λ</w:t>
      </w:r>
      <w:r w:rsidRPr="00C204B5">
        <w:rPr>
          <w:rFonts w:ascii="BIZ UDPゴシック" w:eastAsia="BIZ UDPゴシック" w:hAnsi="BIZ UDPゴシック"/>
          <w:lang w:eastAsia="ja-JP"/>
        </w:rPr>
        <w:t>CDMハロー質量（</w:t>
      </w:r>
      <w:proofErr w:type="spellStart"/>
      <w:r w:rsidRPr="00C204B5">
        <w:rPr>
          <w:rFonts w:ascii="BIZ UDPゴシック" w:eastAsia="BIZ UDPゴシック" w:hAnsi="BIZ UDPゴシック"/>
          <w:lang w:eastAsia="ja-JP"/>
        </w:rPr>
        <w:t>M_halo</w:t>
      </w:r>
      <w:proofErr w:type="spellEnd"/>
      <w:r w:rsidRPr="00C204B5">
        <w:rPr>
          <w:rFonts w:ascii="BIZ UDPゴシック" w:eastAsia="BIZ UDPゴシック" w:hAnsi="BIZ UDPゴシック"/>
          <w:lang w:eastAsia="ja-JP"/>
        </w:rPr>
        <w:t>）の関係は、以下の非線形スケーリングに従う：</w:t>
      </w:r>
    </w:p>
    <w:p w14:paraId="167E1A7A" w14:textId="77777777" w:rsidR="00AC6AE8" w:rsidRPr="00C204B5" w:rsidRDefault="00000000">
      <w:pPr>
        <w:pStyle w:val="27"/>
        <w:rPr>
          <w:rFonts w:ascii="BIZ UDPゴシック" w:eastAsia="BIZ UDPゴシック" w:hAnsi="BIZ UDPゴシック"/>
        </w:rPr>
      </w:pPr>
      <w:r w:rsidRPr="00C204B5">
        <w:rPr>
          <w:rFonts w:ascii="BIZ UDPゴシック" w:eastAsia="BIZ UDPゴシック" w:hAnsi="BIZ UDPゴシック"/>
        </w:rPr>
        <w:t xml:space="preserve">log </w:t>
      </w:r>
      <w:proofErr w:type="spellStart"/>
      <w:r w:rsidRPr="00C204B5">
        <w:rPr>
          <w:rFonts w:ascii="BIZ UDPゴシック" w:eastAsia="BIZ UDPゴシック" w:hAnsi="BIZ UDPゴシック"/>
        </w:rPr>
        <w:t>M_eff</w:t>
      </w:r>
      <w:proofErr w:type="spellEnd"/>
      <w:r w:rsidRPr="00C204B5">
        <w:rPr>
          <w:rFonts w:ascii="BIZ UDPゴシック" w:eastAsia="BIZ UDPゴシック" w:hAnsi="BIZ UDPゴシック"/>
        </w:rPr>
        <w:t xml:space="preserve"> = 1.11 log </w:t>
      </w:r>
      <w:proofErr w:type="spellStart"/>
      <w:r w:rsidRPr="00C204B5">
        <w:rPr>
          <w:rFonts w:ascii="BIZ UDPゴシック" w:eastAsia="BIZ UDPゴシック" w:hAnsi="BIZ UDPゴシック"/>
        </w:rPr>
        <w:t>M_halo</w:t>
      </w:r>
      <w:proofErr w:type="spellEnd"/>
      <w:r w:rsidRPr="00C204B5">
        <w:rPr>
          <w:rFonts w:ascii="BIZ UDPゴシック" w:eastAsia="BIZ UDPゴシック" w:hAnsi="BIZ UDPゴシック"/>
        </w:rPr>
        <w:t xml:space="preserve"> + 1.73</w:t>
      </w:r>
    </w:p>
    <w:p w14:paraId="7ECA7044" w14:textId="77777777" w:rsidR="00AC6AE8" w:rsidRPr="00C204B5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傾き a ≈ 1.1 は、TFGRの時間場スケーリング指数 q ≈ 1.3 と独立に一致。</w:t>
      </w:r>
      <w:r w:rsidRPr="00C204B5">
        <w:rPr>
          <w:rFonts w:ascii="BIZ UDPゴシック" w:eastAsia="BIZ UDPゴシック" w:hAnsi="BIZ UDPゴシック"/>
        </w:rPr>
        <w:t>Λ</w:t>
      </w:r>
      <w:r w:rsidRPr="00C204B5">
        <w:rPr>
          <w:rFonts w:ascii="BIZ UDPゴシック" w:eastAsia="BIZ UDPゴシック" w:hAnsi="BIZ UDPゴシック"/>
          <w:lang w:eastAsia="ja-JP"/>
        </w:rPr>
        <w:t>CDMの比例線（1:1）から上方へ体系的に乖離し、銀河全体で非線形慣性増幅効果が再現された。</w:t>
      </w:r>
    </w:p>
    <w:p w14:paraId="3741D884" w14:textId="77777777" w:rsidR="00AC6AE8" w:rsidRPr="00C204B5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 xml:space="preserve">③ 時間場臨界スケール </w:t>
      </w:r>
      <w:proofErr w:type="spellStart"/>
      <w:r w:rsidRPr="00C204B5">
        <w:rPr>
          <w:rFonts w:ascii="BIZ UDPゴシック" w:eastAsia="BIZ UDPゴシック" w:hAnsi="BIZ UDPゴシック"/>
          <w:lang w:eastAsia="ja-JP"/>
        </w:rPr>
        <w:t>L_c</w:t>
      </w:r>
      <w:proofErr w:type="spellEnd"/>
      <w:r w:rsidRPr="00C204B5">
        <w:rPr>
          <w:rFonts w:ascii="BIZ UDPゴシック" w:eastAsia="BIZ UDPゴシック" w:hAnsi="BIZ UDPゴシック"/>
          <w:lang w:eastAsia="ja-JP"/>
        </w:rPr>
        <w:t xml:space="preserve"> の普遍性</w:t>
      </w:r>
    </w:p>
    <w:p w14:paraId="741C0482" w14:textId="77777777" w:rsidR="00AC6AE8" w:rsidRPr="00C204B5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 xml:space="preserve">量子スケール（光格子時計）、惑星スケール（地球潮汐 </w:t>
      </w:r>
      <w:proofErr w:type="spellStart"/>
      <w:r w:rsidRPr="00C204B5">
        <w:rPr>
          <w:rFonts w:ascii="BIZ UDPゴシック" w:eastAsia="BIZ UDPゴシック" w:hAnsi="BIZ UDPゴシック"/>
        </w:rPr>
        <w:t>δ</w:t>
      </w:r>
      <w:r w:rsidRPr="00C204B5">
        <w:rPr>
          <w:rFonts w:ascii="BIZ UDPゴシック" w:eastAsia="BIZ UDPゴシック" w:hAnsi="BIZ UDPゴシック"/>
          <w:lang w:eastAsia="ja-JP"/>
        </w:rPr>
        <w:t>UT</w:t>
      </w:r>
      <w:proofErr w:type="spellEnd"/>
      <w:r w:rsidRPr="00C204B5">
        <w:rPr>
          <w:rFonts w:ascii="Cambria Math" w:eastAsia="BIZ UDPゴシック" w:hAnsi="Cambria Math" w:cs="Cambria Math"/>
          <w:lang w:eastAsia="ja-JP"/>
        </w:rPr>
        <w:t>₁</w:t>
      </w:r>
      <w:r w:rsidRPr="00C204B5">
        <w:rPr>
          <w:rFonts w:ascii="BIZ UDPゴシック" w:eastAsia="BIZ UDPゴシック" w:hAnsi="BIZ UDPゴシック"/>
          <w:lang w:eastAsia="ja-JP"/>
        </w:rPr>
        <w:t>）、銀河スケール（回転曲線解析）において、全て同一の臨界スケールが出現：</w:t>
      </w:r>
    </w:p>
    <w:p w14:paraId="71E5F725" w14:textId="77777777" w:rsidR="00AC6AE8" w:rsidRPr="00C204B5" w:rsidRDefault="00000000">
      <w:pPr>
        <w:pStyle w:val="27"/>
        <w:rPr>
          <w:rFonts w:ascii="BIZ UDPゴシック" w:eastAsia="BIZ UDPゴシック" w:hAnsi="BIZ UDPゴシック"/>
          <w:lang w:eastAsia="ja-JP"/>
        </w:rPr>
      </w:pPr>
      <w:proofErr w:type="spellStart"/>
      <w:r w:rsidRPr="00C204B5">
        <w:rPr>
          <w:rFonts w:ascii="BIZ UDPゴシック" w:eastAsia="BIZ UDPゴシック" w:hAnsi="BIZ UDPゴシック"/>
          <w:lang w:eastAsia="ja-JP"/>
        </w:rPr>
        <w:t>L_c</w:t>
      </w:r>
      <w:proofErr w:type="spellEnd"/>
      <w:r w:rsidRPr="00C204B5">
        <w:rPr>
          <w:rFonts w:ascii="BIZ UDPゴシック" w:eastAsia="BIZ UDPゴシック" w:hAnsi="BIZ UDPゴシック"/>
          <w:lang w:eastAsia="ja-JP"/>
        </w:rPr>
        <w:t xml:space="preserve"> ≈ 4 × 10</w:t>
      </w:r>
      <w:r w:rsidRPr="00C204B5">
        <w:rPr>
          <w:rFonts w:ascii="Cambria Math" w:eastAsia="BIZ UDPゴシック" w:hAnsi="Cambria Math" w:cs="Cambria Math"/>
          <w:lang w:eastAsia="ja-JP"/>
        </w:rPr>
        <w:t>⁹</w:t>
      </w:r>
      <w:r w:rsidRPr="00C204B5">
        <w:rPr>
          <w:rFonts w:ascii="BIZ UDPゴシック" w:eastAsia="BIZ UDPゴシック" w:hAnsi="BIZ UDPゴシック"/>
          <w:lang w:eastAsia="ja-JP"/>
        </w:rPr>
        <w:t xml:space="preserve"> m</w:t>
      </w:r>
    </w:p>
    <w:p w14:paraId="1E473377" w14:textId="77777777" w:rsidR="00AC6AE8" w:rsidRDefault="00000000">
      <w:pPr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BIZ UDPゴシック" w:eastAsia="BIZ UDPゴシック" w:hAnsi="BIZ UDPゴシック"/>
          <w:lang w:eastAsia="ja-JP"/>
        </w:rPr>
        <w:t>この一貫性は、TFGRが単なる銀河モデルではなく、時空構造そのもののスケール依存的法則を表していることを示唆する。</w:t>
      </w:r>
    </w:p>
    <w:p w14:paraId="1FFF0FC2" w14:textId="77777777" w:rsidR="00C204B5" w:rsidRDefault="00C204B5">
      <w:pPr>
        <w:rPr>
          <w:rFonts w:ascii="BIZ UDPゴシック" w:eastAsia="BIZ UDPゴシック" w:hAnsi="BIZ UDPゴシック"/>
          <w:lang w:eastAsia="ja-JP"/>
        </w:rPr>
      </w:pPr>
    </w:p>
    <w:p w14:paraId="4C47CAEC" w14:textId="77777777" w:rsidR="00C204B5" w:rsidRDefault="00C204B5">
      <w:pPr>
        <w:rPr>
          <w:rFonts w:ascii="BIZ UDPゴシック" w:eastAsia="BIZ UDPゴシック" w:hAnsi="BIZ UDPゴシック"/>
          <w:lang w:eastAsia="ja-JP"/>
        </w:rPr>
      </w:pPr>
    </w:p>
    <w:p w14:paraId="3F7E407F" w14:textId="77777777" w:rsidR="00C204B5" w:rsidRDefault="00C204B5">
      <w:pPr>
        <w:rPr>
          <w:rFonts w:ascii="BIZ UDPゴシック" w:eastAsia="BIZ UDPゴシック" w:hAnsi="BIZ UDPゴシック"/>
          <w:lang w:eastAsia="ja-JP"/>
        </w:rPr>
      </w:pPr>
    </w:p>
    <w:p w14:paraId="7EE3D8A1" w14:textId="77777777" w:rsidR="00C204B5" w:rsidRPr="00C204B5" w:rsidRDefault="00C204B5">
      <w:pPr>
        <w:rPr>
          <w:rFonts w:ascii="BIZ UDPゴシック" w:eastAsia="BIZ UDPゴシック" w:hAnsi="BIZ UDPゴシック" w:hint="eastAsia"/>
          <w:lang w:eastAsia="ja-JP"/>
        </w:rPr>
      </w:pPr>
    </w:p>
    <w:p w14:paraId="2C8E1ACC" w14:textId="77777777" w:rsidR="00AC6AE8" w:rsidRPr="00C204B5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204B5">
        <w:rPr>
          <w:rFonts w:ascii="Segoe UI Emoji" w:eastAsia="BIZ UDPゴシック" w:hAnsi="Segoe UI Emoji" w:cs="Segoe UI Emoji"/>
          <w:lang w:eastAsia="ja-JP"/>
        </w:rPr>
        <w:lastRenderedPageBreak/>
        <w:t>🔑</w:t>
      </w:r>
      <w:r w:rsidRPr="00C204B5">
        <w:rPr>
          <w:rFonts w:ascii="BIZ UDPゴシック" w:eastAsia="BIZ UDPゴシック" w:hAnsi="BIZ UDPゴシック"/>
          <w:lang w:eastAsia="ja-JP"/>
        </w:rPr>
        <w:t xml:space="preserve"> 専門家を納得させる3つのコア証拠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5"/>
        <w:gridCol w:w="2127"/>
        <w:gridCol w:w="2693"/>
        <w:gridCol w:w="3145"/>
      </w:tblGrid>
      <w:tr w:rsidR="00AC6AE8" w:rsidRPr="00C204B5" w14:paraId="6D8E19B9" w14:textId="77777777" w:rsidTr="00C204B5">
        <w:trPr>
          <w:trHeight w:val="29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D149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No.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BACE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証拠種別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5026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要点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7714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r w:rsidRPr="00C204B5">
              <w:rPr>
                <w:rFonts w:ascii="BIZ UDPゴシック" w:eastAsia="BIZ UDPゴシック" w:hAnsi="BIZ UDPゴシック"/>
                <w:lang w:eastAsia="ja-JP"/>
              </w:rPr>
              <w:t>専門家の反論が難しい理由</w:t>
            </w:r>
          </w:p>
        </w:tc>
      </w:tr>
      <w:tr w:rsidR="00AC6AE8" w:rsidRPr="00C204B5" w14:paraId="4D8ABA14" w14:textId="77777777" w:rsidTr="00C204B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B7C7" w14:textId="77777777" w:rsidR="00AC6AE8" w:rsidRPr="00C204B5" w:rsidRDefault="00000000" w:rsidP="00C204B5">
            <w:pPr>
              <w:jc w:val="center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4AF3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AIC/BIC統計優位性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81748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ΔAIC≈216・ΔBIC≈215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1F82E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r w:rsidRPr="00C204B5">
              <w:rPr>
                <w:rFonts w:ascii="BIZ UDPゴシック" w:eastAsia="BIZ UDPゴシック" w:hAnsi="BIZ UDPゴシック"/>
                <w:lang w:eastAsia="ja-JP"/>
              </w:rPr>
              <w:t>客観的基準。モデル自由度を考慮してもTFGRが圧勝</w:t>
            </w:r>
          </w:p>
        </w:tc>
      </w:tr>
      <w:tr w:rsidR="00AC6AE8" w:rsidRPr="00C204B5" w14:paraId="457ED118" w14:textId="77777777" w:rsidTr="00C204B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6209" w14:textId="77777777" w:rsidR="00AC6AE8" w:rsidRPr="00C204B5" w:rsidRDefault="00000000" w:rsidP="00C204B5">
            <w:pPr>
              <w:jc w:val="center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②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EC21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r w:rsidRPr="00C204B5">
              <w:rPr>
                <w:rFonts w:ascii="BIZ UDPゴシック" w:eastAsia="BIZ UDPゴシック" w:hAnsi="BIZ UDPゴシック"/>
                <w:lang w:eastAsia="ja-JP"/>
              </w:rPr>
              <w:t>質量スケーリング非線形性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874D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proofErr w:type="spellStart"/>
            <w:r w:rsidRPr="00C204B5">
              <w:rPr>
                <w:rFonts w:ascii="BIZ UDPゴシック" w:eastAsia="BIZ UDPゴシック" w:hAnsi="BIZ UDPゴシック"/>
              </w:rPr>
              <w:t>傾き</w:t>
            </w:r>
            <w:proofErr w:type="spellEnd"/>
            <w:r w:rsidRPr="00C204B5">
              <w:rPr>
                <w:rFonts w:ascii="BIZ UDPゴシック" w:eastAsia="BIZ UDPゴシック" w:hAnsi="BIZ UDPゴシック"/>
              </w:rPr>
              <w:t xml:space="preserve"> a≈1.1 ≡ </w:t>
            </w:r>
            <w:proofErr w:type="spellStart"/>
            <w:r w:rsidRPr="00C204B5">
              <w:rPr>
                <w:rFonts w:ascii="BIZ UDPゴシック" w:eastAsia="BIZ UDPゴシック" w:hAnsi="BIZ UDPゴシック"/>
              </w:rPr>
              <w:t>理論指数</w:t>
            </w:r>
            <w:proofErr w:type="spellEnd"/>
            <w:r w:rsidRPr="00C204B5">
              <w:rPr>
                <w:rFonts w:ascii="BIZ UDPゴシック" w:eastAsia="BIZ UDPゴシック" w:hAnsi="BIZ UDPゴシック"/>
              </w:rPr>
              <w:t xml:space="preserve"> q≈1.3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8298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r w:rsidRPr="00C204B5">
              <w:rPr>
                <w:rFonts w:ascii="BIZ UDPゴシック" w:eastAsia="BIZ UDPゴシック" w:hAnsi="BIZ UDPゴシック"/>
                <w:lang w:eastAsia="ja-JP"/>
              </w:rPr>
              <w:t>理論と観測が独立に一致する整合性</w:t>
            </w:r>
          </w:p>
        </w:tc>
      </w:tr>
      <w:tr w:rsidR="00AC6AE8" w:rsidRPr="00C204B5" w14:paraId="72BFE334" w14:textId="77777777" w:rsidTr="00C204B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5153" w14:textId="77777777" w:rsidR="00AC6AE8" w:rsidRPr="00C204B5" w:rsidRDefault="00000000" w:rsidP="00C204B5">
            <w:pPr>
              <w:jc w:val="center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③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49B31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</w:rPr>
            </w:pPr>
            <w:r w:rsidRPr="00C204B5">
              <w:rPr>
                <w:rFonts w:ascii="BIZ UDPゴシック" w:eastAsia="BIZ UDPゴシック" w:hAnsi="BIZ UDPゴシック"/>
              </w:rPr>
              <w:t>臨界スケール普遍性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28FED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proofErr w:type="spellStart"/>
            <w:r w:rsidRPr="00C204B5">
              <w:rPr>
                <w:rFonts w:ascii="BIZ UDPゴシック" w:eastAsia="BIZ UDPゴシック" w:hAnsi="BIZ UDPゴシック"/>
                <w:lang w:eastAsia="ja-JP"/>
              </w:rPr>
              <w:t>L_c</w:t>
            </w:r>
            <w:proofErr w:type="spellEnd"/>
            <w:r w:rsidRPr="00C204B5">
              <w:rPr>
                <w:rFonts w:ascii="BIZ UDPゴシック" w:eastAsia="BIZ UDPゴシック" w:hAnsi="BIZ UDPゴシック"/>
                <w:lang w:eastAsia="ja-JP"/>
              </w:rPr>
              <w:t xml:space="preserve"> ≈ 4×10</w:t>
            </w:r>
            <w:r w:rsidRPr="00C204B5">
              <w:rPr>
                <w:rFonts w:ascii="Cambria Math" w:eastAsia="BIZ UDPゴシック" w:hAnsi="Cambria Math" w:cs="Cambria Math"/>
                <w:lang w:eastAsia="ja-JP"/>
              </w:rPr>
              <w:t>⁹</w:t>
            </w:r>
            <w:r w:rsidRPr="00C204B5">
              <w:rPr>
                <w:rFonts w:ascii="BIZ UDPゴシック" w:eastAsia="BIZ UDPゴシック" w:hAnsi="BIZ UDPゴシック"/>
                <w:lang w:eastAsia="ja-JP"/>
              </w:rPr>
              <w:t xml:space="preserve"> m が全スケールに共通</w:t>
            </w:r>
          </w:p>
        </w:tc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4AF1" w14:textId="77777777" w:rsidR="00AC6AE8" w:rsidRPr="00C204B5" w:rsidRDefault="00000000" w:rsidP="00C204B5">
            <w:pPr>
              <w:jc w:val="both"/>
              <w:rPr>
                <w:rFonts w:ascii="BIZ UDPゴシック" w:eastAsia="BIZ UDPゴシック" w:hAnsi="BIZ UDPゴシック"/>
                <w:lang w:eastAsia="ja-JP"/>
              </w:rPr>
            </w:pPr>
            <w:r w:rsidRPr="00C204B5">
              <w:rPr>
                <w:rFonts w:ascii="BIZ UDPゴシック" w:eastAsia="BIZ UDPゴシック" w:hAnsi="BIZ UDPゴシック"/>
                <w:lang w:eastAsia="ja-JP"/>
              </w:rPr>
              <w:t>量子〜銀河まで同一スケールが出現する異常な一貫性</w:t>
            </w:r>
          </w:p>
        </w:tc>
      </w:tr>
    </w:tbl>
    <w:p w14:paraId="467C320F" w14:textId="77777777" w:rsidR="00AC6AE8" w:rsidRPr="00C204B5" w:rsidRDefault="00000000">
      <w:pPr>
        <w:pStyle w:val="21"/>
        <w:rPr>
          <w:rFonts w:ascii="BIZ UDPゴシック" w:eastAsia="BIZ UDPゴシック" w:hAnsi="BIZ UDPゴシック"/>
        </w:rPr>
      </w:pPr>
      <w:r w:rsidRPr="00C204B5">
        <w:rPr>
          <w:rFonts w:ascii="Segoe UI Emoji" w:eastAsia="BIZ UDPゴシック" w:hAnsi="Segoe UI Emoji" w:cs="Segoe UI Emoji"/>
        </w:rPr>
        <w:t>🏁</w:t>
      </w:r>
      <w:r w:rsidRPr="00C204B5">
        <w:rPr>
          <w:rFonts w:ascii="BIZ UDPゴシック" w:eastAsia="BIZ UDPゴシック" w:hAnsi="BIZ UDPゴシック"/>
        </w:rPr>
        <w:t xml:space="preserve"> </w:t>
      </w:r>
      <w:proofErr w:type="spellStart"/>
      <w:r w:rsidRPr="00C204B5">
        <w:rPr>
          <w:rFonts w:ascii="BIZ UDPゴシック" w:eastAsia="BIZ UDPゴシック" w:hAnsi="BIZ UDPゴシック"/>
        </w:rPr>
        <w:t>結論</w:t>
      </w:r>
      <w:proofErr w:type="spellEnd"/>
    </w:p>
    <w:p w14:paraId="25994025" w14:textId="77777777" w:rsidR="00AC6AE8" w:rsidRPr="00C204B5" w:rsidRDefault="00000000">
      <w:pPr>
        <w:rPr>
          <w:rFonts w:ascii="BIZ UDPゴシック" w:eastAsia="BIZ UDPゴシック" w:hAnsi="BIZ UDPゴシック"/>
        </w:rPr>
      </w:pPr>
      <w:r w:rsidRPr="00C204B5">
        <w:rPr>
          <w:rFonts w:ascii="BIZ UDPゴシック" w:eastAsia="BIZ UDPゴシック" w:hAnsi="BIZ UDPゴシック"/>
        </w:rPr>
        <w:t>これら3つの結果は、TFGRがΛCDMを超える説明力を持つことを統計的・理論的に示すものであり、「暗黒物質不要論」の域を超えて、時空そのものの階層的再構成理論（Scale-Hierarchical Spacetime Reconstruction）として成立する。</w:t>
      </w:r>
    </w:p>
    <w:sectPr w:rsidR="00AC6AE8" w:rsidRPr="00C204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021080">
    <w:abstractNumId w:val="8"/>
  </w:num>
  <w:num w:numId="2" w16cid:durableId="2009093286">
    <w:abstractNumId w:val="6"/>
  </w:num>
  <w:num w:numId="3" w16cid:durableId="1512715690">
    <w:abstractNumId w:val="5"/>
  </w:num>
  <w:num w:numId="4" w16cid:durableId="759066800">
    <w:abstractNumId w:val="4"/>
  </w:num>
  <w:num w:numId="5" w16cid:durableId="226231654">
    <w:abstractNumId w:val="7"/>
  </w:num>
  <w:num w:numId="6" w16cid:durableId="1962761774">
    <w:abstractNumId w:val="3"/>
  </w:num>
  <w:num w:numId="7" w16cid:durableId="262617939">
    <w:abstractNumId w:val="2"/>
  </w:num>
  <w:num w:numId="8" w16cid:durableId="2030062219">
    <w:abstractNumId w:val="1"/>
  </w:num>
  <w:num w:numId="9" w16cid:durableId="11483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CC4"/>
    <w:rsid w:val="0029639D"/>
    <w:rsid w:val="00326F90"/>
    <w:rsid w:val="00AA1D8D"/>
    <w:rsid w:val="00AC6AE8"/>
    <w:rsid w:val="00B47730"/>
    <w:rsid w:val="00C204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63C59D"/>
  <w14:defaultImageDpi w14:val="300"/>
  <w15:docId w15:val="{1AB54121-17EC-4807-BBC0-9970C7AA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貴浩 三井</cp:lastModifiedBy>
  <cp:revision>2</cp:revision>
  <dcterms:created xsi:type="dcterms:W3CDTF">2013-12-23T23:15:00Z</dcterms:created>
  <dcterms:modified xsi:type="dcterms:W3CDTF">2025-11-06T13:56:00Z</dcterms:modified>
  <cp:category/>
</cp:coreProperties>
</file>