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8B4F" w14:textId="77777777" w:rsidR="00B21173" w:rsidRPr="00E0273F" w:rsidRDefault="00B21173">
      <w:pPr>
        <w:spacing w:after="600"/>
        <w:rPr>
          <w:rFonts w:ascii="Verdana" w:hAnsi="Verdana"/>
        </w:rPr>
      </w:pPr>
    </w:p>
    <w:p w14:paraId="5C6347E3" w14:textId="77777777" w:rsidR="00B21173" w:rsidRPr="00E0273F" w:rsidRDefault="00000000">
      <w:pPr>
        <w:spacing w:after="120"/>
        <w:jc w:val="center"/>
        <w:rPr>
          <w:rFonts w:ascii="Verdana" w:hAnsi="Verdana"/>
          <w:lang w:val="en-GB"/>
        </w:rPr>
      </w:pPr>
      <w:r w:rsidRPr="00E0273F">
        <w:rPr>
          <w:rFonts w:ascii="Verdana" w:hAnsi="Verdana"/>
          <w:b/>
          <w:bCs/>
          <w:sz w:val="28"/>
          <w:szCs w:val="28"/>
          <w:lang w:val="en-GB"/>
        </w:rPr>
        <w:t>UNIVERSIDAD COMPLUTENSE DE MADRID</w:t>
      </w:r>
    </w:p>
    <w:p w14:paraId="67C9C8C6" w14:textId="77777777" w:rsidR="00B21173" w:rsidRPr="00E0273F" w:rsidRDefault="00000000">
      <w:pPr>
        <w:spacing w:after="120"/>
        <w:jc w:val="center"/>
        <w:rPr>
          <w:rFonts w:ascii="Verdana" w:hAnsi="Verdana"/>
          <w:lang w:val="en-GB"/>
        </w:rPr>
      </w:pPr>
      <w:r w:rsidRPr="00E0273F">
        <w:rPr>
          <w:rFonts w:ascii="Verdana" w:hAnsi="Verdana"/>
          <w:i/>
          <w:iCs/>
          <w:sz w:val="24"/>
          <w:szCs w:val="24"/>
          <w:lang w:val="en-GB"/>
        </w:rPr>
        <w:t>Máster en Data Science, Big Data &amp; Business Analytics</w:t>
      </w:r>
    </w:p>
    <w:p w14:paraId="432830B1" w14:textId="77777777" w:rsidR="00B21173" w:rsidRPr="00E0273F" w:rsidRDefault="00B21173">
      <w:pPr>
        <w:spacing w:after="600"/>
        <w:rPr>
          <w:rFonts w:ascii="Verdana" w:hAnsi="Verdana"/>
          <w:lang w:val="en-GB"/>
        </w:rPr>
      </w:pPr>
    </w:p>
    <w:p w14:paraId="77E0CB31" w14:textId="77777777" w:rsidR="00B21173" w:rsidRPr="00E0273F" w:rsidRDefault="00000000">
      <w:pPr>
        <w:spacing w:after="120"/>
        <w:jc w:val="center"/>
        <w:rPr>
          <w:rFonts w:ascii="Verdana" w:hAnsi="Verdana"/>
        </w:rPr>
      </w:pPr>
      <w:r w:rsidRPr="00E0273F">
        <w:rPr>
          <w:rFonts w:ascii="Verdana" w:hAnsi="Verdana"/>
          <w:b/>
          <w:bCs/>
          <w:sz w:val="28"/>
          <w:szCs w:val="28"/>
        </w:rPr>
        <w:t>TRABAJO DE FIN DE MÁSTER</w:t>
      </w:r>
    </w:p>
    <w:p w14:paraId="05E00F4A" w14:textId="77777777" w:rsidR="00B21173" w:rsidRPr="00E0273F" w:rsidRDefault="00B21173">
      <w:pPr>
        <w:spacing w:after="400"/>
        <w:rPr>
          <w:rFonts w:ascii="Verdana" w:hAnsi="Verdana"/>
        </w:rPr>
      </w:pPr>
    </w:p>
    <w:p w14:paraId="7FB7405A" w14:textId="77777777" w:rsidR="00B21173" w:rsidRPr="00E0273F" w:rsidRDefault="00000000">
      <w:pPr>
        <w:spacing w:after="120"/>
        <w:jc w:val="center"/>
        <w:rPr>
          <w:rFonts w:ascii="Verdana" w:hAnsi="Verdana"/>
        </w:rPr>
      </w:pPr>
      <w:r w:rsidRPr="00E0273F">
        <w:rPr>
          <w:rFonts w:ascii="Verdana" w:hAnsi="Verdana"/>
          <w:b/>
          <w:bCs/>
          <w:sz w:val="28"/>
          <w:szCs w:val="28"/>
        </w:rPr>
        <w:t>AI-Dashboard para la gestión de la oferta turística georreferenciada e integración con datos abiertos externos de la isla de Tenerife</w:t>
      </w:r>
    </w:p>
    <w:p w14:paraId="342CBEEC" w14:textId="77777777" w:rsidR="00B21173" w:rsidRPr="00E0273F" w:rsidRDefault="00000000">
      <w:pPr>
        <w:spacing w:after="120"/>
        <w:jc w:val="center"/>
        <w:rPr>
          <w:rFonts w:ascii="Verdana" w:hAnsi="Verdana"/>
        </w:rPr>
      </w:pPr>
      <w:r w:rsidRPr="00E0273F">
        <w:rPr>
          <w:rFonts w:ascii="Verdana" w:hAnsi="Verdana"/>
          <w:i/>
          <w:iCs/>
          <w:sz w:val="24"/>
          <w:szCs w:val="24"/>
        </w:rPr>
        <w:t>Desafío 3 — Caso TUI</w:t>
      </w:r>
    </w:p>
    <w:p w14:paraId="33A531E3" w14:textId="77777777" w:rsidR="00B21173" w:rsidRPr="00E0273F" w:rsidRDefault="00B21173">
      <w:pPr>
        <w:spacing w:after="600"/>
        <w:rPr>
          <w:rFonts w:ascii="Verdana" w:hAnsi="Verdana"/>
        </w:rPr>
      </w:pPr>
    </w:p>
    <w:p w14:paraId="6377963F" w14:textId="77777777" w:rsidR="00B21173" w:rsidRPr="00E0273F" w:rsidRDefault="00000000">
      <w:pPr>
        <w:spacing w:after="120"/>
        <w:jc w:val="center"/>
        <w:rPr>
          <w:rFonts w:ascii="Verdana" w:hAnsi="Verdana"/>
        </w:rPr>
      </w:pPr>
      <w:r w:rsidRPr="00E0273F">
        <w:rPr>
          <w:rFonts w:ascii="Verdana" w:hAnsi="Verdana"/>
          <w:sz w:val="24"/>
          <w:szCs w:val="24"/>
        </w:rPr>
        <w:t>Juan Andrés Cabrera Taramasco</w:t>
      </w:r>
    </w:p>
    <w:p w14:paraId="7DCBE558" w14:textId="77777777" w:rsidR="00B21173" w:rsidRPr="00E0273F" w:rsidRDefault="00000000">
      <w:pPr>
        <w:spacing w:after="120"/>
        <w:jc w:val="center"/>
        <w:rPr>
          <w:rFonts w:ascii="Verdana" w:hAnsi="Verdana"/>
        </w:rPr>
      </w:pPr>
      <w:r w:rsidRPr="00E0273F">
        <w:rPr>
          <w:rFonts w:ascii="Verdana" w:hAnsi="Verdana"/>
          <w:sz w:val="24"/>
          <w:szCs w:val="24"/>
        </w:rPr>
        <w:t>Jaime de Vera Martín</w:t>
      </w:r>
    </w:p>
    <w:p w14:paraId="122A67D8" w14:textId="77777777" w:rsidR="00B21173" w:rsidRPr="00E0273F" w:rsidRDefault="00000000">
      <w:pPr>
        <w:spacing w:after="120"/>
        <w:jc w:val="center"/>
        <w:rPr>
          <w:rFonts w:ascii="Verdana" w:hAnsi="Verdana"/>
        </w:rPr>
      </w:pPr>
      <w:r w:rsidRPr="00E0273F">
        <w:rPr>
          <w:rFonts w:ascii="Verdana" w:hAnsi="Verdana"/>
          <w:sz w:val="24"/>
          <w:szCs w:val="24"/>
        </w:rPr>
        <w:t>Roberto Hernando Ascaso</w:t>
      </w:r>
    </w:p>
    <w:p w14:paraId="7FDE7B25" w14:textId="77777777" w:rsidR="00B21173" w:rsidRPr="00E0273F" w:rsidRDefault="00000000">
      <w:pPr>
        <w:spacing w:after="120"/>
        <w:jc w:val="center"/>
        <w:rPr>
          <w:rFonts w:ascii="Verdana" w:hAnsi="Verdana"/>
        </w:rPr>
      </w:pPr>
      <w:r w:rsidRPr="00E0273F">
        <w:rPr>
          <w:rFonts w:ascii="Verdana" w:hAnsi="Verdana"/>
          <w:sz w:val="24"/>
          <w:szCs w:val="24"/>
        </w:rPr>
        <w:t>Guillermo Martínez Ortigosa</w:t>
      </w:r>
    </w:p>
    <w:p w14:paraId="152724B1" w14:textId="77777777" w:rsidR="00B21173" w:rsidRPr="00E0273F" w:rsidRDefault="00000000">
      <w:pPr>
        <w:spacing w:after="120"/>
        <w:jc w:val="center"/>
        <w:rPr>
          <w:rFonts w:ascii="Verdana" w:hAnsi="Verdana"/>
        </w:rPr>
      </w:pPr>
      <w:r w:rsidRPr="00E0273F">
        <w:rPr>
          <w:rFonts w:ascii="Verdana" w:hAnsi="Verdana"/>
          <w:sz w:val="24"/>
          <w:szCs w:val="24"/>
        </w:rPr>
        <w:t>Jorge Tamirat Montes Nocete</w:t>
      </w:r>
    </w:p>
    <w:p w14:paraId="19B763A9" w14:textId="77777777" w:rsidR="00B21173" w:rsidRPr="00E0273F" w:rsidRDefault="00000000">
      <w:pPr>
        <w:spacing w:after="120"/>
        <w:jc w:val="center"/>
        <w:rPr>
          <w:rFonts w:ascii="Verdana" w:hAnsi="Verdana"/>
        </w:rPr>
      </w:pPr>
      <w:r w:rsidRPr="00E0273F">
        <w:rPr>
          <w:rFonts w:ascii="Verdana" w:hAnsi="Verdana"/>
          <w:sz w:val="24"/>
          <w:szCs w:val="24"/>
        </w:rPr>
        <w:t>Mario Rosete Lázaro</w:t>
      </w:r>
    </w:p>
    <w:p w14:paraId="2B76F734" w14:textId="77777777" w:rsidR="00B21173" w:rsidRPr="00E0273F" w:rsidRDefault="00B21173">
      <w:pPr>
        <w:spacing w:after="600"/>
        <w:rPr>
          <w:rFonts w:ascii="Verdana" w:hAnsi="Verdana"/>
        </w:rPr>
      </w:pPr>
    </w:p>
    <w:p w14:paraId="0DF65132" w14:textId="77777777" w:rsidR="00B21173" w:rsidRPr="00E0273F" w:rsidRDefault="00000000">
      <w:pPr>
        <w:spacing w:after="120"/>
        <w:jc w:val="center"/>
        <w:rPr>
          <w:rFonts w:ascii="Verdana" w:hAnsi="Verdana"/>
        </w:rPr>
      </w:pPr>
      <w:r w:rsidRPr="00E0273F">
        <w:rPr>
          <w:rFonts w:ascii="Verdana" w:hAnsi="Verdana"/>
          <w:sz w:val="24"/>
          <w:szCs w:val="24"/>
        </w:rPr>
        <w:t>Curso académico 2025-2026</w:t>
      </w:r>
    </w:p>
    <w:p w14:paraId="3D95B3B2" w14:textId="77777777" w:rsidR="00B21173" w:rsidRPr="00E0273F" w:rsidRDefault="00000000">
      <w:pPr>
        <w:rPr>
          <w:rFonts w:ascii="Verdana" w:hAnsi="Verdana"/>
        </w:rPr>
      </w:pPr>
      <w:r w:rsidRPr="00E0273F">
        <w:rPr>
          <w:rFonts w:ascii="Verdana" w:hAnsi="Verdana"/>
        </w:rPr>
        <w:br w:type="page"/>
      </w:r>
    </w:p>
    <w:p w14:paraId="331B86E9" w14:textId="77777777" w:rsidR="00B21173" w:rsidRPr="00E0273F" w:rsidRDefault="00000000">
      <w:pPr>
        <w:spacing w:after="120"/>
        <w:jc w:val="center"/>
        <w:rPr>
          <w:rFonts w:ascii="Verdana" w:hAnsi="Verdana"/>
        </w:rPr>
      </w:pPr>
      <w:r w:rsidRPr="00E0273F">
        <w:rPr>
          <w:rFonts w:ascii="Verdana" w:hAnsi="Verdana"/>
          <w:b/>
          <w:bCs/>
          <w:sz w:val="32"/>
          <w:szCs w:val="32"/>
        </w:rPr>
        <w:lastRenderedPageBreak/>
        <w:t>Índice</w:t>
      </w:r>
    </w:p>
    <w:p w14:paraId="42136AEA" w14:textId="77777777" w:rsidR="00B21173" w:rsidRPr="00E0273F" w:rsidRDefault="00B21173">
      <w:pPr>
        <w:spacing w:after="200"/>
        <w:rPr>
          <w:rFonts w:ascii="Verdana" w:hAnsi="Verdana"/>
        </w:rPr>
      </w:pPr>
    </w:p>
    <w:sdt>
      <w:sdtPr>
        <w:rPr>
          <w:rFonts w:ascii="Verdana" w:hAnsi="Verdana"/>
        </w:rPr>
        <w:alias w:val="Índice"/>
        <w:id w:val="1262105985"/>
      </w:sdtPr>
      <w:sdtContent>
        <w:p w14:paraId="7DF97DC7" w14:textId="3F8F4A9F" w:rsidR="004F0450" w:rsidRPr="00E0273F" w:rsidRDefault="004F0450">
          <w:pPr>
            <w:pStyle w:val="TDC1"/>
            <w:tabs>
              <w:tab w:val="right" w:leader="dot" w:pos="9016"/>
            </w:tabs>
            <w:rPr>
              <w:rFonts w:ascii="Verdana" w:hAnsi="Verdana"/>
              <w:noProof/>
            </w:rPr>
          </w:pPr>
          <w:r w:rsidRPr="00E0273F">
            <w:rPr>
              <w:rFonts w:ascii="Verdana" w:hAnsi="Verdana"/>
            </w:rPr>
            <w:fldChar w:fldCharType="begin"/>
          </w:r>
          <w:r w:rsidRPr="00E0273F">
            <w:rPr>
              <w:rFonts w:ascii="Verdana" w:hAnsi="Verdana"/>
            </w:rPr>
            <w:instrText>TOC \h \o "1-2"</w:instrText>
          </w:r>
          <w:r w:rsidRPr="00E0273F">
            <w:rPr>
              <w:rFonts w:ascii="Verdana" w:hAnsi="Verdana"/>
            </w:rPr>
            <w:fldChar w:fldCharType="separate"/>
          </w:r>
          <w:hyperlink w:anchor="_Toc239878755" w:history="1">
            <w:r w:rsidRPr="00E0273F">
              <w:rPr>
                <w:rStyle w:val="Hipervnculo"/>
                <w:rFonts w:ascii="Verdana" w:hAnsi="Verdana"/>
                <w:b/>
                <w:bCs/>
                <w:noProof/>
              </w:rPr>
              <w:t>1. Introducción y contexto de negocio</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_Toc239878755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4</w:t>
            </w:r>
            <w:r w:rsidRPr="00E0273F">
              <w:rPr>
                <w:rFonts w:ascii="Verdana" w:hAnsi="Verdana"/>
                <w:noProof/>
              </w:rPr>
              <w:fldChar w:fldCharType="end"/>
            </w:r>
          </w:hyperlink>
        </w:p>
        <w:p w14:paraId="675B3546" w14:textId="4E06129C" w:rsidR="004F0450" w:rsidRPr="00E0273F" w:rsidRDefault="004F0450">
          <w:pPr>
            <w:pStyle w:val="TDC2"/>
            <w:tabs>
              <w:tab w:val="right" w:leader="dot" w:pos="9016"/>
            </w:tabs>
            <w:rPr>
              <w:rFonts w:ascii="Verdana" w:hAnsi="Verdana"/>
              <w:noProof/>
            </w:rPr>
          </w:pPr>
          <w:hyperlink w:anchor="_Toc239878756" w:history="1">
            <w:r w:rsidRPr="00E0273F">
              <w:rPr>
                <w:rStyle w:val="Hipervnculo"/>
                <w:rFonts w:ascii="Verdana" w:hAnsi="Verdana"/>
                <w:b/>
                <w:bCs/>
                <w:noProof/>
              </w:rPr>
              <w:t>1.1. Resumen ejecutivo y alcance del proyecto</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_Toc239878756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4</w:t>
            </w:r>
            <w:r w:rsidRPr="00E0273F">
              <w:rPr>
                <w:rFonts w:ascii="Verdana" w:hAnsi="Verdana"/>
                <w:noProof/>
              </w:rPr>
              <w:fldChar w:fldCharType="end"/>
            </w:r>
          </w:hyperlink>
        </w:p>
        <w:p w14:paraId="3117B38B" w14:textId="074C40BA" w:rsidR="004F0450" w:rsidRPr="00E0273F" w:rsidRDefault="004F0450">
          <w:pPr>
            <w:pStyle w:val="TDC2"/>
            <w:tabs>
              <w:tab w:val="right" w:leader="dot" w:pos="9016"/>
            </w:tabs>
            <w:rPr>
              <w:rFonts w:ascii="Verdana" w:hAnsi="Verdana"/>
              <w:noProof/>
            </w:rPr>
          </w:pPr>
          <w:hyperlink w:anchor="_Toc239878757" w:history="1">
            <w:r w:rsidRPr="00E0273F">
              <w:rPr>
                <w:rStyle w:val="Hipervnculo"/>
                <w:rFonts w:ascii="Verdana" w:hAnsi="Verdana"/>
                <w:b/>
                <w:bCs/>
                <w:noProof/>
              </w:rPr>
              <w:t>1.2. El problema de negocio en Tenerife</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_Toc239878757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4</w:t>
            </w:r>
            <w:r w:rsidRPr="00E0273F">
              <w:rPr>
                <w:rFonts w:ascii="Verdana" w:hAnsi="Verdana"/>
                <w:noProof/>
              </w:rPr>
              <w:fldChar w:fldCharType="end"/>
            </w:r>
          </w:hyperlink>
        </w:p>
        <w:p w14:paraId="754FB1A9" w14:textId="4499C695" w:rsidR="004F0450" w:rsidRPr="00E0273F" w:rsidRDefault="004F0450">
          <w:pPr>
            <w:pStyle w:val="TDC2"/>
            <w:tabs>
              <w:tab w:val="right" w:leader="dot" w:pos="9016"/>
            </w:tabs>
            <w:rPr>
              <w:rFonts w:ascii="Verdana" w:hAnsi="Verdana"/>
              <w:noProof/>
            </w:rPr>
          </w:pPr>
          <w:hyperlink w:anchor="_Toc239878758" w:history="1">
            <w:r w:rsidRPr="00E0273F">
              <w:rPr>
                <w:rStyle w:val="Hipervnculo"/>
                <w:rFonts w:ascii="Verdana" w:hAnsi="Verdana"/>
                <w:b/>
                <w:bCs/>
                <w:noProof/>
              </w:rPr>
              <w:t>1.3. Objetivos generales y específicos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_Toc239878758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5</w:t>
            </w:r>
            <w:r w:rsidRPr="00E0273F">
              <w:rPr>
                <w:rFonts w:ascii="Verdana" w:hAnsi="Verdana"/>
                <w:noProof/>
              </w:rPr>
              <w:fldChar w:fldCharType="end"/>
            </w:r>
          </w:hyperlink>
        </w:p>
        <w:p w14:paraId="0D5F9C41" w14:textId="4F29F867" w:rsidR="004F0450" w:rsidRPr="00E0273F" w:rsidRDefault="004F0450">
          <w:pPr>
            <w:pStyle w:val="TDC2"/>
            <w:tabs>
              <w:tab w:val="right" w:leader="dot" w:pos="9016"/>
            </w:tabs>
            <w:rPr>
              <w:rFonts w:ascii="Verdana" w:hAnsi="Verdana"/>
              <w:noProof/>
            </w:rPr>
          </w:pPr>
          <w:hyperlink w:anchor="_Toc239878759" w:history="1">
            <w:r w:rsidRPr="00E0273F">
              <w:rPr>
                <w:rStyle w:val="Hipervnculo"/>
                <w:rFonts w:ascii="Verdana" w:hAnsi="Verdana"/>
                <w:b/>
                <w:bCs/>
                <w:noProof/>
              </w:rPr>
              <w:t>1.4. Preguntas estratégicas (caso TUI)</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_Toc239878759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5</w:t>
            </w:r>
            <w:r w:rsidRPr="00E0273F">
              <w:rPr>
                <w:rFonts w:ascii="Verdana" w:hAnsi="Verdana"/>
                <w:noProof/>
              </w:rPr>
              <w:fldChar w:fldCharType="end"/>
            </w:r>
          </w:hyperlink>
        </w:p>
        <w:p w14:paraId="27FA26D5" w14:textId="51B8043C" w:rsidR="004F0450" w:rsidRPr="00E0273F" w:rsidRDefault="004F0450">
          <w:pPr>
            <w:pStyle w:val="TDC2"/>
            <w:tabs>
              <w:tab w:val="right" w:leader="dot" w:pos="9016"/>
            </w:tabs>
            <w:rPr>
              <w:rFonts w:ascii="Verdana" w:hAnsi="Verdana"/>
              <w:noProof/>
            </w:rPr>
          </w:pPr>
          <w:hyperlink w:anchor="_Toc239878760" w:history="1">
            <w:r w:rsidRPr="00E0273F">
              <w:rPr>
                <w:rStyle w:val="Hipervnculo"/>
                <w:rFonts w:ascii="Verdana" w:hAnsi="Verdana"/>
                <w:b/>
                <w:bCs/>
                <w:noProof/>
              </w:rPr>
              <w:t>1.5. Justificación del aporte diferencial</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_Toc239878760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6</w:t>
            </w:r>
            <w:r w:rsidRPr="00E0273F">
              <w:rPr>
                <w:rFonts w:ascii="Verdana" w:hAnsi="Verdana"/>
                <w:noProof/>
              </w:rPr>
              <w:fldChar w:fldCharType="end"/>
            </w:r>
          </w:hyperlink>
        </w:p>
        <w:p w14:paraId="42B07C37" w14:textId="33DD1650" w:rsidR="004F0450" w:rsidRPr="00E0273F" w:rsidRDefault="004F0450">
          <w:pPr>
            <w:pStyle w:val="TDC1"/>
            <w:tabs>
              <w:tab w:val="right" w:leader="dot" w:pos="9016"/>
            </w:tabs>
            <w:rPr>
              <w:rFonts w:ascii="Verdana" w:hAnsi="Verdana"/>
              <w:noProof/>
            </w:rPr>
          </w:pPr>
          <w:hyperlink w:anchor="_Toc239878761" w:history="1">
            <w:r w:rsidRPr="00E0273F">
              <w:rPr>
                <w:rStyle w:val="Hipervnculo"/>
                <w:rFonts w:ascii="Verdana" w:hAnsi="Verdana"/>
                <w:b/>
                <w:bCs/>
                <w:noProof/>
              </w:rPr>
              <w:t>2. Configuración de infraestructura y adquisición de datos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_Toc239878761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6</w:t>
            </w:r>
            <w:r w:rsidRPr="00E0273F">
              <w:rPr>
                <w:rFonts w:ascii="Verdana" w:hAnsi="Verdana"/>
                <w:noProof/>
              </w:rPr>
              <w:fldChar w:fldCharType="end"/>
            </w:r>
          </w:hyperlink>
        </w:p>
        <w:p w14:paraId="079A24B9" w14:textId="7F79EBD4" w:rsidR="004F0450" w:rsidRPr="00E0273F" w:rsidRDefault="004F0450">
          <w:pPr>
            <w:pStyle w:val="TDC2"/>
            <w:tabs>
              <w:tab w:val="right" w:leader="dot" w:pos="9016"/>
            </w:tabs>
            <w:rPr>
              <w:rFonts w:ascii="Verdana" w:hAnsi="Verdana"/>
              <w:noProof/>
            </w:rPr>
          </w:pPr>
          <w:hyperlink w:anchor="_Toc239878762" w:history="1">
            <w:r w:rsidRPr="00E0273F">
              <w:rPr>
                <w:rStyle w:val="Hipervnculo"/>
                <w:rFonts w:ascii="Verdana" w:hAnsi="Verdana"/>
                <w:b/>
                <w:bCs/>
                <w:noProof/>
              </w:rPr>
              <w:t xml:space="preserve">2.1. Aprovisionamiento de infraestructura </w:t>
            </w:r>
            <w:r w:rsidRPr="00E0273F">
              <w:rPr>
                <w:rStyle w:val="Hipervnculo"/>
                <w:rFonts w:ascii="Verdana" w:hAnsi="Verdana"/>
                <w:b/>
                <w:bCs/>
                <w:i/>
                <w:iCs/>
                <w:noProof/>
              </w:rPr>
              <w:t>cloud</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_Toc239878762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6</w:t>
            </w:r>
            <w:r w:rsidRPr="00E0273F">
              <w:rPr>
                <w:rFonts w:ascii="Verdana" w:hAnsi="Verdana"/>
                <w:noProof/>
              </w:rPr>
              <w:fldChar w:fldCharType="end"/>
            </w:r>
          </w:hyperlink>
        </w:p>
        <w:p w14:paraId="3F7F7F69" w14:textId="0B2EA85B" w:rsidR="004F0450" w:rsidRPr="00E0273F" w:rsidRDefault="004F0450">
          <w:pPr>
            <w:pStyle w:val="TDC2"/>
            <w:tabs>
              <w:tab w:val="right" w:leader="dot" w:pos="9016"/>
            </w:tabs>
            <w:rPr>
              <w:rFonts w:ascii="Verdana" w:hAnsi="Verdana"/>
              <w:noProof/>
            </w:rPr>
          </w:pPr>
          <w:hyperlink w:anchor="_Toc239878763" w:history="1">
            <w:r w:rsidRPr="00E0273F">
              <w:rPr>
                <w:rStyle w:val="Hipervnculo"/>
                <w:rFonts w:ascii="Verdana" w:hAnsi="Verdana"/>
                <w:b/>
                <w:bCs/>
                <w:noProof/>
              </w:rPr>
              <w:t>2.2. Extracción de microdatos tabulares y espaciales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_Toc239878763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7</w:t>
            </w:r>
            <w:r w:rsidRPr="00E0273F">
              <w:rPr>
                <w:rFonts w:ascii="Verdana" w:hAnsi="Verdana"/>
                <w:noProof/>
              </w:rPr>
              <w:fldChar w:fldCharType="end"/>
            </w:r>
          </w:hyperlink>
        </w:p>
        <w:p w14:paraId="1947AD73" w14:textId="6FE3CB22" w:rsidR="004F0450" w:rsidRPr="00E0273F" w:rsidRDefault="004F0450">
          <w:pPr>
            <w:pStyle w:val="TDC2"/>
            <w:tabs>
              <w:tab w:val="right" w:leader="dot" w:pos="9016"/>
            </w:tabs>
            <w:rPr>
              <w:rFonts w:ascii="Verdana" w:hAnsi="Verdana"/>
              <w:noProof/>
            </w:rPr>
          </w:pPr>
          <w:hyperlink w:anchor="_Toc239878764" w:history="1">
            <w:r w:rsidRPr="00E0273F">
              <w:rPr>
                <w:rStyle w:val="Hipervnculo"/>
                <w:rFonts w:ascii="Verdana" w:hAnsi="Verdana"/>
                <w:b/>
                <w:bCs/>
                <w:noProof/>
              </w:rPr>
              <w:t>2.3. Integración del transporte público (GTFS)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_Toc239878764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7</w:t>
            </w:r>
            <w:r w:rsidRPr="00E0273F">
              <w:rPr>
                <w:rFonts w:ascii="Verdana" w:hAnsi="Verdana"/>
                <w:noProof/>
              </w:rPr>
              <w:fldChar w:fldCharType="end"/>
            </w:r>
          </w:hyperlink>
        </w:p>
        <w:p w14:paraId="6DD5C122" w14:textId="1CB34C43" w:rsidR="004F0450" w:rsidRPr="00E0273F" w:rsidRDefault="004F0450">
          <w:pPr>
            <w:pStyle w:val="TDC2"/>
            <w:tabs>
              <w:tab w:val="right" w:leader="dot" w:pos="9016"/>
            </w:tabs>
            <w:rPr>
              <w:rFonts w:ascii="Verdana" w:hAnsi="Verdana"/>
              <w:noProof/>
            </w:rPr>
          </w:pPr>
          <w:hyperlink w:anchor="_Toc239878765" w:history="1">
            <w:r w:rsidRPr="00E0273F">
              <w:rPr>
                <w:rStyle w:val="Hipervnculo"/>
                <w:rFonts w:ascii="Verdana" w:hAnsi="Verdana"/>
                <w:b/>
                <w:bCs/>
                <w:noProof/>
              </w:rPr>
              <w:t>2.4. Ingesta de datos meteorológicos y satelitales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_Toc239878765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7</w:t>
            </w:r>
            <w:r w:rsidRPr="00E0273F">
              <w:rPr>
                <w:rFonts w:ascii="Verdana" w:hAnsi="Verdana"/>
                <w:noProof/>
              </w:rPr>
              <w:fldChar w:fldCharType="end"/>
            </w:r>
          </w:hyperlink>
        </w:p>
        <w:p w14:paraId="3C5F2392" w14:textId="71BAF1ED" w:rsidR="004F0450" w:rsidRPr="00E0273F" w:rsidRDefault="004F0450">
          <w:pPr>
            <w:pStyle w:val="TDC2"/>
            <w:tabs>
              <w:tab w:val="right" w:leader="dot" w:pos="9016"/>
            </w:tabs>
            <w:rPr>
              <w:rFonts w:ascii="Verdana" w:hAnsi="Verdana"/>
              <w:noProof/>
            </w:rPr>
          </w:pPr>
          <w:hyperlink w:anchor="_Toc239878766" w:history="1">
            <w:r w:rsidRPr="00E0273F">
              <w:rPr>
                <w:rStyle w:val="Hipervnculo"/>
                <w:rFonts w:ascii="Verdana" w:hAnsi="Verdana"/>
                <w:b/>
                <w:bCs/>
                <w:noProof/>
              </w:rPr>
              <w:t>2.5. Extracción de datos cualitativos para análisis de sentimiento</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_Toc239878766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7</w:t>
            </w:r>
            <w:r w:rsidRPr="00E0273F">
              <w:rPr>
                <w:rFonts w:ascii="Verdana" w:hAnsi="Verdana"/>
                <w:noProof/>
              </w:rPr>
              <w:fldChar w:fldCharType="end"/>
            </w:r>
          </w:hyperlink>
        </w:p>
        <w:p w14:paraId="28E4795F" w14:textId="4D43F14F" w:rsidR="004F0450" w:rsidRPr="00E0273F" w:rsidRDefault="004F0450">
          <w:pPr>
            <w:pStyle w:val="TDC1"/>
            <w:tabs>
              <w:tab w:val="right" w:leader="dot" w:pos="9016"/>
            </w:tabs>
            <w:rPr>
              <w:rFonts w:ascii="Verdana" w:hAnsi="Verdana"/>
              <w:noProof/>
            </w:rPr>
          </w:pPr>
          <w:hyperlink w:anchor="_Toc239878767" w:history="1">
            <w:r w:rsidRPr="00E0273F">
              <w:rPr>
                <w:rStyle w:val="Hipervnculo"/>
                <w:rFonts w:ascii="Verdana" w:hAnsi="Verdana"/>
                <w:b/>
                <w:bCs/>
                <w:noProof/>
              </w:rPr>
              <w:t xml:space="preserve">3. Estructuración, </w:t>
            </w:r>
            <w:r w:rsidRPr="00E0273F">
              <w:rPr>
                <w:rStyle w:val="Hipervnculo"/>
                <w:rFonts w:ascii="Verdana" w:hAnsi="Verdana"/>
                <w:b/>
                <w:bCs/>
                <w:i/>
                <w:iCs/>
                <w:noProof/>
              </w:rPr>
              <w:t>Data Warehouse</w:t>
            </w:r>
            <w:r w:rsidRPr="00E0273F">
              <w:rPr>
                <w:rStyle w:val="Hipervnculo"/>
                <w:rFonts w:ascii="Verdana" w:hAnsi="Verdana"/>
                <w:b/>
                <w:bCs/>
                <w:noProof/>
              </w:rPr>
              <w:t xml:space="preserve"> y topología geoespacial</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_Toc239878767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8</w:t>
            </w:r>
            <w:r w:rsidRPr="00E0273F">
              <w:rPr>
                <w:rFonts w:ascii="Verdana" w:hAnsi="Verdana"/>
                <w:noProof/>
              </w:rPr>
              <w:fldChar w:fldCharType="end"/>
            </w:r>
          </w:hyperlink>
        </w:p>
        <w:p w14:paraId="6011097A" w14:textId="408FBC85" w:rsidR="004F0450" w:rsidRPr="00E0273F" w:rsidRDefault="004F0450">
          <w:pPr>
            <w:pStyle w:val="TDC2"/>
            <w:tabs>
              <w:tab w:val="right" w:leader="dot" w:pos="9016"/>
            </w:tabs>
            <w:rPr>
              <w:rFonts w:ascii="Verdana" w:hAnsi="Verdana"/>
              <w:noProof/>
            </w:rPr>
          </w:pPr>
          <w:hyperlink w:anchor="_Toc239878768" w:history="1">
            <w:r w:rsidRPr="00E0273F">
              <w:rPr>
                <w:rStyle w:val="Hipervnculo"/>
                <w:rFonts w:ascii="Verdana" w:hAnsi="Verdana"/>
                <w:b/>
                <w:bCs/>
                <w:noProof/>
              </w:rPr>
              <w:t>3.1. Diseño del almacén de datos espacial en PostgreSQL/PostGIS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_Toc239878768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8</w:t>
            </w:r>
            <w:r w:rsidRPr="00E0273F">
              <w:rPr>
                <w:rFonts w:ascii="Verdana" w:hAnsi="Verdana"/>
                <w:noProof/>
              </w:rPr>
              <w:fldChar w:fldCharType="end"/>
            </w:r>
          </w:hyperlink>
        </w:p>
        <w:p w14:paraId="08A5709B" w14:textId="6513028E" w:rsidR="004F0450" w:rsidRPr="00E0273F" w:rsidRDefault="004F0450">
          <w:pPr>
            <w:pStyle w:val="TDC2"/>
            <w:tabs>
              <w:tab w:val="right" w:leader="dot" w:pos="9016"/>
            </w:tabs>
            <w:rPr>
              <w:rFonts w:ascii="Verdana" w:hAnsi="Verdana"/>
              <w:noProof/>
            </w:rPr>
          </w:pPr>
          <w:hyperlink w:anchor="_Toc239878769" w:history="1">
            <w:r w:rsidRPr="00E0273F">
              <w:rPr>
                <w:rStyle w:val="Hipervnculo"/>
                <w:rFonts w:ascii="Verdana" w:hAnsi="Verdana"/>
                <w:b/>
                <w:bCs/>
                <w:noProof/>
              </w:rPr>
              <w:t xml:space="preserve">3.2. Estandarización de </w:t>
            </w:r>
            <w:r w:rsidRPr="00E0273F">
              <w:rPr>
                <w:rStyle w:val="Hipervnculo"/>
                <w:rFonts w:ascii="Verdana" w:hAnsi="Verdana"/>
                <w:noProof/>
              </w:rPr>
              <w:t>coordenadas</w:t>
            </w:r>
            <w:r w:rsidRPr="00E0273F">
              <w:rPr>
                <w:rStyle w:val="Hipervnculo"/>
                <w:rFonts w:ascii="Verdana" w:hAnsi="Verdana"/>
                <w:b/>
                <w:bCs/>
                <w:noProof/>
              </w:rPr>
              <w:t xml:space="preserve"> (EPSG:32628) e índices GIST</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_Toc239878769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9</w:t>
            </w:r>
            <w:r w:rsidRPr="00E0273F">
              <w:rPr>
                <w:rFonts w:ascii="Verdana" w:hAnsi="Verdana"/>
                <w:noProof/>
              </w:rPr>
              <w:fldChar w:fldCharType="end"/>
            </w:r>
          </w:hyperlink>
        </w:p>
        <w:p w14:paraId="4DDD9145" w14:textId="6F0E19DF" w:rsidR="004F0450" w:rsidRPr="00E0273F" w:rsidRDefault="004F0450">
          <w:pPr>
            <w:pStyle w:val="TDC2"/>
            <w:tabs>
              <w:tab w:val="right" w:leader="dot" w:pos="9016"/>
            </w:tabs>
            <w:rPr>
              <w:rFonts w:ascii="Verdana" w:hAnsi="Verdana"/>
              <w:noProof/>
            </w:rPr>
          </w:pPr>
          <w:hyperlink w:anchor="_Toc239878770" w:history="1">
            <w:r w:rsidRPr="00E0273F">
              <w:rPr>
                <w:rStyle w:val="Hipervnculo"/>
                <w:rFonts w:ascii="Verdana" w:hAnsi="Verdana"/>
                <w:b/>
                <w:bCs/>
                <w:noProof/>
              </w:rPr>
              <w:t>3.3. Orquestación ETL con Apache Airflow y transformaciones con dbt</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_Toc239878770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9</w:t>
            </w:r>
            <w:r w:rsidRPr="00E0273F">
              <w:rPr>
                <w:rFonts w:ascii="Verdana" w:hAnsi="Verdana"/>
                <w:noProof/>
              </w:rPr>
              <w:fldChar w:fldCharType="end"/>
            </w:r>
          </w:hyperlink>
        </w:p>
        <w:p w14:paraId="481AEF4A" w14:textId="1F54FB6C" w:rsidR="004F0450" w:rsidRPr="00E0273F" w:rsidRDefault="004F0450">
          <w:pPr>
            <w:pStyle w:val="TDC1"/>
            <w:tabs>
              <w:tab w:val="right" w:leader="dot" w:pos="9016"/>
            </w:tabs>
            <w:rPr>
              <w:rFonts w:ascii="Verdana" w:hAnsi="Verdana"/>
              <w:noProof/>
            </w:rPr>
          </w:pPr>
          <w:hyperlink w:anchor="_Toc239878771" w:history="1">
            <w:r w:rsidRPr="00E0273F">
              <w:rPr>
                <w:rStyle w:val="Hipervnculo"/>
                <w:rFonts w:ascii="Verdana" w:hAnsi="Verdana"/>
                <w:b/>
                <w:bCs/>
                <w:noProof/>
              </w:rPr>
              <w:t>4. Analítica avanzada e inteligencia espacial</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_Toc239878771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9</w:t>
            </w:r>
            <w:r w:rsidRPr="00E0273F">
              <w:rPr>
                <w:rFonts w:ascii="Verdana" w:hAnsi="Verdana"/>
                <w:noProof/>
              </w:rPr>
              <w:fldChar w:fldCharType="end"/>
            </w:r>
          </w:hyperlink>
        </w:p>
        <w:p w14:paraId="4C5AC0F3" w14:textId="5E9E3239" w:rsidR="004F0450" w:rsidRPr="00E0273F" w:rsidRDefault="004F0450">
          <w:pPr>
            <w:pStyle w:val="TDC2"/>
            <w:tabs>
              <w:tab w:val="right" w:leader="dot" w:pos="9016"/>
            </w:tabs>
            <w:rPr>
              <w:rFonts w:ascii="Verdana" w:hAnsi="Verdana"/>
              <w:noProof/>
            </w:rPr>
          </w:pPr>
          <w:hyperlink w:anchor="_Toc239878772" w:history="1">
            <w:r w:rsidRPr="00E0273F">
              <w:rPr>
                <w:rStyle w:val="Hipervnculo"/>
                <w:rFonts w:ascii="Verdana" w:hAnsi="Verdana"/>
                <w:b/>
                <w:bCs/>
                <w:noProof/>
              </w:rPr>
              <w:t>4.1. Análisis de sentimiento multilingüe (inferencia por lotes con Multilingual BERT)</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_Toc239878772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9</w:t>
            </w:r>
            <w:r w:rsidRPr="00E0273F">
              <w:rPr>
                <w:rFonts w:ascii="Verdana" w:hAnsi="Verdana"/>
                <w:noProof/>
              </w:rPr>
              <w:fldChar w:fldCharType="end"/>
            </w:r>
          </w:hyperlink>
        </w:p>
        <w:p w14:paraId="50A906AA" w14:textId="01CA4371" w:rsidR="004F0450" w:rsidRPr="00E0273F" w:rsidRDefault="004F0450">
          <w:pPr>
            <w:pStyle w:val="TDC2"/>
            <w:tabs>
              <w:tab w:val="right" w:leader="dot" w:pos="9016"/>
            </w:tabs>
            <w:rPr>
              <w:rFonts w:ascii="Verdana" w:hAnsi="Verdana"/>
              <w:noProof/>
            </w:rPr>
          </w:pPr>
          <w:hyperlink w:anchor="_Toc239878773" w:history="1">
            <w:r w:rsidRPr="00E0273F">
              <w:rPr>
                <w:rStyle w:val="Hipervnculo"/>
                <w:rFonts w:ascii="Verdana" w:hAnsi="Verdana"/>
                <w:b/>
                <w:bCs/>
                <w:noProof/>
              </w:rPr>
              <w:t>4.2. Detección de tópicos y extracción de aspectos (BERTopic y pyabsa)</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_Toc239878773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10</w:t>
            </w:r>
            <w:r w:rsidRPr="00E0273F">
              <w:rPr>
                <w:rFonts w:ascii="Verdana" w:hAnsi="Verdana"/>
                <w:noProof/>
              </w:rPr>
              <w:fldChar w:fldCharType="end"/>
            </w:r>
          </w:hyperlink>
        </w:p>
        <w:p w14:paraId="7F71802B" w14:textId="11BB12CB" w:rsidR="004F0450" w:rsidRPr="00E0273F" w:rsidRDefault="004F0450">
          <w:pPr>
            <w:pStyle w:val="TDC2"/>
            <w:tabs>
              <w:tab w:val="right" w:leader="dot" w:pos="9016"/>
            </w:tabs>
            <w:rPr>
              <w:rFonts w:ascii="Verdana" w:hAnsi="Verdana"/>
              <w:noProof/>
            </w:rPr>
          </w:pPr>
          <w:hyperlink w:anchor="_Toc239878774" w:history="1">
            <w:r w:rsidRPr="00E0273F">
              <w:rPr>
                <w:rStyle w:val="Hipervnculo"/>
                <w:rFonts w:ascii="Verdana" w:hAnsi="Verdana"/>
                <w:b/>
                <w:bCs/>
                <w:noProof/>
              </w:rPr>
              <w:t>4.3. Monitorización ambiental por satélite (NDVI, NDBI, noches VIIRS)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_Toc239878774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10</w:t>
            </w:r>
            <w:r w:rsidRPr="00E0273F">
              <w:rPr>
                <w:rFonts w:ascii="Verdana" w:hAnsi="Verdana"/>
                <w:noProof/>
              </w:rPr>
              <w:fldChar w:fldCharType="end"/>
            </w:r>
          </w:hyperlink>
        </w:p>
        <w:p w14:paraId="404EFEB6" w14:textId="552EB0C5" w:rsidR="004F0450" w:rsidRPr="00E0273F" w:rsidRDefault="004F0450">
          <w:pPr>
            <w:pStyle w:val="TDC2"/>
            <w:tabs>
              <w:tab w:val="right" w:leader="dot" w:pos="9016"/>
            </w:tabs>
            <w:rPr>
              <w:rFonts w:ascii="Verdana" w:hAnsi="Verdana"/>
              <w:noProof/>
            </w:rPr>
          </w:pPr>
          <w:hyperlink w:anchor="_Toc239878775" w:history="1">
            <w:r w:rsidRPr="00E0273F">
              <w:rPr>
                <w:rStyle w:val="Hipervnculo"/>
                <w:rFonts w:ascii="Verdana" w:hAnsi="Verdana"/>
                <w:b/>
                <w:bCs/>
                <w:noProof/>
              </w:rPr>
              <w:t>4.4. Detección de aglomeraciones (clustering HDBSCAN)</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_Toc239878775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11</w:t>
            </w:r>
            <w:r w:rsidRPr="00E0273F">
              <w:rPr>
                <w:rFonts w:ascii="Verdana" w:hAnsi="Verdana"/>
                <w:noProof/>
              </w:rPr>
              <w:fldChar w:fldCharType="end"/>
            </w:r>
          </w:hyperlink>
        </w:p>
        <w:p w14:paraId="318E6728" w14:textId="6BE2C995" w:rsidR="004F0450" w:rsidRPr="00E0273F" w:rsidRDefault="004F0450">
          <w:pPr>
            <w:pStyle w:val="TDC2"/>
            <w:tabs>
              <w:tab w:val="right" w:leader="dot" w:pos="9016"/>
            </w:tabs>
            <w:rPr>
              <w:rFonts w:ascii="Verdana" w:hAnsi="Verdana"/>
              <w:noProof/>
            </w:rPr>
          </w:pPr>
          <w:hyperlink w:anchor="_Toc239878776" w:history="1">
            <w:r w:rsidRPr="00E0273F">
              <w:rPr>
                <w:rStyle w:val="Hipervnculo"/>
                <w:rFonts w:ascii="Verdana" w:hAnsi="Verdana"/>
                <w:b/>
                <w:bCs/>
                <w:noProof/>
              </w:rPr>
              <w:t>4.5. Modelado de accesibilidad (isócronas con OpenRouteService / pgRouting)</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_Toc239878776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11</w:t>
            </w:r>
            <w:r w:rsidRPr="00E0273F">
              <w:rPr>
                <w:rFonts w:ascii="Verdana" w:hAnsi="Verdana"/>
                <w:noProof/>
              </w:rPr>
              <w:fldChar w:fldCharType="end"/>
            </w:r>
          </w:hyperlink>
        </w:p>
        <w:p w14:paraId="3F18379B" w14:textId="4D5240DA" w:rsidR="004F0450" w:rsidRPr="00E0273F" w:rsidRDefault="004F0450">
          <w:pPr>
            <w:pStyle w:val="TDC2"/>
            <w:tabs>
              <w:tab w:val="right" w:leader="dot" w:pos="9016"/>
            </w:tabs>
            <w:rPr>
              <w:rFonts w:ascii="Verdana" w:hAnsi="Verdana"/>
              <w:noProof/>
            </w:rPr>
          </w:pPr>
          <w:hyperlink w:anchor="_Toc239878777" w:history="1">
            <w:r w:rsidRPr="00E0273F">
              <w:rPr>
                <w:rStyle w:val="Hipervnculo"/>
                <w:rFonts w:ascii="Verdana" w:hAnsi="Verdana"/>
                <w:b/>
                <w:bCs/>
                <w:noProof/>
              </w:rPr>
              <w:t>4.6. Factores de éxito local (regresión MGWR)</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_Toc239878777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11</w:t>
            </w:r>
            <w:r w:rsidRPr="00E0273F">
              <w:rPr>
                <w:rFonts w:ascii="Verdana" w:hAnsi="Verdana"/>
                <w:noProof/>
              </w:rPr>
              <w:fldChar w:fldCharType="end"/>
            </w:r>
          </w:hyperlink>
        </w:p>
        <w:p w14:paraId="1F1A197D" w14:textId="6DBEDE32" w:rsidR="004F0450" w:rsidRPr="00E0273F" w:rsidRDefault="004F0450">
          <w:pPr>
            <w:pStyle w:val="TDC1"/>
            <w:tabs>
              <w:tab w:val="right" w:leader="dot" w:pos="9016"/>
            </w:tabs>
            <w:rPr>
              <w:rFonts w:ascii="Verdana" w:hAnsi="Verdana"/>
              <w:noProof/>
            </w:rPr>
          </w:pPr>
          <w:hyperlink w:anchor="_Toc239878778" w:history="1">
            <w:r w:rsidRPr="00E0273F">
              <w:rPr>
                <w:rStyle w:val="Hipervnculo"/>
                <w:rFonts w:ascii="Verdana" w:hAnsi="Verdana"/>
                <w:b/>
                <w:bCs/>
                <w:noProof/>
              </w:rPr>
              <w:t>5. Integración de inteligencia artificial generativa (LLM)</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_Toc239878778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11</w:t>
            </w:r>
            <w:r w:rsidRPr="00E0273F">
              <w:rPr>
                <w:rFonts w:ascii="Verdana" w:hAnsi="Verdana"/>
                <w:noProof/>
              </w:rPr>
              <w:fldChar w:fldCharType="end"/>
            </w:r>
          </w:hyperlink>
        </w:p>
        <w:p w14:paraId="4750A4A1" w14:textId="2EE12B7D" w:rsidR="004F0450" w:rsidRPr="00E0273F" w:rsidRDefault="004F0450">
          <w:pPr>
            <w:pStyle w:val="TDC2"/>
            <w:tabs>
              <w:tab w:val="right" w:leader="dot" w:pos="9016"/>
            </w:tabs>
            <w:rPr>
              <w:rFonts w:ascii="Verdana" w:hAnsi="Verdana"/>
              <w:noProof/>
            </w:rPr>
          </w:pPr>
          <w:hyperlink w:anchor="_Toc239878779" w:history="1">
            <w:r w:rsidRPr="00E0273F">
              <w:rPr>
                <w:rStyle w:val="Hipervnculo"/>
                <w:rFonts w:ascii="Verdana" w:hAnsi="Verdana"/>
                <w:b/>
                <w:bCs/>
                <w:noProof/>
              </w:rPr>
              <w:t>5.1. Generación de informes narrativos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_Toc239878779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11</w:t>
            </w:r>
            <w:r w:rsidRPr="00E0273F">
              <w:rPr>
                <w:rFonts w:ascii="Verdana" w:hAnsi="Verdana"/>
                <w:noProof/>
              </w:rPr>
              <w:fldChar w:fldCharType="end"/>
            </w:r>
          </w:hyperlink>
        </w:p>
        <w:p w14:paraId="7BC8949E" w14:textId="447F80B5" w:rsidR="004F0450" w:rsidRPr="00E0273F" w:rsidRDefault="004F0450">
          <w:pPr>
            <w:pStyle w:val="TDC2"/>
            <w:tabs>
              <w:tab w:val="right" w:leader="dot" w:pos="9016"/>
            </w:tabs>
            <w:rPr>
              <w:rFonts w:ascii="Verdana" w:hAnsi="Verdana"/>
              <w:noProof/>
            </w:rPr>
          </w:pPr>
          <w:hyperlink w:anchor="_Toc239878780" w:history="1">
            <w:r w:rsidRPr="00E0273F">
              <w:rPr>
                <w:rStyle w:val="Hipervnculo"/>
                <w:rFonts w:ascii="Verdana" w:hAnsi="Verdana"/>
                <w:b/>
                <w:bCs/>
                <w:noProof/>
              </w:rPr>
              <w:t>5.2. Agente conversacional (</w:t>
            </w:r>
            <w:r w:rsidRPr="00E0273F">
              <w:rPr>
                <w:rStyle w:val="Hipervnculo"/>
                <w:rFonts w:ascii="Verdana" w:hAnsi="Verdana"/>
                <w:b/>
                <w:bCs/>
                <w:i/>
                <w:iCs/>
                <w:noProof/>
              </w:rPr>
              <w:t>Text-to-SQL</w:t>
            </w:r>
            <w:r w:rsidRPr="00E0273F">
              <w:rPr>
                <w:rStyle w:val="Hipervnculo"/>
                <w:rFonts w:ascii="Verdana" w:hAnsi="Verdana"/>
                <w:b/>
                <w:bCs/>
                <w:noProof/>
              </w:rPr>
              <w:t>)</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_Toc239878780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58FA7353" w14:textId="53AA51D3" w:rsidR="004F0450" w:rsidRPr="00E0273F" w:rsidRDefault="004F0450">
          <w:pPr>
            <w:pStyle w:val="TDC1"/>
            <w:tabs>
              <w:tab w:val="right" w:leader="dot" w:pos="9016"/>
            </w:tabs>
            <w:rPr>
              <w:rFonts w:ascii="Verdana" w:hAnsi="Verdana"/>
              <w:noProof/>
            </w:rPr>
          </w:pPr>
          <w:hyperlink w:anchor="_Toc239878781" w:history="1">
            <w:r w:rsidRPr="00E0273F">
              <w:rPr>
                <w:rStyle w:val="Hipervnculo"/>
                <w:rFonts w:ascii="Verdana" w:hAnsi="Verdana"/>
                <w:b/>
                <w:bCs/>
                <w:noProof/>
              </w:rPr>
              <w:t>6. Productivización: tablero visual y simulador de decisiones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_Toc239878781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1B270FCC" w14:textId="75835791" w:rsidR="004F0450" w:rsidRPr="00E0273F" w:rsidRDefault="004F0450">
          <w:pPr>
            <w:pStyle w:val="TDC2"/>
            <w:tabs>
              <w:tab w:val="right" w:leader="dot" w:pos="9016"/>
            </w:tabs>
            <w:rPr>
              <w:rFonts w:ascii="Verdana" w:hAnsi="Verdana"/>
              <w:noProof/>
            </w:rPr>
          </w:pPr>
          <w:hyperlink w:anchor="_Toc239878782" w:history="1">
            <w:r w:rsidRPr="00E0273F">
              <w:rPr>
                <w:rStyle w:val="Hipervnculo"/>
                <w:rFonts w:ascii="Verdana" w:hAnsi="Verdana"/>
                <w:b/>
                <w:bCs/>
                <w:noProof/>
              </w:rPr>
              <w:t>6.1. KPIs estratégicos de negocio</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_Toc239878782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4495B404" w14:textId="411BDD6C" w:rsidR="004F0450" w:rsidRPr="00E0273F" w:rsidRDefault="004F0450">
          <w:pPr>
            <w:pStyle w:val="TDC2"/>
            <w:tabs>
              <w:tab w:val="right" w:leader="dot" w:pos="9016"/>
            </w:tabs>
            <w:rPr>
              <w:rFonts w:ascii="Verdana" w:hAnsi="Verdana"/>
              <w:noProof/>
            </w:rPr>
          </w:pPr>
          <w:hyperlink w:anchor="_Toc239878783" w:history="1">
            <w:r w:rsidRPr="00E0273F">
              <w:rPr>
                <w:rStyle w:val="Hipervnculo"/>
                <w:rFonts w:ascii="Verdana" w:hAnsi="Verdana"/>
                <w:b/>
                <w:bCs/>
                <w:noProof/>
              </w:rPr>
              <w:t xml:space="preserve">6.2. </w:t>
            </w:r>
            <w:r w:rsidRPr="00E0273F">
              <w:rPr>
                <w:rStyle w:val="Hipervnculo"/>
                <w:rFonts w:ascii="Verdana" w:hAnsi="Verdana"/>
                <w:b/>
                <w:bCs/>
                <w:i/>
                <w:iCs/>
                <w:noProof/>
              </w:rPr>
              <w:t>Frontend</w:t>
            </w:r>
            <w:r w:rsidRPr="00E0273F">
              <w:rPr>
                <w:rStyle w:val="Hipervnculo"/>
                <w:rFonts w:ascii="Verdana" w:hAnsi="Verdana"/>
                <w:b/>
                <w:bCs/>
                <w:noProof/>
              </w:rPr>
              <w:t xml:space="preserve"> en Streamlit con renderizado acelerado</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_Toc239878783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3E27CC0E" w14:textId="56B6A330" w:rsidR="004F0450" w:rsidRPr="00E0273F" w:rsidRDefault="004F0450">
          <w:pPr>
            <w:pStyle w:val="TDC2"/>
            <w:tabs>
              <w:tab w:val="right" w:leader="dot" w:pos="9016"/>
            </w:tabs>
            <w:rPr>
              <w:rFonts w:ascii="Verdana" w:hAnsi="Verdana"/>
              <w:noProof/>
            </w:rPr>
          </w:pPr>
          <w:hyperlink w:anchor="_Toc239878784" w:history="1">
            <w:r w:rsidRPr="00E0273F">
              <w:rPr>
                <w:rStyle w:val="Hipervnculo"/>
                <w:rFonts w:ascii="Verdana" w:hAnsi="Verdana"/>
                <w:b/>
                <w:bCs/>
                <w:noProof/>
              </w:rPr>
              <w:t>6.3. Mapeo de calor y congestión mediante indexación H3</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_Toc239878784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17CBFD52" w14:textId="7479470E" w:rsidR="004F0450" w:rsidRPr="00E0273F" w:rsidRDefault="004F0450">
          <w:pPr>
            <w:pStyle w:val="TDC2"/>
            <w:tabs>
              <w:tab w:val="right" w:leader="dot" w:pos="9016"/>
            </w:tabs>
            <w:rPr>
              <w:rFonts w:ascii="Verdana" w:hAnsi="Verdana"/>
              <w:noProof/>
            </w:rPr>
          </w:pPr>
          <w:hyperlink w:anchor="_Toc239878785" w:history="1">
            <w:r w:rsidRPr="00E0273F">
              <w:rPr>
                <w:rStyle w:val="Hipervnculo"/>
                <w:rFonts w:ascii="Verdana" w:hAnsi="Verdana"/>
                <w:b/>
                <w:bCs/>
                <w:noProof/>
              </w:rPr>
              <w:t xml:space="preserve">6.4. Motor de </w:t>
            </w:r>
            <w:r w:rsidRPr="00E0273F">
              <w:rPr>
                <w:rStyle w:val="Hipervnculo"/>
                <w:rFonts w:ascii="Verdana" w:hAnsi="Verdana"/>
                <w:b/>
                <w:bCs/>
                <w:i/>
                <w:iCs/>
                <w:noProof/>
              </w:rPr>
              <w:t>insights</w:t>
            </w:r>
            <w:r w:rsidRPr="00E0273F">
              <w:rPr>
                <w:rStyle w:val="Hipervnculo"/>
                <w:rFonts w:ascii="Verdana" w:hAnsi="Verdana"/>
                <w:b/>
                <w:bCs/>
                <w:noProof/>
              </w:rPr>
              <w:t xml:space="preserve"> con IA generativa</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_Toc239878785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07C1EA2A" w14:textId="22F65C52" w:rsidR="004F0450" w:rsidRPr="00E0273F" w:rsidRDefault="004F0450">
          <w:pPr>
            <w:pStyle w:val="TDC2"/>
            <w:tabs>
              <w:tab w:val="right" w:leader="dot" w:pos="9016"/>
            </w:tabs>
            <w:rPr>
              <w:rFonts w:ascii="Verdana" w:hAnsi="Verdana"/>
              <w:noProof/>
            </w:rPr>
          </w:pPr>
          <w:hyperlink w:anchor="_Toc239878786" w:history="1">
            <w:r w:rsidRPr="00E0273F">
              <w:rPr>
                <w:rStyle w:val="Hipervnculo"/>
                <w:rFonts w:ascii="Verdana" w:hAnsi="Verdana"/>
                <w:b/>
                <w:bCs/>
                <w:noProof/>
              </w:rPr>
              <w:t>6.5. Simulador de escenarios gravitatorios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_Toc239878786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354109A7" w14:textId="2241254F" w:rsidR="004F0450" w:rsidRPr="00E0273F" w:rsidRDefault="004F0450">
          <w:pPr>
            <w:pStyle w:val="TDC2"/>
            <w:tabs>
              <w:tab w:val="right" w:leader="dot" w:pos="9016"/>
            </w:tabs>
            <w:rPr>
              <w:rFonts w:ascii="Verdana" w:hAnsi="Verdana"/>
              <w:noProof/>
            </w:rPr>
          </w:pPr>
          <w:hyperlink w:anchor="_Toc239878787" w:history="1">
            <w:r w:rsidRPr="00E0273F">
              <w:rPr>
                <w:rStyle w:val="Hipervnculo"/>
                <w:rFonts w:ascii="Verdana" w:hAnsi="Verdana"/>
                <w:b/>
                <w:bCs/>
                <w:noProof/>
              </w:rPr>
              <w:t>6.6. Alertas parametrizadas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_Toc239878787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1B1C0E95" w14:textId="317D6D2C" w:rsidR="004F0450" w:rsidRPr="00E0273F" w:rsidRDefault="004F0450">
          <w:pPr>
            <w:pStyle w:val="TDC1"/>
            <w:tabs>
              <w:tab w:val="right" w:leader="dot" w:pos="9016"/>
            </w:tabs>
            <w:rPr>
              <w:rFonts w:ascii="Verdana" w:hAnsi="Verdana"/>
              <w:noProof/>
            </w:rPr>
          </w:pPr>
          <w:hyperlink w:anchor="_Toc239878788" w:history="1">
            <w:r w:rsidRPr="00E0273F">
              <w:rPr>
                <w:rStyle w:val="Hipervnculo"/>
                <w:rFonts w:ascii="Verdana" w:hAnsi="Verdana"/>
                <w:b/>
                <w:bCs/>
                <w:noProof/>
              </w:rPr>
              <w:t>7. Pruebas, validación y documentación</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_Toc239878788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1E682579" w14:textId="1CE78777" w:rsidR="004F0450" w:rsidRPr="00E0273F" w:rsidRDefault="004F0450">
          <w:pPr>
            <w:pStyle w:val="TDC2"/>
            <w:tabs>
              <w:tab w:val="right" w:leader="dot" w:pos="9016"/>
            </w:tabs>
            <w:rPr>
              <w:rFonts w:ascii="Verdana" w:hAnsi="Verdana"/>
              <w:noProof/>
            </w:rPr>
          </w:pPr>
          <w:hyperlink w:anchor="_Toc239878789" w:history="1">
            <w:r w:rsidRPr="00E0273F">
              <w:rPr>
                <w:rStyle w:val="Hipervnculo"/>
                <w:rFonts w:ascii="Verdana" w:hAnsi="Verdana"/>
                <w:b/>
                <w:bCs/>
                <w:noProof/>
              </w:rPr>
              <w:t>7.1. Depuración y pruebas de estrés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_Toc239878789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1C726767" w14:textId="56AF9AC1" w:rsidR="004F0450" w:rsidRPr="00E0273F" w:rsidRDefault="004F0450">
          <w:pPr>
            <w:pStyle w:val="TDC2"/>
            <w:tabs>
              <w:tab w:val="right" w:leader="dot" w:pos="9016"/>
            </w:tabs>
            <w:rPr>
              <w:rFonts w:ascii="Verdana" w:hAnsi="Verdana"/>
              <w:noProof/>
            </w:rPr>
          </w:pPr>
          <w:hyperlink w:anchor="_Toc239878790" w:history="1">
            <w:r w:rsidRPr="00E0273F">
              <w:rPr>
                <w:rStyle w:val="Hipervnculo"/>
                <w:rFonts w:ascii="Verdana" w:hAnsi="Verdana"/>
                <w:b/>
                <w:bCs/>
                <w:noProof/>
              </w:rPr>
              <w:t>7.2. Análisis empírico de resultados territoriales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_Toc239878790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6BF5A917" w14:textId="46BAE27C" w:rsidR="004F0450" w:rsidRPr="00E0273F" w:rsidRDefault="004F0450">
          <w:pPr>
            <w:pStyle w:val="TDC2"/>
            <w:tabs>
              <w:tab w:val="right" w:leader="dot" w:pos="9016"/>
            </w:tabs>
            <w:rPr>
              <w:rFonts w:ascii="Verdana" w:hAnsi="Verdana"/>
              <w:noProof/>
            </w:rPr>
          </w:pPr>
          <w:hyperlink w:anchor="_Toc239878791" w:history="1">
            <w:r w:rsidRPr="00E0273F">
              <w:rPr>
                <w:rStyle w:val="Hipervnculo"/>
                <w:rFonts w:ascii="Verdana" w:hAnsi="Verdana"/>
                <w:b/>
                <w:bCs/>
                <w:noProof/>
              </w:rPr>
              <w:t>7.3. Redacción científica y empaquetado del TFM</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_Toc239878791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12</w:t>
            </w:r>
            <w:r w:rsidRPr="00E0273F">
              <w:rPr>
                <w:rFonts w:ascii="Verdana" w:hAnsi="Verdana"/>
                <w:noProof/>
              </w:rPr>
              <w:fldChar w:fldCharType="end"/>
            </w:r>
          </w:hyperlink>
        </w:p>
        <w:p w14:paraId="4A64CCEB" w14:textId="4126EB41" w:rsidR="004F0450" w:rsidRPr="00E0273F" w:rsidRDefault="004F0450">
          <w:pPr>
            <w:pStyle w:val="TDC1"/>
            <w:tabs>
              <w:tab w:val="right" w:leader="dot" w:pos="9016"/>
            </w:tabs>
            <w:rPr>
              <w:rFonts w:ascii="Verdana" w:hAnsi="Verdana"/>
              <w:noProof/>
            </w:rPr>
          </w:pPr>
          <w:hyperlink w:anchor="_Toc239878792" w:history="1">
            <w:r w:rsidRPr="00E0273F">
              <w:rPr>
                <w:rStyle w:val="Hipervnculo"/>
                <w:rFonts w:ascii="Verdana" w:hAnsi="Verdana"/>
                <w:b/>
                <w:bCs/>
                <w:noProof/>
              </w:rPr>
              <w:t>Referencias bibliográficas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_Toc239878792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13</w:t>
            </w:r>
            <w:r w:rsidRPr="00E0273F">
              <w:rPr>
                <w:rFonts w:ascii="Verdana" w:hAnsi="Verdana"/>
                <w:noProof/>
              </w:rPr>
              <w:fldChar w:fldCharType="end"/>
            </w:r>
          </w:hyperlink>
        </w:p>
        <w:p w14:paraId="18162D10" w14:textId="068AFDA4" w:rsidR="004F0450" w:rsidRPr="00E0273F" w:rsidRDefault="004F0450">
          <w:pPr>
            <w:pStyle w:val="TDC1"/>
            <w:tabs>
              <w:tab w:val="right" w:leader="dot" w:pos="9016"/>
            </w:tabs>
            <w:rPr>
              <w:rFonts w:ascii="Verdana" w:hAnsi="Verdana"/>
              <w:noProof/>
            </w:rPr>
          </w:pPr>
          <w:hyperlink w:anchor="_Toc239878793" w:history="1">
            <w:r w:rsidRPr="00E0273F">
              <w:rPr>
                <w:rStyle w:val="Hipervnculo"/>
                <w:rFonts w:ascii="Verdana" w:hAnsi="Verdana"/>
                <w:b/>
                <w:bCs/>
                <w:noProof/>
              </w:rPr>
              <w:t>Anexos</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_Toc239878793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14</w:t>
            </w:r>
            <w:r w:rsidRPr="00E0273F">
              <w:rPr>
                <w:rFonts w:ascii="Verdana" w:hAnsi="Verdana"/>
                <w:noProof/>
              </w:rPr>
              <w:fldChar w:fldCharType="end"/>
            </w:r>
          </w:hyperlink>
        </w:p>
        <w:p w14:paraId="25CB828D" w14:textId="04608B80" w:rsidR="004F0450" w:rsidRPr="00E0273F" w:rsidRDefault="004F0450">
          <w:pPr>
            <w:pStyle w:val="TDC2"/>
            <w:tabs>
              <w:tab w:val="right" w:leader="dot" w:pos="9016"/>
            </w:tabs>
            <w:rPr>
              <w:rFonts w:ascii="Verdana" w:hAnsi="Verdana"/>
              <w:noProof/>
            </w:rPr>
          </w:pPr>
          <w:hyperlink w:anchor="_Toc239878794" w:history="1">
            <w:r w:rsidRPr="00E0273F">
              <w:rPr>
                <w:rStyle w:val="Hipervnculo"/>
                <w:rFonts w:ascii="Verdana" w:hAnsi="Verdana"/>
                <w:b/>
                <w:bCs/>
                <w:noProof/>
              </w:rPr>
              <w:t>Anexo A. Repositorio de código fuente</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_Toc239878794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14</w:t>
            </w:r>
            <w:r w:rsidRPr="00E0273F">
              <w:rPr>
                <w:rFonts w:ascii="Verdana" w:hAnsi="Verdana"/>
                <w:noProof/>
              </w:rPr>
              <w:fldChar w:fldCharType="end"/>
            </w:r>
          </w:hyperlink>
        </w:p>
        <w:p w14:paraId="0B5C167F" w14:textId="1E6513CD" w:rsidR="004F0450" w:rsidRPr="00E0273F" w:rsidRDefault="004F0450">
          <w:pPr>
            <w:pStyle w:val="TDC2"/>
            <w:tabs>
              <w:tab w:val="right" w:leader="dot" w:pos="9016"/>
            </w:tabs>
            <w:rPr>
              <w:rFonts w:ascii="Verdana" w:hAnsi="Verdana"/>
              <w:noProof/>
            </w:rPr>
          </w:pPr>
          <w:hyperlink w:anchor="_Toc239878795" w:history="1">
            <w:r w:rsidRPr="00E0273F">
              <w:rPr>
                <w:rStyle w:val="Hipervnculo"/>
                <w:rFonts w:ascii="Verdana" w:hAnsi="Verdana"/>
                <w:b/>
                <w:bCs/>
                <w:noProof/>
              </w:rPr>
              <w:t>Anexo B. Variables de entorno</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_Toc239878795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14</w:t>
            </w:r>
            <w:r w:rsidRPr="00E0273F">
              <w:rPr>
                <w:rFonts w:ascii="Verdana" w:hAnsi="Verdana"/>
                <w:noProof/>
              </w:rPr>
              <w:fldChar w:fldCharType="end"/>
            </w:r>
          </w:hyperlink>
        </w:p>
        <w:p w14:paraId="66D7AD3F" w14:textId="19D690EE" w:rsidR="004F0450" w:rsidRPr="00E0273F" w:rsidRDefault="004F0450">
          <w:pPr>
            <w:pStyle w:val="TDC2"/>
            <w:tabs>
              <w:tab w:val="right" w:leader="dot" w:pos="9016"/>
            </w:tabs>
            <w:rPr>
              <w:rFonts w:ascii="Verdana" w:hAnsi="Verdana"/>
              <w:noProof/>
            </w:rPr>
          </w:pPr>
          <w:hyperlink w:anchor="_Toc239878796" w:history="1">
            <w:r w:rsidRPr="00E0273F">
              <w:rPr>
                <w:rStyle w:val="Hipervnculo"/>
                <w:rFonts w:ascii="Verdana" w:hAnsi="Verdana"/>
                <w:b/>
                <w:bCs/>
                <w:noProof/>
              </w:rPr>
              <w:t>Anexo C. Esquemas SQL</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_Toc239878796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14</w:t>
            </w:r>
            <w:r w:rsidRPr="00E0273F">
              <w:rPr>
                <w:rFonts w:ascii="Verdana" w:hAnsi="Verdana"/>
                <w:noProof/>
              </w:rPr>
              <w:fldChar w:fldCharType="end"/>
            </w:r>
          </w:hyperlink>
        </w:p>
        <w:p w14:paraId="4C3076DD" w14:textId="4B07257B" w:rsidR="004F0450" w:rsidRPr="00E0273F" w:rsidRDefault="004F0450" w:rsidP="004F0450">
          <w:pPr>
            <w:pStyle w:val="TDC2"/>
            <w:tabs>
              <w:tab w:val="right" w:leader="dot" w:pos="9016"/>
            </w:tabs>
            <w:rPr>
              <w:rFonts w:ascii="Verdana" w:hAnsi="Verdana"/>
            </w:rPr>
          </w:pPr>
          <w:hyperlink w:anchor="_Toc239878797" w:history="1">
            <w:r w:rsidRPr="00E0273F">
              <w:rPr>
                <w:rStyle w:val="Hipervnculo"/>
                <w:rFonts w:ascii="Verdana" w:hAnsi="Verdana"/>
                <w:b/>
                <w:bCs/>
                <w:noProof/>
              </w:rPr>
              <w:t xml:space="preserve">Anexo D. Capturas del </w:t>
            </w:r>
            <w:r w:rsidRPr="00E0273F">
              <w:rPr>
                <w:rStyle w:val="Hipervnculo"/>
                <w:rFonts w:ascii="Verdana" w:hAnsi="Verdana"/>
                <w:b/>
                <w:bCs/>
                <w:i/>
                <w:iCs/>
                <w:noProof/>
              </w:rPr>
              <w:t>dashboard</w:t>
            </w:r>
            <w:r w:rsidRPr="00E0273F">
              <w:rPr>
                <w:rFonts w:ascii="Verdana" w:hAnsi="Verdana"/>
                <w:noProof/>
              </w:rPr>
              <w:tab/>
            </w:r>
            <w:r w:rsidRPr="00E0273F">
              <w:rPr>
                <w:rFonts w:ascii="Verdana" w:hAnsi="Verdana"/>
                <w:noProof/>
              </w:rPr>
              <w:fldChar w:fldCharType="begin"/>
            </w:r>
            <w:r w:rsidRPr="00E0273F">
              <w:rPr>
                <w:rFonts w:ascii="Verdana" w:hAnsi="Verdana"/>
                <w:noProof/>
              </w:rPr>
              <w:instrText xml:space="preserve"> PAGEREF _Toc239878797 \h </w:instrText>
            </w:r>
            <w:r w:rsidRPr="00E0273F">
              <w:rPr>
                <w:rFonts w:ascii="Verdana" w:hAnsi="Verdana"/>
                <w:noProof/>
              </w:rPr>
            </w:r>
            <w:r w:rsidRPr="00E0273F">
              <w:rPr>
                <w:rFonts w:ascii="Verdana" w:hAnsi="Verdana"/>
                <w:noProof/>
              </w:rPr>
              <w:fldChar w:fldCharType="separate"/>
            </w:r>
            <w:r w:rsidRPr="00E0273F">
              <w:rPr>
                <w:rFonts w:ascii="Verdana" w:hAnsi="Verdana"/>
                <w:noProof/>
              </w:rPr>
              <w:t>14</w:t>
            </w:r>
            <w:r w:rsidRPr="00E0273F">
              <w:rPr>
                <w:rFonts w:ascii="Verdana" w:hAnsi="Verdana"/>
                <w:noProof/>
              </w:rPr>
              <w:fldChar w:fldCharType="end"/>
            </w:r>
          </w:hyperlink>
          <w:r w:rsidRPr="00E0273F">
            <w:rPr>
              <w:rFonts w:ascii="Verdana" w:hAnsi="Verdana"/>
            </w:rPr>
            <w:fldChar w:fldCharType="end"/>
          </w:r>
        </w:p>
      </w:sdtContent>
    </w:sdt>
    <w:p w14:paraId="569632FD" w14:textId="2D2A55F6" w:rsidR="00B21173" w:rsidRPr="00E0273F" w:rsidRDefault="00000000">
      <w:pPr>
        <w:rPr>
          <w:rFonts w:ascii="Verdana" w:hAnsi="Verdana"/>
        </w:rPr>
      </w:pPr>
      <w:r w:rsidRPr="00E0273F">
        <w:rPr>
          <w:rFonts w:ascii="Verdana" w:hAnsi="Verdana"/>
        </w:rPr>
        <w:br w:type="page"/>
      </w:r>
    </w:p>
    <w:p w14:paraId="5B2EF7CA" w14:textId="77777777" w:rsidR="00B21173" w:rsidRPr="00EB660E" w:rsidRDefault="00000000">
      <w:pPr>
        <w:pStyle w:val="Ttulo1"/>
        <w:spacing w:before="480" w:after="240"/>
        <w:rPr>
          <w:rFonts w:ascii="Verdana" w:hAnsi="Verdana"/>
          <w:color w:val="auto"/>
          <w:sz w:val="24"/>
          <w:szCs w:val="24"/>
        </w:rPr>
      </w:pPr>
      <w:bookmarkStart w:id="0" w:name="_Toc239878755"/>
      <w:r w:rsidRPr="00EB660E">
        <w:rPr>
          <w:rFonts w:ascii="Verdana" w:hAnsi="Verdana"/>
          <w:b/>
          <w:bCs/>
          <w:color w:val="auto"/>
          <w:sz w:val="24"/>
          <w:szCs w:val="24"/>
        </w:rPr>
        <w:lastRenderedPageBreak/>
        <w:t>1. Introducción y contexto de negocio</w:t>
      </w:r>
      <w:bookmarkEnd w:id="0"/>
    </w:p>
    <w:p w14:paraId="33E4DF18" w14:textId="77777777" w:rsidR="00B21173" w:rsidRPr="00EB660E" w:rsidRDefault="00000000">
      <w:pPr>
        <w:pStyle w:val="Ttulo2"/>
        <w:spacing w:before="320" w:after="160"/>
        <w:rPr>
          <w:rFonts w:ascii="Verdana" w:hAnsi="Verdana"/>
          <w:color w:val="auto"/>
          <w:sz w:val="22"/>
          <w:szCs w:val="22"/>
        </w:rPr>
      </w:pPr>
      <w:bookmarkStart w:id="1" w:name="_Toc239878756"/>
      <w:r w:rsidRPr="00EB660E">
        <w:rPr>
          <w:rFonts w:ascii="Verdana" w:hAnsi="Verdana"/>
          <w:b/>
          <w:bCs/>
          <w:color w:val="auto"/>
          <w:sz w:val="22"/>
          <w:szCs w:val="22"/>
        </w:rPr>
        <w:t>1.1. Resumen ejecutivo y alcance del proyecto</w:t>
      </w:r>
      <w:bookmarkEnd w:id="1"/>
    </w:p>
    <w:p w14:paraId="6E4F65F8" w14:textId="5C6A56D3" w:rsidR="00B21173" w:rsidRPr="00EB660E" w:rsidRDefault="00000000">
      <w:pPr>
        <w:spacing w:after="200" w:line="360" w:lineRule="auto"/>
        <w:jc w:val="both"/>
        <w:rPr>
          <w:rFonts w:ascii="Verdana" w:hAnsi="Verdana"/>
          <w:sz w:val="16"/>
          <w:szCs w:val="16"/>
        </w:rPr>
      </w:pPr>
      <w:r w:rsidRPr="00EB660E">
        <w:rPr>
          <w:rFonts w:ascii="Verdana" w:hAnsi="Verdana"/>
        </w:rPr>
        <w:t xml:space="preserve">Este trabajo </w:t>
      </w:r>
      <w:r w:rsidR="00EB660E">
        <w:rPr>
          <w:rFonts w:ascii="Verdana" w:hAnsi="Verdana"/>
        </w:rPr>
        <w:t>responde</w:t>
      </w:r>
      <w:r w:rsidRPr="00EB660E">
        <w:rPr>
          <w:rFonts w:ascii="Verdana" w:hAnsi="Verdana"/>
        </w:rPr>
        <w:t xml:space="preserve"> </w:t>
      </w:r>
      <w:r w:rsidR="00EB660E">
        <w:rPr>
          <w:rFonts w:ascii="Verdana" w:hAnsi="Verdana"/>
        </w:rPr>
        <w:t>al</w:t>
      </w:r>
      <w:r w:rsidRPr="00EB660E">
        <w:rPr>
          <w:rFonts w:ascii="Verdana" w:hAnsi="Verdana"/>
        </w:rPr>
        <w:t xml:space="preserve"> Desafío 3 que TUI Group planteó a la Universidad Complutense de Madrid: construir un </w:t>
      </w:r>
      <w:r w:rsidRPr="00EB660E">
        <w:rPr>
          <w:rFonts w:ascii="Verdana" w:hAnsi="Verdana"/>
          <w:i/>
          <w:iCs/>
        </w:rPr>
        <w:t>dashboard</w:t>
      </w:r>
      <w:r w:rsidRPr="00EB660E">
        <w:rPr>
          <w:rFonts w:ascii="Verdana" w:hAnsi="Verdana"/>
        </w:rPr>
        <w:t xml:space="preserve"> inteligente capaz de integrar, georreferenciar y analizar la oferta turística de un territorio real. Formamos un equipo de seis personas con perfiles distintos</w:t>
      </w:r>
      <w:r w:rsidR="00EE24A7">
        <w:rPr>
          <w:rFonts w:ascii="Verdana" w:hAnsi="Verdana"/>
        </w:rPr>
        <w:t xml:space="preserve">: </w:t>
      </w:r>
      <w:r w:rsidRPr="00EB660E">
        <w:rPr>
          <w:rFonts w:ascii="Verdana" w:hAnsi="Verdana"/>
        </w:rPr>
        <w:t>turismo</w:t>
      </w:r>
      <w:r w:rsidR="00CA345C">
        <w:rPr>
          <w:rFonts w:ascii="Verdana" w:hAnsi="Verdana"/>
        </w:rPr>
        <w:t xml:space="preserve"> y publicidad</w:t>
      </w:r>
      <w:r w:rsidRPr="00EB660E">
        <w:rPr>
          <w:rFonts w:ascii="Verdana" w:hAnsi="Verdana"/>
        </w:rPr>
        <w:t>, física, ciencias ambientales y economía</w:t>
      </w:r>
      <w:r w:rsidR="00EE24A7">
        <w:rPr>
          <w:rFonts w:ascii="Verdana" w:hAnsi="Verdana"/>
        </w:rPr>
        <w:t>.</w:t>
      </w:r>
      <w:r w:rsidRPr="00EB660E">
        <w:rPr>
          <w:rFonts w:ascii="Verdana" w:hAnsi="Verdana"/>
        </w:rPr>
        <w:t xml:space="preserve"> </w:t>
      </w:r>
      <w:r w:rsidR="00EE24A7">
        <w:rPr>
          <w:rFonts w:ascii="Verdana" w:hAnsi="Verdana"/>
        </w:rPr>
        <w:t>D</w:t>
      </w:r>
      <w:r w:rsidRPr="00EB660E">
        <w:rPr>
          <w:rFonts w:ascii="Verdana" w:hAnsi="Verdana"/>
        </w:rPr>
        <w:t xml:space="preserve">ecidimos centrar el trabajo en Tenerife, una isla que recibe un volumen de visitantes </w:t>
      </w:r>
      <w:r w:rsidR="00EB660E" w:rsidRPr="00EB660E">
        <w:rPr>
          <w:rFonts w:ascii="Verdana" w:hAnsi="Verdana"/>
        </w:rPr>
        <w:t>enorme,</w:t>
      </w:r>
      <w:r w:rsidRPr="00EB660E">
        <w:rPr>
          <w:rFonts w:ascii="Verdana" w:hAnsi="Verdana"/>
        </w:rPr>
        <w:t xml:space="preserve"> pero reparte esa actividad de forma muy desigual entre sus municipios.</w:t>
      </w:r>
    </w:p>
    <w:p w14:paraId="7707DB85" w14:textId="7CC5B983" w:rsidR="00B21173" w:rsidRPr="00EB660E" w:rsidRDefault="00AD667F">
      <w:pPr>
        <w:spacing w:after="200" w:line="360" w:lineRule="auto"/>
        <w:jc w:val="both"/>
        <w:rPr>
          <w:rFonts w:ascii="Verdana" w:hAnsi="Verdana"/>
          <w:sz w:val="16"/>
          <w:szCs w:val="16"/>
        </w:rPr>
      </w:pPr>
      <w:r w:rsidRPr="00AD667F">
        <w:rPr>
          <w:rFonts w:ascii="Verdana" w:hAnsi="Verdana"/>
        </w:rPr>
        <w:t>La plataforma resultante cubre todo el ciclo del dato: captura automatizada desde fuentes heterogéneas (APIs meteorológicas, transporte público, estadísticas oficiales</w:t>
      </w:r>
      <w:r w:rsidR="008A0917">
        <w:rPr>
          <w:rFonts w:ascii="Verdana" w:hAnsi="Verdana"/>
        </w:rPr>
        <w:t xml:space="preserve"> socio-económicas</w:t>
      </w:r>
      <w:r w:rsidRPr="00AD667F">
        <w:rPr>
          <w:rFonts w:ascii="Verdana" w:hAnsi="Verdana"/>
        </w:rPr>
        <w:t>, capas geoespaciales, foros y redes sociales), almacenamiento en un Data Lakehouse con arquitectura de medallón en Azure, transformación con dbt, análisis de sentimiento multilingüe y clustering espacial, y finalmente visualización en un tablero interactivo con simulación de escenarios de redistribución turística</w:t>
      </w:r>
      <w:r w:rsidR="00000000" w:rsidRPr="00EB660E">
        <w:rPr>
          <w:rFonts w:ascii="Verdana" w:hAnsi="Verdana"/>
        </w:rPr>
        <w:t>.</w:t>
      </w:r>
    </w:p>
    <w:p w14:paraId="037D640C" w14:textId="77777777" w:rsidR="00B21173" w:rsidRPr="00EB660E" w:rsidRDefault="00000000">
      <w:pPr>
        <w:pStyle w:val="Ttulo2"/>
        <w:spacing w:before="320" w:after="160"/>
        <w:rPr>
          <w:rFonts w:ascii="Verdana" w:hAnsi="Verdana"/>
          <w:color w:val="auto"/>
          <w:sz w:val="22"/>
          <w:szCs w:val="22"/>
        </w:rPr>
      </w:pPr>
      <w:bookmarkStart w:id="2" w:name="_Toc239878757"/>
      <w:r w:rsidRPr="00EB660E">
        <w:rPr>
          <w:rFonts w:ascii="Verdana" w:hAnsi="Verdana"/>
          <w:b/>
          <w:bCs/>
          <w:color w:val="auto"/>
          <w:sz w:val="22"/>
          <w:szCs w:val="22"/>
        </w:rPr>
        <w:t>1.2. El problema de negocio en Tenerife</w:t>
      </w:r>
      <w:bookmarkEnd w:id="2"/>
    </w:p>
    <w:p w14:paraId="7C73D508" w14:textId="74656CFA" w:rsidR="00B21173" w:rsidRPr="00EB660E" w:rsidRDefault="00000000">
      <w:pPr>
        <w:spacing w:after="200" w:line="360" w:lineRule="auto"/>
        <w:jc w:val="both"/>
        <w:rPr>
          <w:rFonts w:ascii="Verdana" w:hAnsi="Verdana"/>
          <w:sz w:val="16"/>
          <w:szCs w:val="16"/>
        </w:rPr>
      </w:pPr>
      <w:r w:rsidRPr="00EB660E">
        <w:rPr>
          <w:rFonts w:ascii="Verdana" w:hAnsi="Verdana"/>
        </w:rPr>
        <w:t xml:space="preserve">En 2024 Tenerife recibió 7,2 millones de turistas internacionales, un 12 % más que el año anterior (ISTAC, 2025), y el sector turístico representa ya cerca del 35 % del PIB canario (Gobierno de Canarias, 2024). Son cifras que convierten a la isla en un ejemplo muy claro de lo que significa depender del turismo. El problema, sin embargo, no es tanto el volumen en sí como su distribución: la actividad se concentra en la franja costera del sur </w:t>
      </w:r>
      <w:r w:rsidR="00D81EFD">
        <w:rPr>
          <w:rFonts w:ascii="Verdana" w:hAnsi="Verdana"/>
        </w:rPr>
        <w:t>(</w:t>
      </w:r>
      <w:r w:rsidRPr="00EB660E">
        <w:rPr>
          <w:rFonts w:ascii="Verdana" w:hAnsi="Verdana"/>
        </w:rPr>
        <w:t>Adeje, Arona, Granadilla de Abona</w:t>
      </w:r>
      <w:r w:rsidR="00D81EFD">
        <w:rPr>
          <w:rFonts w:ascii="Verdana" w:hAnsi="Verdana"/>
        </w:rPr>
        <w:t>)</w:t>
      </w:r>
      <w:r w:rsidRPr="00EB660E">
        <w:rPr>
          <w:rFonts w:ascii="Verdana" w:hAnsi="Verdana"/>
        </w:rPr>
        <w:t xml:space="preserve"> y eso genera una situación de </w:t>
      </w:r>
      <w:r w:rsidRPr="00EB660E">
        <w:rPr>
          <w:rFonts w:ascii="Verdana" w:hAnsi="Verdana"/>
          <w:i/>
          <w:iCs/>
        </w:rPr>
        <w:t>overtourism</w:t>
      </w:r>
      <w:r w:rsidRPr="00EB660E">
        <w:rPr>
          <w:rFonts w:ascii="Verdana" w:hAnsi="Verdana"/>
        </w:rPr>
        <w:t xml:space="preserve"> (Milano et al., 2019) que presiona las infraestructuras, los recursos hídricos y el mercado inmobiliario. Las cerca de </w:t>
      </w:r>
      <w:r w:rsidRPr="0089711E">
        <w:rPr>
          <w:rFonts w:ascii="Verdana" w:hAnsi="Verdana"/>
          <w:highlight w:val="yellow"/>
        </w:rPr>
        <w:t>27.500</w:t>
      </w:r>
      <w:r w:rsidRPr="00EB660E">
        <w:rPr>
          <w:rFonts w:ascii="Verdana" w:hAnsi="Verdana"/>
        </w:rPr>
        <w:t xml:space="preserve"> viviendas vacacionales registradas a finales de 2024 (Turismo de Tenerife, 2025) no ayudan precisamente a rebajar la tensión, y ese malestar social se ha traducido en protestas bajo el lema «Canarias tiene un límite».</w:t>
      </w:r>
    </w:p>
    <w:p w14:paraId="02C08859" w14:textId="77777777" w:rsidR="00B21173" w:rsidRPr="00EB660E" w:rsidRDefault="00000000">
      <w:pPr>
        <w:spacing w:after="200" w:line="360" w:lineRule="auto"/>
        <w:jc w:val="both"/>
        <w:rPr>
          <w:rFonts w:ascii="Verdana" w:hAnsi="Verdana"/>
          <w:sz w:val="16"/>
          <w:szCs w:val="16"/>
        </w:rPr>
      </w:pPr>
      <w:r w:rsidRPr="00EB660E">
        <w:rPr>
          <w:rFonts w:ascii="Verdana" w:hAnsi="Verdana"/>
        </w:rPr>
        <w:t>Mientras tanto, municipios del interior y del norte —Buenavista del Norte, Icod de los Vinos, La Orotava, Vilaflor de Chasna— cuentan con activos culturales y paisajísticos que apenas reciben visitantes. Redirigir parte de ese flujo turístico aliviaría la presión en la costa, ayudaría a frenar la despoblación rural y diversificaría la oferta del destino (Turismo de Canarias, 2025). Pero para que esa redistribución se apoye en evidencia real y no en intuiciones, hacen falta datos cruzados, georreferenciados y convertidos en indicadores que realmente se puedan usar. Ese es precisamente el objetivo de este proyecto.</w:t>
      </w:r>
    </w:p>
    <w:p w14:paraId="2F3B7C4D" w14:textId="77777777" w:rsidR="00B21173" w:rsidRPr="00EB660E" w:rsidRDefault="00000000">
      <w:pPr>
        <w:pStyle w:val="Ttulo2"/>
        <w:spacing w:before="320" w:after="160"/>
        <w:rPr>
          <w:rFonts w:ascii="Verdana" w:hAnsi="Verdana"/>
          <w:color w:val="auto"/>
          <w:sz w:val="22"/>
          <w:szCs w:val="22"/>
        </w:rPr>
      </w:pPr>
      <w:bookmarkStart w:id="3" w:name="_Toc239878758"/>
      <w:r w:rsidRPr="00EB660E">
        <w:rPr>
          <w:rFonts w:ascii="Verdana" w:hAnsi="Verdana"/>
          <w:b/>
          <w:bCs/>
          <w:color w:val="auto"/>
          <w:sz w:val="22"/>
          <w:szCs w:val="22"/>
        </w:rPr>
        <w:t>1.3. Objetivos generales y específicos</w:t>
      </w:r>
      <w:bookmarkEnd w:id="3"/>
    </w:p>
    <w:p w14:paraId="181C51C5" w14:textId="77777777" w:rsidR="00B21173" w:rsidRPr="00EB660E" w:rsidRDefault="00000000">
      <w:pPr>
        <w:spacing w:after="200" w:line="360" w:lineRule="auto"/>
        <w:jc w:val="both"/>
        <w:rPr>
          <w:rFonts w:ascii="Verdana" w:hAnsi="Verdana"/>
          <w:sz w:val="16"/>
          <w:szCs w:val="16"/>
        </w:rPr>
      </w:pPr>
      <w:r w:rsidRPr="00EB660E">
        <w:rPr>
          <w:rFonts w:ascii="Verdana" w:hAnsi="Verdana"/>
          <w:b/>
          <w:bCs/>
        </w:rPr>
        <w:lastRenderedPageBreak/>
        <w:t xml:space="preserve">Objetivo general: </w:t>
      </w:r>
      <w:r w:rsidRPr="00EB660E">
        <w:rPr>
          <w:rFonts w:ascii="Verdana" w:hAnsi="Verdana"/>
        </w:rPr>
        <w:t>diseñar una plataforma de inteligencia territorial que reúna los datos turísticos de Tenerife, los georreferencie y los convierta en KPIs accionables para la planificación, la inversión y la gestión de los flujos del destino.</w:t>
      </w:r>
    </w:p>
    <w:p w14:paraId="1179BB1A" w14:textId="77777777" w:rsidR="00B21173" w:rsidRPr="00EB660E" w:rsidRDefault="00000000">
      <w:pPr>
        <w:spacing w:after="200" w:line="360" w:lineRule="auto"/>
        <w:jc w:val="both"/>
        <w:rPr>
          <w:rFonts w:ascii="Verdana" w:hAnsi="Verdana"/>
          <w:sz w:val="16"/>
          <w:szCs w:val="16"/>
        </w:rPr>
      </w:pPr>
      <w:r w:rsidRPr="00EB660E">
        <w:rPr>
          <w:rFonts w:ascii="Verdana" w:hAnsi="Verdana"/>
        </w:rPr>
        <w:t>A partir de ahí, el trabajo se concreta en siete objetivos específicos:</w:t>
      </w:r>
    </w:p>
    <w:p w14:paraId="060B8155" w14:textId="75353642" w:rsidR="00B21173" w:rsidRPr="00EB660E" w:rsidRDefault="00000000" w:rsidP="000C3320">
      <w:pPr>
        <w:pStyle w:val="Prrafodelista"/>
        <w:numPr>
          <w:ilvl w:val="0"/>
          <w:numId w:val="1"/>
        </w:numPr>
        <w:spacing w:after="120" w:line="276" w:lineRule="auto"/>
        <w:jc w:val="both"/>
        <w:rPr>
          <w:rFonts w:ascii="Verdana" w:hAnsi="Verdana"/>
          <w:sz w:val="16"/>
          <w:szCs w:val="16"/>
        </w:rPr>
      </w:pPr>
      <w:r w:rsidRPr="00EB660E">
        <w:rPr>
          <w:rFonts w:ascii="Verdana" w:hAnsi="Verdana"/>
        </w:rPr>
        <w:t xml:space="preserve">Construir un </w:t>
      </w:r>
      <w:r w:rsidRPr="00EB660E">
        <w:rPr>
          <w:rFonts w:ascii="Verdana" w:hAnsi="Verdana"/>
          <w:i/>
          <w:iCs/>
        </w:rPr>
        <w:t>Data Lakehouse</w:t>
      </w:r>
      <w:r w:rsidRPr="00EB660E">
        <w:rPr>
          <w:rFonts w:ascii="Verdana" w:hAnsi="Verdana"/>
        </w:rPr>
        <w:t xml:space="preserve"> en Azure con arquitectura de medallón (bronce, plata, oro).</w:t>
      </w:r>
    </w:p>
    <w:p w14:paraId="026D45CA" w14:textId="5C0C5718" w:rsidR="00B21173" w:rsidRPr="00EB660E" w:rsidRDefault="00000000" w:rsidP="000C3320">
      <w:pPr>
        <w:pStyle w:val="Prrafodelista"/>
        <w:numPr>
          <w:ilvl w:val="0"/>
          <w:numId w:val="1"/>
        </w:numPr>
        <w:spacing w:after="120" w:line="276" w:lineRule="auto"/>
        <w:jc w:val="both"/>
        <w:rPr>
          <w:rFonts w:ascii="Verdana" w:hAnsi="Verdana"/>
          <w:sz w:val="16"/>
          <w:szCs w:val="16"/>
        </w:rPr>
      </w:pPr>
      <w:r w:rsidRPr="00EB660E">
        <w:rPr>
          <w:rFonts w:ascii="Verdana" w:hAnsi="Verdana"/>
        </w:rPr>
        <w:t xml:space="preserve">Automatizar </w:t>
      </w:r>
      <w:r w:rsidRPr="00EB660E">
        <w:rPr>
          <w:rFonts w:ascii="Verdana" w:hAnsi="Verdana"/>
          <w:i/>
          <w:iCs/>
        </w:rPr>
        <w:t>pipelines</w:t>
      </w:r>
      <w:r w:rsidRPr="00EB660E">
        <w:rPr>
          <w:rFonts w:ascii="Verdana" w:hAnsi="Verdana"/>
        </w:rPr>
        <w:t xml:space="preserve"> ELT con Python y dbt, garantizando linaje y reproducibilidad.</w:t>
      </w:r>
    </w:p>
    <w:p w14:paraId="351B1ACB" w14:textId="66CE2657" w:rsidR="00B21173" w:rsidRPr="00EB660E" w:rsidRDefault="00000000" w:rsidP="000C3320">
      <w:pPr>
        <w:pStyle w:val="Prrafodelista"/>
        <w:numPr>
          <w:ilvl w:val="0"/>
          <w:numId w:val="1"/>
        </w:numPr>
        <w:spacing w:after="120" w:line="276" w:lineRule="auto"/>
        <w:jc w:val="both"/>
        <w:rPr>
          <w:rFonts w:ascii="Verdana" w:hAnsi="Verdana"/>
          <w:sz w:val="16"/>
          <w:szCs w:val="16"/>
        </w:rPr>
      </w:pPr>
      <w:r w:rsidRPr="00EB660E">
        <w:rPr>
          <w:rFonts w:ascii="Verdana" w:hAnsi="Verdana"/>
        </w:rPr>
        <w:t>Diseñar un almacén espacial en PostgreSQL/PostGIS (EPSG:32628) con índices GIST.</w:t>
      </w:r>
    </w:p>
    <w:p w14:paraId="6BDFB15E" w14:textId="2045C2B8" w:rsidR="00B21173" w:rsidRPr="00EB660E" w:rsidRDefault="00000000" w:rsidP="000C3320">
      <w:pPr>
        <w:pStyle w:val="Prrafodelista"/>
        <w:numPr>
          <w:ilvl w:val="0"/>
          <w:numId w:val="1"/>
        </w:numPr>
        <w:spacing w:after="120" w:line="276" w:lineRule="auto"/>
        <w:jc w:val="both"/>
        <w:rPr>
          <w:rFonts w:ascii="Verdana" w:hAnsi="Verdana"/>
          <w:sz w:val="16"/>
          <w:szCs w:val="16"/>
        </w:rPr>
      </w:pPr>
      <w:r w:rsidRPr="00EB660E">
        <w:rPr>
          <w:rFonts w:ascii="Verdana" w:hAnsi="Verdana"/>
        </w:rPr>
        <w:t xml:space="preserve">Analizar, a modo de contexto introductorio para el </w:t>
      </w:r>
      <w:r w:rsidRPr="00EB660E">
        <w:rPr>
          <w:rFonts w:ascii="Verdana" w:hAnsi="Verdana"/>
          <w:i/>
          <w:iCs/>
        </w:rPr>
        <w:t>dashboard</w:t>
      </w:r>
      <w:r w:rsidRPr="00EB660E">
        <w:rPr>
          <w:rFonts w:ascii="Verdana" w:hAnsi="Verdana"/>
        </w:rPr>
        <w:t>, la percepción general del turista sobre Tenerife mediante NLP multilingüe.</w:t>
      </w:r>
    </w:p>
    <w:p w14:paraId="7FA448E6" w14:textId="035F81FC" w:rsidR="00B21173" w:rsidRPr="00EB660E" w:rsidRDefault="00000000" w:rsidP="000C3320">
      <w:pPr>
        <w:pStyle w:val="Prrafodelista"/>
        <w:numPr>
          <w:ilvl w:val="0"/>
          <w:numId w:val="1"/>
        </w:numPr>
        <w:spacing w:after="120" w:line="276" w:lineRule="auto"/>
        <w:jc w:val="both"/>
        <w:rPr>
          <w:rFonts w:ascii="Verdana" w:hAnsi="Verdana"/>
          <w:sz w:val="16"/>
          <w:szCs w:val="16"/>
        </w:rPr>
      </w:pPr>
      <w:r w:rsidRPr="00EB660E">
        <w:rPr>
          <w:rFonts w:ascii="Verdana" w:hAnsi="Verdana"/>
        </w:rPr>
        <w:t xml:space="preserve">Aplicar analítica espacial: </w:t>
      </w:r>
      <w:r w:rsidRPr="00EB660E">
        <w:rPr>
          <w:rFonts w:ascii="Verdana" w:hAnsi="Verdana"/>
          <w:i/>
          <w:iCs/>
        </w:rPr>
        <w:t>clustering</w:t>
      </w:r>
      <w:r w:rsidRPr="00EB660E">
        <w:rPr>
          <w:rFonts w:ascii="Verdana" w:hAnsi="Verdana"/>
        </w:rPr>
        <w:t xml:space="preserve"> HDBSCAN, isócronas de accesibilidad y regresión MGWR.</w:t>
      </w:r>
    </w:p>
    <w:p w14:paraId="5C8D932B" w14:textId="5C8C537F" w:rsidR="00B21173" w:rsidRPr="00EB660E" w:rsidRDefault="00000000" w:rsidP="000C3320">
      <w:pPr>
        <w:pStyle w:val="Prrafodelista"/>
        <w:numPr>
          <w:ilvl w:val="0"/>
          <w:numId w:val="1"/>
        </w:numPr>
        <w:spacing w:after="120" w:line="276" w:lineRule="auto"/>
        <w:jc w:val="both"/>
        <w:rPr>
          <w:rFonts w:ascii="Verdana" w:hAnsi="Verdana"/>
          <w:sz w:val="16"/>
          <w:szCs w:val="16"/>
        </w:rPr>
      </w:pPr>
      <w:r w:rsidRPr="00EB660E">
        <w:rPr>
          <w:rFonts w:ascii="Verdana" w:hAnsi="Verdana"/>
        </w:rPr>
        <w:t xml:space="preserve">Construir un </w:t>
      </w:r>
      <w:r w:rsidRPr="00EB660E">
        <w:rPr>
          <w:rFonts w:ascii="Verdana" w:hAnsi="Verdana"/>
          <w:i/>
          <w:iCs/>
        </w:rPr>
        <w:t>dashboard</w:t>
      </w:r>
      <w:r w:rsidRPr="00EB660E">
        <w:rPr>
          <w:rFonts w:ascii="Verdana" w:hAnsi="Verdana"/>
        </w:rPr>
        <w:t xml:space="preserve"> en Streamlit con mapas H3 (Uber Technologies, 2018) y un simulador gravitatorio.</w:t>
      </w:r>
    </w:p>
    <w:p w14:paraId="3E53BCF3" w14:textId="7BC5EF83" w:rsidR="00B21173" w:rsidRPr="00EB660E" w:rsidRDefault="00000000" w:rsidP="000C3320">
      <w:pPr>
        <w:pStyle w:val="Prrafodelista"/>
        <w:numPr>
          <w:ilvl w:val="0"/>
          <w:numId w:val="1"/>
        </w:numPr>
        <w:spacing w:after="120" w:line="276" w:lineRule="auto"/>
        <w:jc w:val="both"/>
        <w:rPr>
          <w:rFonts w:ascii="Verdana" w:hAnsi="Verdana"/>
          <w:sz w:val="16"/>
          <w:szCs w:val="16"/>
        </w:rPr>
      </w:pPr>
      <w:r w:rsidRPr="00EB660E">
        <w:rPr>
          <w:rFonts w:ascii="Verdana" w:hAnsi="Verdana"/>
        </w:rPr>
        <w:t xml:space="preserve">Integrar IA generativa para generar informes narrativos y un agente </w:t>
      </w:r>
      <w:r w:rsidRPr="00EB660E">
        <w:rPr>
          <w:rFonts w:ascii="Verdana" w:hAnsi="Verdana"/>
          <w:i/>
          <w:iCs/>
        </w:rPr>
        <w:t>Text-to-SQL</w:t>
      </w:r>
      <w:r w:rsidRPr="00EB660E">
        <w:rPr>
          <w:rFonts w:ascii="Verdana" w:hAnsi="Verdana"/>
        </w:rPr>
        <w:t>.</w:t>
      </w:r>
    </w:p>
    <w:p w14:paraId="2D84986F" w14:textId="77777777" w:rsidR="00B21173" w:rsidRPr="00EB660E" w:rsidRDefault="00000000">
      <w:pPr>
        <w:pStyle w:val="Ttulo2"/>
        <w:spacing w:before="320" w:after="160"/>
        <w:rPr>
          <w:rFonts w:ascii="Verdana" w:hAnsi="Verdana"/>
          <w:color w:val="auto"/>
          <w:sz w:val="22"/>
          <w:szCs w:val="22"/>
        </w:rPr>
      </w:pPr>
      <w:bookmarkStart w:id="4" w:name="_Toc239878759"/>
      <w:r w:rsidRPr="00EB660E">
        <w:rPr>
          <w:rFonts w:ascii="Verdana" w:hAnsi="Verdana"/>
          <w:b/>
          <w:bCs/>
          <w:color w:val="auto"/>
          <w:sz w:val="22"/>
          <w:szCs w:val="22"/>
        </w:rPr>
        <w:t>1.4. Preguntas estratégicas (caso TUI)</w:t>
      </w:r>
      <w:bookmarkEnd w:id="4"/>
    </w:p>
    <w:p w14:paraId="52D8B237" w14:textId="77777777" w:rsidR="00B21173" w:rsidRPr="00EB660E" w:rsidRDefault="00000000">
      <w:pPr>
        <w:spacing w:after="200" w:line="360" w:lineRule="auto"/>
        <w:jc w:val="both"/>
        <w:rPr>
          <w:rFonts w:ascii="Verdana" w:hAnsi="Verdana"/>
          <w:sz w:val="16"/>
          <w:szCs w:val="16"/>
        </w:rPr>
      </w:pPr>
      <w:r w:rsidRPr="00EB660E">
        <w:rPr>
          <w:rFonts w:ascii="Verdana" w:hAnsi="Verdana"/>
        </w:rPr>
        <w:t>El briefing de TUI plantea la analítica del proyecto alrededor de cinco preguntas:</w:t>
      </w:r>
    </w:p>
    <w:p w14:paraId="5E39C44A" w14:textId="106A4FCD" w:rsidR="00B21173" w:rsidRPr="00EB660E" w:rsidRDefault="00000000">
      <w:pPr>
        <w:pStyle w:val="Prrafodelista"/>
        <w:numPr>
          <w:ilvl w:val="0"/>
          <w:numId w:val="1"/>
        </w:numPr>
        <w:spacing w:after="120" w:line="360" w:lineRule="auto"/>
        <w:jc w:val="both"/>
        <w:rPr>
          <w:rFonts w:ascii="Verdana" w:hAnsi="Verdana"/>
          <w:sz w:val="16"/>
          <w:szCs w:val="16"/>
        </w:rPr>
      </w:pPr>
      <w:r w:rsidRPr="00EB660E">
        <w:rPr>
          <w:rFonts w:ascii="Verdana" w:hAnsi="Verdana"/>
        </w:rPr>
        <w:t>¿Dónde se concentra la oferta y qué corredores turísticos se forman?</w:t>
      </w:r>
    </w:p>
    <w:p w14:paraId="692C42B1" w14:textId="0C196908" w:rsidR="00B21173" w:rsidRPr="00EB660E" w:rsidRDefault="00000000">
      <w:pPr>
        <w:pStyle w:val="Prrafodelista"/>
        <w:numPr>
          <w:ilvl w:val="0"/>
          <w:numId w:val="1"/>
        </w:numPr>
        <w:spacing w:after="120" w:line="360" w:lineRule="auto"/>
        <w:jc w:val="both"/>
        <w:rPr>
          <w:rFonts w:ascii="Verdana" w:hAnsi="Verdana"/>
          <w:sz w:val="16"/>
          <w:szCs w:val="16"/>
        </w:rPr>
      </w:pPr>
      <w:r w:rsidRPr="00EB660E">
        <w:rPr>
          <w:rFonts w:ascii="Verdana" w:hAnsi="Verdana"/>
        </w:rPr>
        <w:t>¿Qué zonas tienen alto potencial pero baja visibilidad?</w:t>
      </w:r>
    </w:p>
    <w:p w14:paraId="62076B26" w14:textId="2970245F" w:rsidR="00B21173" w:rsidRPr="00EB660E" w:rsidRDefault="00000000">
      <w:pPr>
        <w:pStyle w:val="Prrafodelista"/>
        <w:numPr>
          <w:ilvl w:val="0"/>
          <w:numId w:val="1"/>
        </w:numPr>
        <w:spacing w:after="120" w:line="360" w:lineRule="auto"/>
        <w:jc w:val="both"/>
        <w:rPr>
          <w:rFonts w:ascii="Verdana" w:hAnsi="Verdana"/>
          <w:sz w:val="16"/>
          <w:szCs w:val="16"/>
        </w:rPr>
      </w:pPr>
      <w:r w:rsidRPr="00EB660E">
        <w:rPr>
          <w:rFonts w:ascii="Verdana" w:hAnsi="Verdana"/>
        </w:rPr>
        <w:t>¿Qué áreas muestran señales de congestión?</w:t>
      </w:r>
    </w:p>
    <w:p w14:paraId="51A66B64" w14:textId="6B93CE26" w:rsidR="00B21173" w:rsidRPr="00EB660E" w:rsidRDefault="00000000">
      <w:pPr>
        <w:pStyle w:val="Prrafodelista"/>
        <w:numPr>
          <w:ilvl w:val="0"/>
          <w:numId w:val="1"/>
        </w:numPr>
        <w:spacing w:after="120" w:line="360" w:lineRule="auto"/>
        <w:jc w:val="both"/>
        <w:rPr>
          <w:rFonts w:ascii="Verdana" w:hAnsi="Verdana"/>
          <w:sz w:val="16"/>
          <w:szCs w:val="16"/>
        </w:rPr>
      </w:pPr>
      <w:r w:rsidRPr="00EB660E">
        <w:rPr>
          <w:rFonts w:ascii="Verdana" w:hAnsi="Verdana"/>
        </w:rPr>
        <w:t>¿Cómo interactúan oferta, accesibilidad, clima y sostenibilidad?</w:t>
      </w:r>
    </w:p>
    <w:p w14:paraId="7872CC51" w14:textId="13440BDC" w:rsidR="00B21173" w:rsidRPr="00EB660E" w:rsidRDefault="00000000">
      <w:pPr>
        <w:pStyle w:val="Prrafodelista"/>
        <w:numPr>
          <w:ilvl w:val="0"/>
          <w:numId w:val="1"/>
        </w:numPr>
        <w:spacing w:after="120" w:line="360" w:lineRule="auto"/>
        <w:jc w:val="both"/>
        <w:rPr>
          <w:rFonts w:ascii="Verdana" w:hAnsi="Verdana"/>
          <w:sz w:val="16"/>
          <w:szCs w:val="16"/>
        </w:rPr>
      </w:pPr>
      <w:r w:rsidRPr="00EB660E">
        <w:rPr>
          <w:rFonts w:ascii="Verdana" w:hAnsi="Verdana"/>
        </w:rPr>
        <w:t>¿Qué escenarios de redistribución mejorarían el desempeño del destino?</w:t>
      </w:r>
    </w:p>
    <w:p w14:paraId="67153C54" w14:textId="77777777" w:rsidR="00B21173" w:rsidRPr="00EB660E" w:rsidRDefault="00000000">
      <w:pPr>
        <w:pStyle w:val="Ttulo2"/>
        <w:spacing w:before="320" w:after="160"/>
        <w:rPr>
          <w:rFonts w:ascii="Verdana" w:hAnsi="Verdana"/>
          <w:color w:val="auto"/>
          <w:sz w:val="22"/>
          <w:szCs w:val="22"/>
        </w:rPr>
      </w:pPr>
      <w:bookmarkStart w:id="5" w:name="_Toc239878760"/>
      <w:r w:rsidRPr="00EB660E">
        <w:rPr>
          <w:rFonts w:ascii="Verdana" w:hAnsi="Verdana"/>
          <w:b/>
          <w:bCs/>
          <w:color w:val="auto"/>
          <w:sz w:val="22"/>
          <w:szCs w:val="22"/>
        </w:rPr>
        <w:t>1.5. Justificación del aporte diferencial</w:t>
      </w:r>
      <w:bookmarkEnd w:id="5"/>
    </w:p>
    <w:p w14:paraId="34B85AED" w14:textId="1F544D34" w:rsidR="00B21173" w:rsidRDefault="00000000">
      <w:pPr>
        <w:spacing w:after="200" w:line="360" w:lineRule="auto"/>
        <w:jc w:val="both"/>
        <w:rPr>
          <w:rFonts w:ascii="Verdana" w:hAnsi="Verdana"/>
        </w:rPr>
      </w:pPr>
      <w:r w:rsidRPr="00EB660E">
        <w:rPr>
          <w:rFonts w:ascii="Verdana" w:hAnsi="Verdana"/>
        </w:rPr>
        <w:t xml:space="preserve">Cada pieza de esta plataforma —NLP, </w:t>
      </w:r>
      <w:r w:rsidRPr="00EB660E">
        <w:rPr>
          <w:rFonts w:ascii="Verdana" w:hAnsi="Verdana"/>
          <w:i/>
          <w:iCs/>
        </w:rPr>
        <w:t>clustering</w:t>
      </w:r>
      <w:r w:rsidRPr="00EB660E">
        <w:rPr>
          <w:rFonts w:ascii="Verdana" w:hAnsi="Verdana"/>
        </w:rPr>
        <w:t xml:space="preserve"> espacial, simulación, </w:t>
      </w:r>
      <w:r w:rsidRPr="00EB660E">
        <w:rPr>
          <w:rFonts w:ascii="Verdana" w:hAnsi="Verdana"/>
          <w:i/>
          <w:iCs/>
        </w:rPr>
        <w:t>dashboarding</w:t>
      </w:r>
      <w:r w:rsidRPr="00EB660E">
        <w:rPr>
          <w:rFonts w:ascii="Verdana" w:hAnsi="Verdana"/>
        </w:rPr>
        <w:t>— existe por separado tanto en la literatura académica como en la industria. Lo que no es tan habitual es verlas integradas en un único sistema, alimentado por datos reales y a una escala considerable: 1</w:t>
      </w:r>
      <w:r w:rsidR="00A25080" w:rsidRPr="00EB660E">
        <w:rPr>
          <w:rFonts w:ascii="Verdana" w:hAnsi="Verdana"/>
        </w:rPr>
        <w:t>2</w:t>
      </w:r>
      <w:r w:rsidRPr="00EB660E">
        <w:rPr>
          <w:rFonts w:ascii="Verdana" w:hAnsi="Verdana"/>
        </w:rPr>
        <w:t>.</w:t>
      </w:r>
      <w:r w:rsidR="00A25080" w:rsidRPr="00EB660E">
        <w:rPr>
          <w:rFonts w:ascii="Verdana" w:hAnsi="Verdana"/>
        </w:rPr>
        <w:t>95</w:t>
      </w:r>
      <w:r w:rsidRPr="00EB660E">
        <w:rPr>
          <w:rFonts w:ascii="Verdana" w:hAnsi="Verdana"/>
        </w:rPr>
        <w:t>0 mensajes de foros, 3.100 comentarios de YouTube, 2,08 millones de registros de transporte, 1,2 millones de lecturas meteorológicas y 3.893 paradas geolocalizadas. A eso se suma una dimensión geoespacial nativa (PostGIS, EPSG:32628), una arquitectura de medallón (Armbrust et al., 2021) con linaje trazable y un simulador gravitatorio de redistribución de demanda: elementos que llevan la propuesta más allá de un simple diagnóstico descriptivo.</w:t>
      </w:r>
    </w:p>
    <w:p w14:paraId="39E1AF0D" w14:textId="5472A315" w:rsidR="00006CCC" w:rsidRPr="00006CCC" w:rsidRDefault="00006CCC">
      <w:pPr>
        <w:spacing w:after="200" w:line="360" w:lineRule="auto"/>
        <w:jc w:val="both"/>
        <w:rPr>
          <w:rFonts w:ascii="Verdana" w:hAnsi="Verdana"/>
        </w:rPr>
      </w:pPr>
      <w:r w:rsidRPr="00006CCC">
        <w:rPr>
          <w:rFonts w:ascii="Verdana" w:hAnsi="Verdana"/>
        </w:rPr>
        <w:lastRenderedPageBreak/>
        <w:t xml:space="preserve">A diferencia de una solución AutoML estándar que toma los datos como una tabla plana y entrena un modelo de caja negra, este proyecto construye conocimiento territorial explicable: cada hexágono de la rejilla H3 tiene asociados decenas de indicadores que permiten entender por qué una zona funciona bien o mal, no solo predecirlo. Los modelos como HDBSCAN o MGWR son preferidos precisamente porque su resultado es interpretable para un equipo de negocio sin </w:t>
      </w:r>
      <w:r>
        <w:rPr>
          <w:rFonts w:ascii="Verdana" w:hAnsi="Verdana"/>
        </w:rPr>
        <w:t>ser ne</w:t>
      </w:r>
      <w:r w:rsidR="006440D8">
        <w:rPr>
          <w:rFonts w:ascii="Verdana" w:hAnsi="Verdana"/>
        </w:rPr>
        <w:t xml:space="preserve">cesaria una </w:t>
      </w:r>
      <w:r w:rsidRPr="00006CCC">
        <w:rPr>
          <w:rFonts w:ascii="Verdana" w:hAnsi="Verdana"/>
        </w:rPr>
        <w:t>formación técnica</w:t>
      </w:r>
      <w:r w:rsidR="006440D8">
        <w:rPr>
          <w:rFonts w:ascii="Verdana" w:hAnsi="Verdana"/>
        </w:rPr>
        <w:t>.</w:t>
      </w:r>
    </w:p>
    <w:p w14:paraId="1F850BF8" w14:textId="77777777" w:rsidR="00B21173" w:rsidRPr="00EB660E" w:rsidRDefault="00000000">
      <w:pPr>
        <w:pStyle w:val="Ttulo1"/>
        <w:spacing w:before="480" w:after="240"/>
        <w:rPr>
          <w:rFonts w:ascii="Verdana" w:hAnsi="Verdana"/>
          <w:color w:val="auto"/>
          <w:sz w:val="24"/>
          <w:szCs w:val="24"/>
        </w:rPr>
      </w:pPr>
      <w:bookmarkStart w:id="6" w:name="_Toc239878761"/>
      <w:r w:rsidRPr="00EB660E">
        <w:rPr>
          <w:rFonts w:ascii="Verdana" w:hAnsi="Verdana"/>
          <w:b/>
          <w:bCs/>
          <w:color w:val="auto"/>
          <w:sz w:val="24"/>
          <w:szCs w:val="24"/>
        </w:rPr>
        <w:t>2. Configuración de infraestructura y adquisición de datos</w:t>
      </w:r>
      <w:bookmarkEnd w:id="6"/>
    </w:p>
    <w:p w14:paraId="4E28E2B7" w14:textId="77777777" w:rsidR="00B21173" w:rsidRPr="00EB660E" w:rsidRDefault="00000000">
      <w:pPr>
        <w:pStyle w:val="Ttulo2"/>
        <w:spacing w:before="320" w:after="160"/>
        <w:rPr>
          <w:rFonts w:ascii="Verdana" w:hAnsi="Verdana"/>
          <w:color w:val="auto"/>
          <w:sz w:val="22"/>
          <w:szCs w:val="22"/>
        </w:rPr>
      </w:pPr>
      <w:bookmarkStart w:id="7" w:name="_Toc239878762"/>
      <w:r w:rsidRPr="00EB660E">
        <w:rPr>
          <w:rFonts w:ascii="Verdana" w:hAnsi="Verdana"/>
          <w:b/>
          <w:bCs/>
          <w:color w:val="auto"/>
          <w:sz w:val="22"/>
          <w:szCs w:val="22"/>
        </w:rPr>
        <w:t xml:space="preserve">2.1. Aprovisionamiento de infraestructura </w:t>
      </w:r>
      <w:r w:rsidRPr="00EB660E">
        <w:rPr>
          <w:rFonts w:ascii="Verdana" w:hAnsi="Verdana"/>
          <w:b/>
          <w:bCs/>
          <w:i/>
          <w:iCs/>
          <w:color w:val="auto"/>
          <w:sz w:val="22"/>
          <w:szCs w:val="22"/>
        </w:rPr>
        <w:t>cloud</w:t>
      </w:r>
      <w:bookmarkEnd w:id="7"/>
    </w:p>
    <w:p w14:paraId="118E541C" w14:textId="45AB88AD" w:rsidR="00B21173" w:rsidRPr="00EB660E" w:rsidRDefault="00000000">
      <w:pPr>
        <w:spacing w:after="200" w:line="360" w:lineRule="auto"/>
        <w:jc w:val="both"/>
        <w:rPr>
          <w:rFonts w:ascii="Verdana" w:hAnsi="Verdana"/>
          <w:sz w:val="16"/>
          <w:szCs w:val="16"/>
        </w:rPr>
      </w:pPr>
      <w:r w:rsidRPr="00EB660E">
        <w:rPr>
          <w:rFonts w:ascii="Verdana" w:hAnsi="Verdana"/>
        </w:rPr>
        <w:t xml:space="preserve">El proyecto empezó apoyado en Neon.tech, un PostgreSQL </w:t>
      </w:r>
      <w:r w:rsidRPr="00EB660E">
        <w:rPr>
          <w:rFonts w:ascii="Verdana" w:hAnsi="Verdana"/>
          <w:i/>
          <w:iCs/>
        </w:rPr>
        <w:t>serverless</w:t>
      </w:r>
      <w:r w:rsidRPr="00EB660E">
        <w:rPr>
          <w:rFonts w:ascii="Verdana" w:hAnsi="Verdana"/>
        </w:rPr>
        <w:t xml:space="preserve"> que nos permitió validar rápido los primeros </w:t>
      </w:r>
      <w:r w:rsidRPr="00EB660E">
        <w:rPr>
          <w:rFonts w:ascii="Verdana" w:hAnsi="Verdana"/>
          <w:i/>
          <w:iCs/>
        </w:rPr>
        <w:t>scripts</w:t>
      </w:r>
      <w:r w:rsidRPr="00EB660E">
        <w:rPr>
          <w:rFonts w:ascii="Verdana" w:hAnsi="Verdana"/>
        </w:rPr>
        <w:t xml:space="preserve"> de ingesta, las consultas PostGIS y las transformaciones de dbt. El problema llegó cuando el volumen de datos creció —sobre todo por los más de dos millones de registros de transporte y por el </w:t>
      </w:r>
      <w:r w:rsidRPr="00EB660E">
        <w:rPr>
          <w:rFonts w:ascii="Verdana" w:hAnsi="Verdana"/>
          <w:i/>
          <w:iCs/>
        </w:rPr>
        <w:t>backfill</w:t>
      </w:r>
      <w:r w:rsidRPr="00EB660E">
        <w:rPr>
          <w:rFonts w:ascii="Verdana" w:hAnsi="Verdana"/>
        </w:rPr>
        <w:t xml:space="preserve"> histórico de datos meteorológicos— y las limitaciones de espacio del plan gratuito nos </w:t>
      </w:r>
      <w:r w:rsidR="00150C11">
        <w:rPr>
          <w:rFonts w:ascii="Verdana" w:hAnsi="Verdana"/>
        </w:rPr>
        <w:t>hicieron</w:t>
      </w:r>
      <w:r w:rsidRPr="00EB660E">
        <w:rPr>
          <w:rFonts w:ascii="Verdana" w:hAnsi="Verdana"/>
        </w:rPr>
        <w:t xml:space="preserve"> migrar a Microsoft Azure (Microsoft, 2024).</w:t>
      </w:r>
    </w:p>
    <w:p w14:paraId="1C3D708B" w14:textId="55510655" w:rsidR="00B21173" w:rsidRPr="00EB660E" w:rsidRDefault="00000000">
      <w:pPr>
        <w:spacing w:after="200" w:line="360" w:lineRule="auto"/>
        <w:jc w:val="both"/>
        <w:rPr>
          <w:rFonts w:ascii="Verdana" w:hAnsi="Verdana"/>
          <w:sz w:val="16"/>
          <w:szCs w:val="16"/>
        </w:rPr>
      </w:pPr>
      <w:r w:rsidRPr="00EB660E">
        <w:rPr>
          <w:rFonts w:ascii="Verdana" w:hAnsi="Verdana"/>
        </w:rPr>
        <w:t xml:space="preserve">En Azure, la arquitectura se apoya en tres piezas: un </w:t>
      </w:r>
      <w:r w:rsidR="005D1BB2">
        <w:rPr>
          <w:rFonts w:ascii="Verdana" w:hAnsi="Verdana"/>
        </w:rPr>
        <w:t>contenedor</w:t>
      </w:r>
      <w:r w:rsidRPr="00EB660E">
        <w:rPr>
          <w:rFonts w:ascii="Verdana" w:hAnsi="Verdana"/>
        </w:rPr>
        <w:t xml:space="preserve"> (Blob Storage) donde guardamos los datos crudos en formato Parquet y GeoJSON</w:t>
      </w:r>
      <w:r w:rsidR="00617458">
        <w:rPr>
          <w:rFonts w:ascii="Verdana" w:hAnsi="Verdana"/>
        </w:rPr>
        <w:t>;</w:t>
      </w:r>
      <w:r w:rsidRPr="00EB660E">
        <w:rPr>
          <w:rFonts w:ascii="Verdana" w:hAnsi="Verdana"/>
        </w:rPr>
        <w:t xml:space="preserve"> un servidor PostgreSQL flexible con PostGIS </w:t>
      </w:r>
      <w:r w:rsidR="00150C11">
        <w:rPr>
          <w:rFonts w:ascii="Verdana" w:hAnsi="Verdana"/>
        </w:rPr>
        <w:t xml:space="preserve">y </w:t>
      </w:r>
      <w:r w:rsidRPr="00EB660E">
        <w:rPr>
          <w:rFonts w:ascii="Verdana" w:hAnsi="Verdana"/>
        </w:rPr>
        <w:t>habilitado, que alberga los esquemas bronze, silver y gold; y una máquina virtual Linux que ejecuta las ingestas programadas.</w:t>
      </w:r>
    </w:p>
    <w:p w14:paraId="7C134B13" w14:textId="615C0AA7" w:rsidR="00B21173" w:rsidRPr="00EB660E" w:rsidRDefault="00000000">
      <w:pPr>
        <w:spacing w:after="200" w:line="360" w:lineRule="auto"/>
        <w:jc w:val="both"/>
        <w:rPr>
          <w:rFonts w:ascii="Verdana" w:hAnsi="Verdana"/>
          <w:sz w:val="16"/>
          <w:szCs w:val="16"/>
        </w:rPr>
      </w:pPr>
      <w:r w:rsidRPr="00EB660E">
        <w:rPr>
          <w:rFonts w:ascii="Verdana" w:hAnsi="Verdana"/>
        </w:rPr>
        <w:t>Los datos siguen el patrón de medallón (Armbrust et al., 2021): la capa bron</w:t>
      </w:r>
      <w:r w:rsidR="00A868C6">
        <w:rPr>
          <w:rFonts w:ascii="Verdana" w:hAnsi="Verdana"/>
        </w:rPr>
        <w:t>z</w:t>
      </w:r>
      <w:r w:rsidRPr="00EB660E">
        <w:rPr>
          <w:rFonts w:ascii="Verdana" w:hAnsi="Verdana"/>
        </w:rPr>
        <w:t>e guarda la información tal como llega de cada fuente, sin tocarla</w:t>
      </w:r>
      <w:r w:rsidR="00A868C6">
        <w:rPr>
          <w:rFonts w:ascii="Verdana" w:hAnsi="Verdana"/>
        </w:rPr>
        <w:t xml:space="preserve"> o con un mínimo tratamiento que posibilite su ingesta</w:t>
      </w:r>
      <w:r w:rsidRPr="00EB660E">
        <w:rPr>
          <w:rFonts w:ascii="Verdana" w:hAnsi="Verdana"/>
        </w:rPr>
        <w:t xml:space="preserve">; la capa </w:t>
      </w:r>
      <w:r w:rsidR="00A868C6">
        <w:rPr>
          <w:rFonts w:ascii="Verdana" w:hAnsi="Verdana"/>
        </w:rPr>
        <w:t>silver</w:t>
      </w:r>
      <w:r w:rsidRPr="00EB660E">
        <w:rPr>
          <w:rFonts w:ascii="Verdana" w:hAnsi="Verdana"/>
        </w:rPr>
        <w:t xml:space="preserve"> contiene los datos ya limpios, tipados y reproyectados al sistema de coordenadas oficial de Canarias (EPSG:32628); y la capa oro será la que aloje los KPIs y las tablas agregadas que alimentan directamente el </w:t>
      </w:r>
      <w:r w:rsidRPr="00EB660E">
        <w:rPr>
          <w:rFonts w:ascii="Verdana" w:hAnsi="Verdana"/>
          <w:i/>
          <w:iCs/>
        </w:rPr>
        <w:t>dashboard</w:t>
      </w:r>
      <w:r w:rsidRPr="00EB660E">
        <w:rPr>
          <w:rFonts w:ascii="Verdana" w:hAnsi="Verdana"/>
        </w:rPr>
        <w:t>.</w:t>
      </w:r>
    </w:p>
    <w:p w14:paraId="0B341C28" w14:textId="77777777" w:rsidR="00B21173" w:rsidRPr="00EB660E" w:rsidRDefault="00000000">
      <w:pPr>
        <w:pStyle w:val="Ttulo2"/>
        <w:spacing w:before="320" w:after="160"/>
        <w:rPr>
          <w:rFonts w:ascii="Verdana" w:hAnsi="Verdana"/>
          <w:color w:val="auto"/>
          <w:sz w:val="22"/>
          <w:szCs w:val="22"/>
        </w:rPr>
      </w:pPr>
      <w:bookmarkStart w:id="8" w:name="_Toc239878763"/>
      <w:r w:rsidRPr="00EB660E">
        <w:rPr>
          <w:rFonts w:ascii="Verdana" w:hAnsi="Verdana"/>
          <w:b/>
          <w:bCs/>
          <w:color w:val="auto"/>
          <w:sz w:val="22"/>
          <w:szCs w:val="22"/>
        </w:rPr>
        <w:t>2.2. Extracción de microdatos tabulares y espaciales</w:t>
      </w:r>
      <w:bookmarkEnd w:id="8"/>
    </w:p>
    <w:p w14:paraId="6928CE92" w14:textId="77777777" w:rsidR="00B21173" w:rsidRPr="00EB660E" w:rsidRDefault="00000000">
      <w:pPr>
        <w:spacing w:after="200" w:line="360" w:lineRule="auto"/>
        <w:jc w:val="both"/>
        <w:rPr>
          <w:rFonts w:ascii="Verdana" w:hAnsi="Verdana"/>
          <w:sz w:val="16"/>
          <w:szCs w:val="16"/>
        </w:rPr>
      </w:pPr>
      <w:r w:rsidRPr="00EB660E">
        <w:rPr>
          <w:rFonts w:ascii="Verdana" w:hAnsi="Verdana"/>
        </w:rPr>
        <w:t>Los datos territoriales vienen de tres fuentes institucionales. Del ISTAC descargamos automáticamente quince indicadores municipales —población, alojamientos, plazas, pernoctaciones, tasa de ocupación, empleo en hostelería, paro registrado, entre otros— para los 33 municipios de Tenerife (ISTAC, 2024). De IDECanarias integramos tres capas vectoriales vía WFS: límites municipales, zonas turísticas y espacios naturales protegidos (IDECanarias, 2024). Todas las geometrías quedan almacenadas en EPSG:32628 con índices GIST. A partir de un modelo digital del terreno derivamos además tres variables topográficas —altitud, pendiente y orientación— que alimentan los modelos topoclimáticos de la capa plata.</w:t>
      </w:r>
    </w:p>
    <w:p w14:paraId="5D899F0A" w14:textId="77777777" w:rsidR="00B21173" w:rsidRPr="00EB660E" w:rsidRDefault="00000000">
      <w:pPr>
        <w:pStyle w:val="Ttulo2"/>
        <w:spacing w:before="320" w:after="160"/>
        <w:rPr>
          <w:rFonts w:ascii="Verdana" w:hAnsi="Verdana"/>
          <w:color w:val="auto"/>
          <w:sz w:val="22"/>
          <w:szCs w:val="22"/>
        </w:rPr>
      </w:pPr>
      <w:bookmarkStart w:id="9" w:name="_Toc239878764"/>
      <w:r w:rsidRPr="00EB660E">
        <w:rPr>
          <w:rFonts w:ascii="Verdana" w:hAnsi="Verdana"/>
          <w:b/>
          <w:bCs/>
          <w:color w:val="auto"/>
          <w:sz w:val="22"/>
          <w:szCs w:val="22"/>
        </w:rPr>
        <w:lastRenderedPageBreak/>
        <w:t>2.3. Integración del transporte público (GTFS)</w:t>
      </w:r>
      <w:bookmarkEnd w:id="9"/>
    </w:p>
    <w:p w14:paraId="03A720F9" w14:textId="77777777" w:rsidR="00B21173" w:rsidRPr="00EB660E" w:rsidRDefault="00000000">
      <w:pPr>
        <w:spacing w:after="200" w:line="360" w:lineRule="auto"/>
        <w:jc w:val="both"/>
        <w:rPr>
          <w:rFonts w:ascii="Verdana" w:hAnsi="Verdana"/>
          <w:sz w:val="16"/>
          <w:szCs w:val="16"/>
        </w:rPr>
      </w:pPr>
      <w:r w:rsidRPr="00EB660E">
        <w:rPr>
          <w:rFonts w:ascii="Verdana" w:hAnsi="Verdana"/>
        </w:rPr>
        <w:t>Los ficheros GTFS de TITSA y del Metropolitano de Tenerife (Google, 2006) los hemos procesado y cargado en siete tablas de la capa plata: paradas (3.893, con geometría POINT e índice GIST), rutas, viajes, horarios de paso —más de 2 millones de registros—, calendario de servicio y excepciones. Esta topología de transporte es la base sobre la que después calculamos las isócronas de accesibilidad y evaluamos qué zonas del interior tienen cobertura suficiente para absorber los flujos turísticos redistribuidos.</w:t>
      </w:r>
    </w:p>
    <w:p w14:paraId="3DA897DF" w14:textId="77777777" w:rsidR="00B21173" w:rsidRPr="00EB660E" w:rsidRDefault="00000000">
      <w:pPr>
        <w:pStyle w:val="Ttulo2"/>
        <w:spacing w:before="320" w:after="160"/>
        <w:rPr>
          <w:rFonts w:ascii="Verdana" w:hAnsi="Verdana"/>
          <w:color w:val="auto"/>
          <w:sz w:val="22"/>
          <w:szCs w:val="22"/>
        </w:rPr>
      </w:pPr>
      <w:bookmarkStart w:id="10" w:name="_Toc239878765"/>
      <w:r w:rsidRPr="00EB660E">
        <w:rPr>
          <w:rFonts w:ascii="Verdana" w:hAnsi="Verdana"/>
          <w:b/>
          <w:bCs/>
          <w:color w:val="auto"/>
          <w:sz w:val="22"/>
          <w:szCs w:val="22"/>
        </w:rPr>
        <w:t>2.4. Ingesta de datos meteorológicos y satelitales</w:t>
      </w:r>
      <w:bookmarkEnd w:id="10"/>
    </w:p>
    <w:p w14:paraId="07D70E52"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El clima condiciona tanto la experiencia del visitante como la vocación turística de cada zona, así que recurrimos a dos fuentes complementarias. La red de Agrocabildo (Cabildo de Tenerife, 2024) aporta lecturas horarias de 67 estaciones repartidas por la isla —temperatura, humedad, precipitación, viento, radiación— y ya acumula más de 1,2 millones de registros, gracias a un proceso de </w:t>
      </w:r>
      <w:r w:rsidRPr="00EB660E">
        <w:rPr>
          <w:rFonts w:ascii="Verdana" w:hAnsi="Verdana"/>
          <w:i/>
          <w:iCs/>
        </w:rPr>
        <w:t>backfill</w:t>
      </w:r>
      <w:r w:rsidRPr="00EB660E">
        <w:rPr>
          <w:rFonts w:ascii="Verdana" w:hAnsi="Verdana"/>
        </w:rPr>
        <w:t xml:space="preserve"> histórico pensado para poder interrumpirse y retomarse sin perder el progreso. A esto se suma la API de Open-Meteo (Zippenfenig, 2023), que aporta reanálisis ERA5-Land (Muñoz-Sabater et al., 2021) y pronósticos a distintos horizontes (D+1, D+3, D+7), cuya fiabilidad contrastamos con las observaciones reales mediante métricas de error (MAE, RMSE, R²).</w:t>
      </w:r>
    </w:p>
    <w:p w14:paraId="604D1E21" w14:textId="77777777" w:rsidR="00B21173" w:rsidRPr="00EB660E" w:rsidRDefault="00000000">
      <w:pPr>
        <w:pStyle w:val="Ttulo2"/>
        <w:spacing w:before="320" w:after="160"/>
        <w:rPr>
          <w:rFonts w:ascii="Verdana" w:hAnsi="Verdana"/>
          <w:color w:val="auto"/>
          <w:sz w:val="22"/>
          <w:szCs w:val="22"/>
        </w:rPr>
      </w:pPr>
      <w:bookmarkStart w:id="11" w:name="_Toc239878766"/>
      <w:r w:rsidRPr="00EB660E">
        <w:rPr>
          <w:rFonts w:ascii="Verdana" w:hAnsi="Verdana"/>
          <w:b/>
          <w:bCs/>
          <w:color w:val="auto"/>
          <w:sz w:val="22"/>
          <w:szCs w:val="22"/>
        </w:rPr>
        <w:t>2.5. Extracción de datos cualitativos para análisis de sentimiento</w:t>
      </w:r>
      <w:bookmarkEnd w:id="11"/>
    </w:p>
    <w:p w14:paraId="0989B6A0" w14:textId="7B2BCC4F" w:rsidR="00B21173" w:rsidRPr="00EB660E" w:rsidRDefault="00000000">
      <w:pPr>
        <w:spacing w:after="200" w:line="360" w:lineRule="auto"/>
        <w:jc w:val="both"/>
        <w:rPr>
          <w:rFonts w:ascii="Verdana" w:hAnsi="Verdana"/>
          <w:sz w:val="16"/>
          <w:szCs w:val="16"/>
        </w:rPr>
      </w:pPr>
      <w:r w:rsidRPr="00EB660E">
        <w:rPr>
          <w:rFonts w:ascii="Verdana" w:hAnsi="Verdana"/>
        </w:rPr>
        <w:t>Para captar la percepción subjetiva del turista recurrimos a dos fuentes: el foro LosViajeros.com (248 hilos, ~1</w:t>
      </w:r>
      <w:r w:rsidR="00B37F38" w:rsidRPr="00EB660E">
        <w:rPr>
          <w:rFonts w:ascii="Verdana" w:hAnsi="Verdana"/>
        </w:rPr>
        <w:t>2</w:t>
      </w:r>
      <w:r w:rsidRPr="00EB660E">
        <w:rPr>
          <w:rFonts w:ascii="Verdana" w:hAnsi="Verdana"/>
        </w:rPr>
        <w:t>.</w:t>
      </w:r>
      <w:r w:rsidR="00B37F38" w:rsidRPr="00EB660E">
        <w:rPr>
          <w:rFonts w:ascii="Verdana" w:hAnsi="Verdana"/>
        </w:rPr>
        <w:t>95</w:t>
      </w:r>
      <w:r w:rsidRPr="00EB660E">
        <w:rPr>
          <w:rFonts w:ascii="Verdana" w:hAnsi="Verdana"/>
        </w:rPr>
        <w:t xml:space="preserve">0 mensajes), del que extrajimos los datos mediante </w:t>
      </w:r>
      <w:r w:rsidRPr="00EB660E">
        <w:rPr>
          <w:rFonts w:ascii="Verdana" w:hAnsi="Verdana"/>
          <w:i/>
          <w:iCs/>
        </w:rPr>
        <w:t>scraping</w:t>
      </w:r>
      <w:r w:rsidRPr="00EB660E">
        <w:rPr>
          <w:rFonts w:ascii="Verdana" w:hAnsi="Verdana"/>
        </w:rPr>
        <w:t xml:space="preserve"> con BeautifulSoup (Richardson, 2024), y la API de YouTube Data v3 (Google Developers, 2024), de la que obtuvimos 41 vídeos y ~3.100 comentarios. El </w:t>
      </w:r>
      <w:r w:rsidRPr="00EB660E">
        <w:rPr>
          <w:rFonts w:ascii="Verdana" w:hAnsi="Verdana"/>
          <w:i/>
          <w:iCs/>
        </w:rPr>
        <w:t>scraping</w:t>
      </w:r>
      <w:r w:rsidRPr="00EB660E">
        <w:rPr>
          <w:rFonts w:ascii="Verdana" w:hAnsi="Verdana"/>
        </w:rPr>
        <w:t xml:space="preserve"> se ejecutó respetando el robots.txt, con </w:t>
      </w:r>
      <w:r w:rsidRPr="00EB660E">
        <w:rPr>
          <w:rFonts w:ascii="Verdana" w:hAnsi="Verdana"/>
          <w:i/>
          <w:iCs/>
        </w:rPr>
        <w:t>rate limiting</w:t>
      </w:r>
      <w:r w:rsidRPr="00EB660E">
        <w:rPr>
          <w:rFonts w:ascii="Verdana" w:hAnsi="Verdana"/>
        </w:rPr>
        <w:t xml:space="preserve"> y un User-Agent identificado con fines académicos.</w:t>
      </w:r>
    </w:p>
    <w:p w14:paraId="032FDB6A" w14:textId="77777777" w:rsidR="00B21173" w:rsidRPr="00EB660E" w:rsidRDefault="00000000">
      <w:pPr>
        <w:spacing w:after="200" w:line="360" w:lineRule="auto"/>
        <w:jc w:val="both"/>
        <w:rPr>
          <w:rFonts w:ascii="Verdana" w:hAnsi="Verdana"/>
          <w:sz w:val="16"/>
          <w:szCs w:val="16"/>
        </w:rPr>
      </w:pPr>
      <w:r w:rsidRPr="00EB660E">
        <w:rPr>
          <w:rFonts w:ascii="Verdana" w:hAnsi="Verdana"/>
        </w:rPr>
        <w:t>Conviene aclarar que ninguna de las dos fuentes trae información de geolocalización: ni los mensajes del foro ni los comentarios de YouTube llevan coordenadas o referencias a municipios concretos. Por eso su papel en el proyecto no es geoespacial, sino contextual: el análisis de sentimiento que aplicamos sobre este corpus ofrece una fotografía general de cómo se percibe Tenerife como destino —valoración global, temas recurrentes, puntos de fricción— y se integra en el AI-Dashboard como una capa complementaria a los indicadores territoriales.</w:t>
      </w:r>
    </w:p>
    <w:p w14:paraId="5E012954" w14:textId="77777777" w:rsidR="00B21173" w:rsidRPr="00EB660E" w:rsidRDefault="00000000">
      <w:pPr>
        <w:pStyle w:val="Ttulo1"/>
        <w:spacing w:before="480" w:after="240"/>
        <w:rPr>
          <w:rFonts w:ascii="Verdana" w:hAnsi="Verdana"/>
          <w:color w:val="auto"/>
          <w:sz w:val="24"/>
          <w:szCs w:val="24"/>
        </w:rPr>
      </w:pPr>
      <w:bookmarkStart w:id="12" w:name="_Toc239878767"/>
      <w:r w:rsidRPr="00EB660E">
        <w:rPr>
          <w:rFonts w:ascii="Verdana" w:hAnsi="Verdana"/>
          <w:b/>
          <w:bCs/>
          <w:color w:val="auto"/>
          <w:sz w:val="24"/>
          <w:szCs w:val="24"/>
        </w:rPr>
        <w:t xml:space="preserve">3. Estructuración, </w:t>
      </w:r>
      <w:r w:rsidRPr="00EB660E">
        <w:rPr>
          <w:rFonts w:ascii="Verdana" w:hAnsi="Verdana"/>
          <w:b/>
          <w:bCs/>
          <w:i/>
          <w:iCs/>
          <w:color w:val="auto"/>
          <w:sz w:val="24"/>
          <w:szCs w:val="24"/>
        </w:rPr>
        <w:t>Data Warehouse</w:t>
      </w:r>
      <w:r w:rsidRPr="00EB660E">
        <w:rPr>
          <w:rFonts w:ascii="Verdana" w:hAnsi="Verdana"/>
          <w:b/>
          <w:bCs/>
          <w:color w:val="auto"/>
          <w:sz w:val="24"/>
          <w:szCs w:val="24"/>
        </w:rPr>
        <w:t xml:space="preserve"> y topología geoespacial</w:t>
      </w:r>
      <w:bookmarkEnd w:id="12"/>
    </w:p>
    <w:p w14:paraId="6D9B61B8" w14:textId="77777777" w:rsidR="00B21173" w:rsidRPr="00EB660E" w:rsidRDefault="00000000">
      <w:pPr>
        <w:pStyle w:val="Ttulo2"/>
        <w:spacing w:before="320" w:after="160"/>
        <w:rPr>
          <w:rFonts w:ascii="Verdana" w:hAnsi="Verdana"/>
          <w:color w:val="auto"/>
          <w:sz w:val="22"/>
          <w:szCs w:val="22"/>
        </w:rPr>
      </w:pPr>
      <w:bookmarkStart w:id="13" w:name="_Toc239878768"/>
      <w:r w:rsidRPr="00EB660E">
        <w:rPr>
          <w:rFonts w:ascii="Verdana" w:hAnsi="Verdana"/>
          <w:b/>
          <w:bCs/>
          <w:color w:val="auto"/>
          <w:sz w:val="22"/>
          <w:szCs w:val="22"/>
        </w:rPr>
        <w:t>3.1. Diseño del almacén de datos espacial en PostgreSQL/PostGIS</w:t>
      </w:r>
      <w:bookmarkEnd w:id="13"/>
    </w:p>
    <w:p w14:paraId="7D00B764" w14:textId="77777777" w:rsidR="00B21173" w:rsidRPr="00EB660E" w:rsidRDefault="00000000">
      <w:pPr>
        <w:spacing w:after="200" w:line="360" w:lineRule="auto"/>
        <w:jc w:val="both"/>
        <w:rPr>
          <w:rFonts w:ascii="Verdana" w:hAnsi="Verdana"/>
          <w:sz w:val="16"/>
          <w:szCs w:val="16"/>
        </w:rPr>
      </w:pPr>
      <w:r w:rsidRPr="00EB660E">
        <w:rPr>
          <w:rFonts w:ascii="Verdana" w:hAnsi="Verdana"/>
        </w:rPr>
        <w:lastRenderedPageBreak/>
        <w:t>La base de datos organiza tres esquemas —bronze, silver y gold— que reflejan las capas de medallón. El esquema bronze reúne 50 tablas fuente declaradas en el fichero sources.yml de dbt: datos meteorológicos, GTFS, reseñas de Booking, TripAdvisor, YouTube y LosViajeros, capas espaciales de IDECanarias, estadísticas del ISTAC, pasajeros de AENA y los resultados de los modelos de NLP (sentimiento y aspectos). Cada tabla bronze conserva los datos tal como llegaron, sin ningún tipo de transformación.</w:t>
      </w:r>
    </w:p>
    <w:p w14:paraId="1F8878BB" w14:textId="77777777" w:rsidR="00B21173" w:rsidRPr="00EB660E" w:rsidRDefault="00000000">
      <w:pPr>
        <w:spacing w:after="200" w:line="360" w:lineRule="auto"/>
        <w:jc w:val="both"/>
        <w:rPr>
          <w:rFonts w:ascii="Verdana" w:hAnsi="Verdana"/>
          <w:sz w:val="16"/>
          <w:szCs w:val="16"/>
        </w:rPr>
      </w:pPr>
      <w:r w:rsidRPr="00EB660E">
        <w:rPr>
          <w:rFonts w:ascii="Verdana" w:hAnsi="Verdana"/>
        </w:rPr>
        <w:t>La capa silver está formada por 29 modelos de dbt agrupados por dominio: alojamiento (registro oficial, Booking y TripAdvisor), clima (lecturas y metadatos de estaciones), espacial (municipios, zonas turísticas, ENP, malla H3, POIs de OSM, BICs, oficinas de turismo, satélite), ISTAC (indicadores anuales, mensuales y trimestrales), movilidad (AENA, paradas y rutas GTFS) y NLP (YouTube, LosViajeros, sentimiento y aspectos). Todas las geometrías se reproyectan a EPSG:32628.</w:t>
      </w:r>
    </w:p>
    <w:p w14:paraId="518C6C15" w14:textId="77777777" w:rsidR="00B21173" w:rsidRPr="00EB660E" w:rsidRDefault="00000000">
      <w:pPr>
        <w:spacing w:after="200" w:line="360" w:lineRule="auto"/>
        <w:jc w:val="both"/>
        <w:rPr>
          <w:rFonts w:ascii="Verdana" w:hAnsi="Verdana"/>
          <w:sz w:val="16"/>
          <w:szCs w:val="16"/>
        </w:rPr>
      </w:pPr>
      <w:r w:rsidRPr="00EB660E">
        <w:rPr>
          <w:rFonts w:ascii="Verdana" w:hAnsi="Verdana"/>
        </w:rPr>
        <w:t>La capa gold alberga dos modelos clave. El primero, gold_h3_master, es una tabla maestra —394 líneas de SQL— que unifica todos los indicadores del proyecto a nivel de hexágono H3 (resolución 8). Para cada hexágono cruza, mediante joins espaciales, datos de alojamiento oficial, establecimientos de Booking y TripAdvisor con sus ratings medios, puntos de interés (restaurantes, cultura, naturaleza), paradas de transporte público, topografía (altitud, pendiente, orientación, hillshade del MDT), índices satelitales (NDVI, NDBI, VIIRS), variables climáticas interpoladas y clasificaciones territoriales (zona turística oficial, espacio natural protegido, distancia a la costa). El segundo modelo, gold_sentimiento_h3, agrega por hexágono el sentimiento medio y la queja principal extraída de las reseñas geolocalizadas.</w:t>
      </w:r>
    </w:p>
    <w:p w14:paraId="131B4CC8" w14:textId="77777777" w:rsidR="00B21173" w:rsidRPr="00EB660E" w:rsidRDefault="00000000">
      <w:pPr>
        <w:pStyle w:val="Ttulo2"/>
        <w:spacing w:before="320" w:after="160"/>
        <w:rPr>
          <w:rFonts w:ascii="Verdana" w:hAnsi="Verdana"/>
          <w:color w:val="auto"/>
          <w:sz w:val="22"/>
          <w:szCs w:val="22"/>
        </w:rPr>
      </w:pPr>
      <w:bookmarkStart w:id="14" w:name="_Toc239878769"/>
      <w:r w:rsidRPr="00EB660E">
        <w:rPr>
          <w:rFonts w:ascii="Verdana" w:hAnsi="Verdana"/>
          <w:b/>
          <w:bCs/>
          <w:color w:val="auto"/>
          <w:sz w:val="22"/>
          <w:szCs w:val="22"/>
        </w:rPr>
        <w:t>3.2. Estandarización de coordenadas (EPSG:32628) e índices GIST</w:t>
      </w:r>
      <w:bookmarkEnd w:id="14"/>
    </w:p>
    <w:p w14:paraId="195D3E65"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Todas las geometrías se almacenan y se operan en EPSG:32628 (UTM zona 28N, el sistema de referencia oficial de Canarias), lo que nos permite calcular distancias y áreas en metros reales sin tener que reproyectar sobre la marcha. Los modelos silver que reciben geometrías aplican la conversión desde WGS84 y crean índices GIST sobre las columnas geométricas. La tabla gold_h3_master, en concreto, define tres índices: un GIST sobre geometry, un índice único sobre h3_index y un índice B-tree sobre cod_municipio. Esa combinación es la que permite que las consultas del </w:t>
      </w:r>
      <w:r w:rsidRPr="00EB660E">
        <w:rPr>
          <w:rFonts w:ascii="Verdana" w:hAnsi="Verdana"/>
          <w:i/>
          <w:iCs/>
        </w:rPr>
        <w:t>dashboard</w:t>
      </w:r>
      <w:r w:rsidRPr="00EB660E">
        <w:rPr>
          <w:rFonts w:ascii="Verdana" w:hAnsi="Verdana"/>
        </w:rPr>
        <w:t xml:space="preserve"> —filtrar por municipio, buscar hexágonos dentro de un radio, cruzar capas— se resuelvan en milisegundos sobre miles de hexágonos.</w:t>
      </w:r>
    </w:p>
    <w:p w14:paraId="292F62D6" w14:textId="77777777" w:rsidR="00B21173" w:rsidRPr="00EB660E" w:rsidRDefault="00000000">
      <w:pPr>
        <w:pStyle w:val="Ttulo2"/>
        <w:spacing w:before="320" w:after="160"/>
        <w:rPr>
          <w:rFonts w:ascii="Verdana" w:hAnsi="Verdana"/>
          <w:color w:val="auto"/>
          <w:sz w:val="22"/>
          <w:szCs w:val="22"/>
        </w:rPr>
      </w:pPr>
      <w:bookmarkStart w:id="15" w:name="_Toc239878770"/>
      <w:r w:rsidRPr="00EB660E">
        <w:rPr>
          <w:rFonts w:ascii="Verdana" w:hAnsi="Verdana"/>
          <w:b/>
          <w:bCs/>
          <w:color w:val="auto"/>
          <w:sz w:val="22"/>
          <w:szCs w:val="22"/>
        </w:rPr>
        <w:t>3.3. Orquestación ETL con Apache Airflow y transformaciones con dbt</w:t>
      </w:r>
      <w:bookmarkEnd w:id="15"/>
    </w:p>
    <w:p w14:paraId="19EF83C9"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Las transformaciones se ejecutan con dbt, que gestiona las dependencias entre modelos a través de la directiva ref() y documenta el linaje de datos automáticamente. El proyecto </w:t>
      </w:r>
      <w:r w:rsidRPr="00EB660E">
        <w:rPr>
          <w:rFonts w:ascii="Verdana" w:hAnsi="Verdana"/>
        </w:rPr>
        <w:lastRenderedPageBreak/>
        <w:t>separa los modelos silver (limpieza, tipado, reproyección) de los modelos gold (agregación, cruces espaciales, interpolación), y cada modelo lleva tags que permiten ejecutar subconjuntos por dominio: dbt run --select tag:gold, por ejemplo, ejecuta solo la capa oro.</w:t>
      </w:r>
    </w:p>
    <w:p w14:paraId="149F79E8"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Para la ejecución programada usamos la máquina virtual de Azure, donde tanto los </w:t>
      </w:r>
      <w:r w:rsidRPr="00EB660E">
        <w:rPr>
          <w:rFonts w:ascii="Verdana" w:hAnsi="Verdana"/>
          <w:i/>
          <w:iCs/>
        </w:rPr>
        <w:t>scripts</w:t>
      </w:r>
      <w:r w:rsidRPr="00EB660E">
        <w:rPr>
          <w:rFonts w:ascii="Verdana" w:hAnsi="Verdana"/>
        </w:rPr>
        <w:t xml:space="preserve"> de ingesta como las transformaciones de dbt se lanzan mediante tareas cron. La carpeta dags/ del repositorio ya está preparada para integrar Apache Airflow como orquestador formal más adelante, pero por ahora el volumen de </w:t>
      </w:r>
      <w:r w:rsidRPr="00EB660E">
        <w:rPr>
          <w:rFonts w:ascii="Verdana" w:hAnsi="Verdana"/>
          <w:i/>
          <w:iCs/>
        </w:rPr>
        <w:t>pipelines</w:t>
      </w:r>
      <w:r w:rsidRPr="00EB660E">
        <w:rPr>
          <w:rFonts w:ascii="Verdana" w:hAnsi="Verdana"/>
        </w:rPr>
        <w:t xml:space="preserve"> es lo bastante manejable como para funcionar de forma fiable con cron, apoyándose en la idempotencia que garantizan tanto los </w:t>
      </w:r>
      <w:r w:rsidRPr="00EB660E">
        <w:rPr>
          <w:rFonts w:ascii="Verdana" w:hAnsi="Verdana"/>
          <w:i/>
          <w:iCs/>
        </w:rPr>
        <w:t>scripts</w:t>
      </w:r>
      <w:r w:rsidRPr="00EB660E">
        <w:rPr>
          <w:rFonts w:ascii="Verdana" w:hAnsi="Verdana"/>
        </w:rPr>
        <w:t xml:space="preserve"> (ON CONFLICT, deduplicación por clave) como los propios modelos de dbt (materializados como tabla, con recreación completa en cada ejecución).</w:t>
      </w:r>
    </w:p>
    <w:p w14:paraId="4514827C" w14:textId="77777777" w:rsidR="00B21173" w:rsidRPr="00EB660E" w:rsidRDefault="00000000">
      <w:pPr>
        <w:pStyle w:val="Ttulo1"/>
        <w:spacing w:before="480" w:after="240"/>
        <w:rPr>
          <w:rFonts w:ascii="Verdana" w:hAnsi="Verdana"/>
          <w:color w:val="auto"/>
          <w:sz w:val="24"/>
          <w:szCs w:val="24"/>
        </w:rPr>
      </w:pPr>
      <w:bookmarkStart w:id="16" w:name="_Toc239878771"/>
      <w:r w:rsidRPr="00EB660E">
        <w:rPr>
          <w:rFonts w:ascii="Verdana" w:hAnsi="Verdana"/>
          <w:b/>
          <w:bCs/>
          <w:color w:val="auto"/>
          <w:sz w:val="24"/>
          <w:szCs w:val="24"/>
        </w:rPr>
        <w:t>4. Analítica avanzada e inteligencia espacial</w:t>
      </w:r>
      <w:bookmarkEnd w:id="16"/>
    </w:p>
    <w:p w14:paraId="3EDEBAA5" w14:textId="77777777" w:rsidR="00B21173" w:rsidRPr="00EB660E" w:rsidRDefault="00000000">
      <w:pPr>
        <w:pStyle w:val="Ttulo2"/>
        <w:spacing w:before="320" w:after="160"/>
        <w:rPr>
          <w:rFonts w:ascii="Verdana" w:hAnsi="Verdana"/>
          <w:color w:val="auto"/>
          <w:sz w:val="22"/>
          <w:szCs w:val="22"/>
        </w:rPr>
      </w:pPr>
      <w:bookmarkStart w:id="17" w:name="_Toc239878772"/>
      <w:r w:rsidRPr="00EB660E">
        <w:rPr>
          <w:rFonts w:ascii="Verdana" w:hAnsi="Verdana"/>
          <w:b/>
          <w:bCs/>
          <w:color w:val="auto"/>
          <w:sz w:val="22"/>
          <w:szCs w:val="22"/>
        </w:rPr>
        <w:t>4.1. Análisis de sentimiento multilingüe (inferencia por lotes con Multilingual BERT)</w:t>
      </w:r>
      <w:bookmarkEnd w:id="17"/>
    </w:p>
    <w:p w14:paraId="01AB1F7E"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El </w:t>
      </w:r>
      <w:r w:rsidRPr="00EB660E">
        <w:rPr>
          <w:rFonts w:ascii="Verdana" w:hAnsi="Verdana"/>
          <w:i/>
          <w:iCs/>
        </w:rPr>
        <w:t>pipeline</w:t>
      </w:r>
      <w:r w:rsidRPr="00EB660E">
        <w:rPr>
          <w:rFonts w:ascii="Verdana" w:hAnsi="Verdana"/>
        </w:rPr>
        <w:t xml:space="preserve"> de sentimiento se apoya en XLM-RoBERTa (cardiffnlp/twitter-xlm-roberta-base-sentiment; Barbieri et al., 2022) para clasificar cada texto como positivo, neutro o negativo. El proceso es incremental: en cada ejecución se consultan los comentarios de YouTube que todavía no tienen resultado en la tabla bronze.ml_sentiment_results y se procesan en lotes de 32 textos, de modo que se pueden añadir fuentes nuevas sin tener que reprocesar todo lo anterior.</w:t>
      </w:r>
    </w:p>
    <w:p w14:paraId="1CE3C632"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Antes de llegar al modelo de sentimiento, un clasificador </w:t>
      </w:r>
      <w:r w:rsidRPr="00EB660E">
        <w:rPr>
          <w:rFonts w:ascii="Verdana" w:hAnsi="Verdana"/>
          <w:i/>
          <w:iCs/>
        </w:rPr>
        <w:t>zero-shot</w:t>
      </w:r>
      <w:r w:rsidRPr="00EB660E">
        <w:rPr>
          <w:rFonts w:ascii="Verdana" w:hAnsi="Verdana"/>
        </w:rPr>
        <w:t xml:space="preserve"> (mDeBERTa-v3-base-mnli-xnli) filtra la relevancia temática y descarta spam, conversaciones personales y comentarios sobre el propio canal del vídeo. Solo los textos identificados como «comentario sobre turismo, viajes o el impacto del turismo en Canarias» pasan al modelo de sentimiento. Este doble filtro es lo que evita que opiniones irrelevantes acaben contaminando los agregados que luego se muestran en el </w:t>
      </w:r>
      <w:r w:rsidRPr="00EB660E">
        <w:rPr>
          <w:rFonts w:ascii="Verdana" w:hAnsi="Verdana"/>
          <w:i/>
          <w:iCs/>
        </w:rPr>
        <w:t>dashboard</w:t>
      </w:r>
      <w:r w:rsidRPr="00EB660E">
        <w:rPr>
          <w:rFonts w:ascii="Verdana" w:hAnsi="Verdana"/>
        </w:rPr>
        <w:t>.</w:t>
      </w:r>
    </w:p>
    <w:p w14:paraId="69372017" w14:textId="77777777" w:rsidR="00B21173" w:rsidRPr="00EB660E" w:rsidRDefault="00000000">
      <w:pPr>
        <w:pStyle w:val="Ttulo2"/>
        <w:spacing w:before="320" w:after="160"/>
        <w:rPr>
          <w:rFonts w:ascii="Verdana" w:hAnsi="Verdana"/>
          <w:color w:val="auto"/>
          <w:sz w:val="22"/>
          <w:szCs w:val="22"/>
        </w:rPr>
      </w:pPr>
      <w:bookmarkStart w:id="18" w:name="_Toc239878773"/>
      <w:r w:rsidRPr="00EB660E">
        <w:rPr>
          <w:rFonts w:ascii="Verdana" w:hAnsi="Verdana"/>
          <w:b/>
          <w:bCs/>
          <w:color w:val="auto"/>
          <w:sz w:val="22"/>
          <w:szCs w:val="22"/>
        </w:rPr>
        <w:t>4.2. Detección de tópicos y extracción de aspectos (BERTopic y pyabsa)</w:t>
      </w:r>
      <w:bookmarkEnd w:id="18"/>
    </w:p>
    <w:p w14:paraId="02D6FE7B"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Para identificar los temas de conversación usamos BERTopic (Grootendorst, 2022) con </w:t>
      </w:r>
      <w:r w:rsidRPr="00EB660E">
        <w:rPr>
          <w:rFonts w:ascii="Verdana" w:hAnsi="Verdana"/>
          <w:i/>
          <w:iCs/>
        </w:rPr>
        <w:t>embeddings</w:t>
      </w:r>
      <w:r w:rsidRPr="00EB660E">
        <w:rPr>
          <w:rFonts w:ascii="Verdana" w:hAnsi="Verdana"/>
        </w:rPr>
        <w:t xml:space="preserve"> multilingües (paraphrase-multilingual-mpnet-base-v2), entrenando dos modelos independientes. El modelo A, de visión general, procesa YouTube y los mensajes de LosViajeros que no se pudieron georreferenciar mediante el </w:t>
      </w:r>
      <w:r w:rsidRPr="00EB660E">
        <w:rPr>
          <w:rFonts w:ascii="Verdana" w:hAnsi="Verdana"/>
          <w:i/>
          <w:iCs/>
        </w:rPr>
        <w:t>gazetteer</w:t>
      </w:r>
      <w:r w:rsidRPr="00EB660E">
        <w:rPr>
          <w:rFonts w:ascii="Verdana" w:hAnsi="Verdana"/>
        </w:rPr>
        <w:t xml:space="preserve"> de topónimos, y da como resultado tópicos globales sobre la percepción del destino. El modelo B, georreferenciado, combina reseñas de Booking, TripAdvisor y los mensajes de LosViajeros </w:t>
      </w:r>
      <w:r w:rsidRPr="00EB660E">
        <w:rPr>
          <w:rFonts w:ascii="Verdana" w:hAnsi="Verdana"/>
        </w:rPr>
        <w:lastRenderedPageBreak/>
        <w:t>con ubicación detectada; por su volumen —~55.000 reseñas solo de Booking— lo entrenamos en Google Colab con GPU.</w:t>
      </w:r>
    </w:p>
    <w:p w14:paraId="0CED6C49"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En paralelo, extraemos los aspectos con pyabsa (Yang y Li, 2023), un </w:t>
      </w:r>
      <w:r w:rsidRPr="00EB660E">
        <w:rPr>
          <w:rFonts w:ascii="Verdana" w:hAnsi="Verdana"/>
          <w:i/>
          <w:iCs/>
        </w:rPr>
        <w:t>framework</w:t>
      </w:r>
      <w:r w:rsidRPr="00EB660E">
        <w:rPr>
          <w:rFonts w:ascii="Verdana" w:hAnsi="Verdana"/>
        </w:rPr>
        <w:t xml:space="preserve"> de </w:t>
      </w:r>
      <w:r w:rsidRPr="00EB660E">
        <w:rPr>
          <w:rFonts w:ascii="Verdana" w:hAnsi="Verdana"/>
          <w:i/>
          <w:iCs/>
        </w:rPr>
        <w:t>Aspect-Based Sentiment Analysis</w:t>
      </w:r>
      <w:r w:rsidRPr="00EB660E">
        <w:rPr>
          <w:rFonts w:ascii="Verdana" w:hAnsi="Verdana"/>
        </w:rPr>
        <w:t xml:space="preserve"> que detecta qué entidades se mencionan en cada reseña —limpieza, ubicación, personal, precio...— junto con su polaridad. Estos aspectos se normalizan con una tabla de mapeo (gold.aspecto_traducciones) que unifica variantes idiomáticas y ortográficas. Con todo esto, el modelo gold_sentimiento_h3 agrega por hexágono el sentimiento medio y la queja principal —calculada con MODE()— de las reseñas geolocalizadas de Booking y TripAdvisor.</w:t>
      </w:r>
    </w:p>
    <w:p w14:paraId="0B5FD776" w14:textId="77777777" w:rsidR="00B21173" w:rsidRPr="00EB660E" w:rsidRDefault="00000000">
      <w:pPr>
        <w:pStyle w:val="Ttulo2"/>
        <w:spacing w:before="320" w:after="160"/>
        <w:rPr>
          <w:rFonts w:ascii="Verdana" w:hAnsi="Verdana"/>
          <w:color w:val="auto"/>
          <w:sz w:val="22"/>
          <w:szCs w:val="22"/>
        </w:rPr>
      </w:pPr>
      <w:bookmarkStart w:id="19" w:name="_Toc239878774"/>
      <w:r w:rsidRPr="00EB660E">
        <w:rPr>
          <w:rFonts w:ascii="Verdana" w:hAnsi="Verdana"/>
          <w:b/>
          <w:bCs/>
          <w:color w:val="auto"/>
          <w:sz w:val="22"/>
          <w:szCs w:val="22"/>
        </w:rPr>
        <w:t>4.3. Monitorización ambiental por satélite (NDVI, NDBI, noches VIIRS)</w:t>
      </w:r>
      <w:bookmarkEnd w:id="19"/>
    </w:p>
    <w:p w14:paraId="76D9710B" w14:textId="77777777" w:rsidR="00B21173" w:rsidRPr="00EB660E" w:rsidRDefault="00000000">
      <w:pPr>
        <w:spacing w:after="200" w:line="360" w:lineRule="auto"/>
        <w:jc w:val="both"/>
        <w:rPr>
          <w:rFonts w:ascii="Verdana" w:hAnsi="Verdana"/>
          <w:sz w:val="16"/>
          <w:szCs w:val="16"/>
        </w:rPr>
      </w:pPr>
      <w:r w:rsidRPr="00EB660E">
        <w:rPr>
          <w:rFonts w:ascii="Verdana" w:hAnsi="Verdana"/>
        </w:rPr>
        <w:t>Por cada hexágono H3 calculamos tres índices de teledetección. El NDVI (Normalized Difference Vegetation Index) cuantifica la cobertura vegetal a partir de imágenes Sentinel-2 del programa Copernicus (Agencia Espacial Europea, 2024), y el NDBI (Normalized Difference Built-up Index) mide la presencia de superficies construidas; ambos se promedian excluyendo 2020 y 2021 para no arrastrar la distorsión que dejó la pandemia. El tercer indicador es la radiancia nocturna VIIRS (Elvidge et al., 2017), que usamos como proxy de actividad económica y urbanización a partir de la intensidad lumínica. Las tres variables quedan integradas en la tabla gold_h3_master junto al resto de indicadores territoriales.</w:t>
      </w:r>
    </w:p>
    <w:p w14:paraId="0ED2A3DF" w14:textId="77777777" w:rsidR="00B21173" w:rsidRPr="00EB660E" w:rsidRDefault="00000000">
      <w:pPr>
        <w:pStyle w:val="Ttulo2"/>
        <w:spacing w:before="320" w:after="160"/>
        <w:rPr>
          <w:rFonts w:ascii="Verdana" w:hAnsi="Verdana"/>
          <w:color w:val="auto"/>
          <w:sz w:val="22"/>
          <w:szCs w:val="22"/>
        </w:rPr>
      </w:pPr>
      <w:bookmarkStart w:id="20" w:name="_Toc239878775"/>
      <w:r w:rsidRPr="00EB660E">
        <w:rPr>
          <w:rFonts w:ascii="Verdana" w:hAnsi="Verdana"/>
          <w:b/>
          <w:bCs/>
          <w:color w:val="auto"/>
          <w:sz w:val="22"/>
          <w:szCs w:val="22"/>
        </w:rPr>
        <w:t>4.4. Detección de aglomeraciones (clustering HDBSCAN)</w:t>
      </w:r>
      <w:bookmarkEnd w:id="20"/>
    </w:p>
    <w:p w14:paraId="41E54BBF"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El </w:t>
      </w:r>
      <w:r w:rsidRPr="00EB660E">
        <w:rPr>
          <w:rFonts w:ascii="Verdana" w:hAnsi="Verdana"/>
          <w:i/>
          <w:iCs/>
        </w:rPr>
        <w:t>script</w:t>
      </w:r>
      <w:r w:rsidRPr="00EB660E">
        <w:rPr>
          <w:rFonts w:ascii="Verdana" w:hAnsi="Verdana"/>
        </w:rPr>
        <w:t xml:space="preserve"> build_features.py prepara la matriz de </w:t>
      </w:r>
      <w:r w:rsidRPr="00EB660E">
        <w:rPr>
          <w:rFonts w:ascii="Verdana" w:hAnsi="Verdana"/>
          <w:i/>
          <w:iCs/>
        </w:rPr>
        <w:t>features</w:t>
      </w:r>
      <w:r w:rsidRPr="00EB660E">
        <w:rPr>
          <w:rFonts w:ascii="Verdana" w:hAnsi="Verdana"/>
        </w:rPr>
        <w:t xml:space="preserve"> para el </w:t>
      </w:r>
      <w:r w:rsidRPr="00EB660E">
        <w:rPr>
          <w:rFonts w:ascii="Verdana" w:hAnsi="Verdana"/>
          <w:i/>
          <w:iCs/>
        </w:rPr>
        <w:t>clustering</w:t>
      </w:r>
      <w:r w:rsidRPr="00EB660E">
        <w:rPr>
          <w:rFonts w:ascii="Verdana" w:hAnsi="Verdana"/>
        </w:rPr>
        <w:t xml:space="preserve">: toma de gold_h3_master y gold_sentimiento_h3 diez variables por hexágono —altitud, pendiente, orientación, </w:t>
      </w:r>
      <w:r w:rsidRPr="00EB660E">
        <w:rPr>
          <w:rFonts w:ascii="Verdana" w:hAnsi="Verdana"/>
          <w:i/>
          <w:iCs/>
        </w:rPr>
        <w:t>hillshade</w:t>
      </w:r>
      <w:r w:rsidRPr="00EB660E">
        <w:rPr>
          <w:rFonts w:ascii="Verdana" w:hAnsi="Verdana"/>
        </w:rPr>
        <w:t xml:space="preserve">, NDVI, NDBI, número de alojamientos, paradas de transporte, sentimiento medio y VIIRS—, descarta los hexágonos con más de un 50 % de valores nulos y normaliza el resto con StandardScaler o MinMaxScaler. Esa matriz es la que alimenta HDBSCAN (McInnes et al., 2017), un algoritmo que identifica </w:t>
      </w:r>
      <w:r w:rsidRPr="00EB660E">
        <w:rPr>
          <w:rFonts w:ascii="Verdana" w:hAnsi="Verdana"/>
          <w:i/>
          <w:iCs/>
        </w:rPr>
        <w:t>clusters</w:t>
      </w:r>
      <w:r w:rsidRPr="00EB660E">
        <w:rPr>
          <w:rFonts w:ascii="Verdana" w:hAnsi="Verdana"/>
        </w:rPr>
        <w:t xml:space="preserve"> de densidad variable sin necesidad de fijar de antemano cuántos grupos buscamos.</w:t>
      </w:r>
    </w:p>
    <w:p w14:paraId="1497BEE6" w14:textId="77777777" w:rsidR="00B21173" w:rsidRPr="00EB660E" w:rsidRDefault="00000000">
      <w:pPr>
        <w:pStyle w:val="Ttulo2"/>
        <w:spacing w:before="320" w:after="160"/>
        <w:rPr>
          <w:rFonts w:ascii="Verdana" w:hAnsi="Verdana"/>
          <w:color w:val="auto"/>
          <w:sz w:val="22"/>
          <w:szCs w:val="22"/>
        </w:rPr>
      </w:pPr>
      <w:bookmarkStart w:id="21" w:name="_Toc239878776"/>
      <w:r w:rsidRPr="00EB660E">
        <w:rPr>
          <w:rFonts w:ascii="Verdana" w:hAnsi="Verdana"/>
          <w:b/>
          <w:bCs/>
          <w:color w:val="auto"/>
          <w:sz w:val="22"/>
          <w:szCs w:val="22"/>
        </w:rPr>
        <w:t>4.5. Modelado de accesibilidad (isócronas con OpenRouteService / pgRouting)</w:t>
      </w:r>
      <w:bookmarkEnd w:id="21"/>
    </w:p>
    <w:p w14:paraId="1C832F3C"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El módulo de accesibilidad calcula, para cada hexágono H3, tres tipos de indicadores. El primero son los tiempos de conducción a 18 destinos estratégicos —ambos aeropuertos, Santa Cruz, Costa Adeje, Puerto de la Cruz, el Teide, La Laguna, Candelaria, Garachico, Masca, entre otros— obtenidos con la API de OpenRouteService (HeiGIT, 2024). El segundo es el número de paradas de bus de TITSA a menos de 500 metros del centroide del hexágono, calculado directamente con PostGIS. Y el tercero es la distancia al centro </w:t>
      </w:r>
      <w:r w:rsidRPr="00EB660E">
        <w:rPr>
          <w:rFonts w:ascii="Verdana" w:hAnsi="Verdana"/>
        </w:rPr>
        <w:lastRenderedPageBreak/>
        <w:t>sanitario más cercano. Todo esto queda almacenado en gold.h3_accesibilidad, con una fila por hexágono.</w:t>
      </w:r>
    </w:p>
    <w:p w14:paraId="6FB7D4AE" w14:textId="77777777" w:rsidR="00B21173" w:rsidRPr="00EB660E" w:rsidRDefault="00000000">
      <w:pPr>
        <w:pStyle w:val="Ttulo2"/>
        <w:spacing w:before="320" w:after="160"/>
        <w:rPr>
          <w:rFonts w:ascii="Verdana" w:hAnsi="Verdana"/>
          <w:color w:val="auto"/>
          <w:sz w:val="22"/>
          <w:szCs w:val="22"/>
        </w:rPr>
      </w:pPr>
      <w:bookmarkStart w:id="22" w:name="_Toc239878777"/>
      <w:r w:rsidRPr="00EB660E">
        <w:rPr>
          <w:rFonts w:ascii="Verdana" w:hAnsi="Verdana"/>
          <w:b/>
          <w:bCs/>
          <w:color w:val="auto"/>
          <w:sz w:val="22"/>
          <w:szCs w:val="22"/>
        </w:rPr>
        <w:t>4.6. Factores de éxito local (regresión MGWR)</w:t>
      </w:r>
      <w:bookmarkEnd w:id="22"/>
    </w:p>
    <w:p w14:paraId="7A6706C7" w14:textId="77777777" w:rsidR="00B21173" w:rsidRPr="00EB660E" w:rsidRDefault="00000000">
      <w:pPr>
        <w:pStyle w:val="Ttulo1"/>
        <w:spacing w:before="480" w:after="240"/>
        <w:rPr>
          <w:rFonts w:ascii="Verdana" w:hAnsi="Verdana"/>
          <w:color w:val="auto"/>
          <w:sz w:val="24"/>
          <w:szCs w:val="24"/>
        </w:rPr>
      </w:pPr>
      <w:bookmarkStart w:id="23" w:name="_Toc239878778"/>
      <w:r w:rsidRPr="00EB660E">
        <w:rPr>
          <w:rFonts w:ascii="Verdana" w:hAnsi="Verdana"/>
          <w:b/>
          <w:bCs/>
          <w:color w:val="auto"/>
          <w:sz w:val="24"/>
          <w:szCs w:val="24"/>
        </w:rPr>
        <w:t>5. Integración de inteligencia artificial generativa (LLM)</w:t>
      </w:r>
      <w:bookmarkEnd w:id="23"/>
    </w:p>
    <w:p w14:paraId="5D7BEBF7" w14:textId="77777777" w:rsidR="00B21173" w:rsidRPr="00EB660E" w:rsidRDefault="00000000">
      <w:pPr>
        <w:pStyle w:val="Ttulo2"/>
        <w:spacing w:before="320" w:after="160"/>
        <w:rPr>
          <w:rFonts w:ascii="Verdana" w:hAnsi="Verdana"/>
          <w:color w:val="auto"/>
          <w:sz w:val="22"/>
          <w:szCs w:val="22"/>
        </w:rPr>
      </w:pPr>
      <w:bookmarkStart w:id="24" w:name="_Toc239878779"/>
      <w:r w:rsidRPr="00EB660E">
        <w:rPr>
          <w:rFonts w:ascii="Verdana" w:hAnsi="Verdana"/>
          <w:b/>
          <w:bCs/>
          <w:color w:val="auto"/>
          <w:sz w:val="22"/>
          <w:szCs w:val="22"/>
        </w:rPr>
        <w:t>5.1. Generación de informes narrativos</w:t>
      </w:r>
      <w:bookmarkEnd w:id="24"/>
    </w:p>
    <w:p w14:paraId="76183D51" w14:textId="21EE1269" w:rsidR="00B21173" w:rsidRPr="00EB660E" w:rsidRDefault="00000000">
      <w:pPr>
        <w:spacing w:after="200" w:line="360" w:lineRule="auto"/>
        <w:jc w:val="both"/>
        <w:rPr>
          <w:rFonts w:ascii="Verdana" w:hAnsi="Verdana"/>
          <w:sz w:val="16"/>
          <w:szCs w:val="16"/>
        </w:rPr>
      </w:pPr>
      <w:r w:rsidRPr="00EB660E">
        <w:rPr>
          <w:rFonts w:ascii="Verdana" w:hAnsi="Verdana"/>
        </w:rPr>
        <w:t xml:space="preserve">El módulo de LLM convierte los resultados del modelado de tópicos en informes ejecutivos que se puedan leer de un tirón. A partir de los tópicos más frecuentes del modelo A (YouTube y LosViajeros), un </w:t>
      </w:r>
      <w:r w:rsidRPr="00EB660E">
        <w:rPr>
          <w:rFonts w:ascii="Verdana" w:hAnsi="Verdana"/>
          <w:i/>
          <w:iCs/>
        </w:rPr>
        <w:t>prompt</w:t>
      </w:r>
      <w:r w:rsidRPr="00EB660E">
        <w:rPr>
          <w:rFonts w:ascii="Verdana" w:hAnsi="Verdana"/>
        </w:rPr>
        <w:t xml:space="preserve"> estructurado le pide al LLM un análisis en tres bloques: percepción general de Tenerife, principales problemas mencionados por los visitantes y oportunidades de mejora para TUI. </w:t>
      </w:r>
      <w:r w:rsidR="00F30051" w:rsidRPr="00EB660E">
        <w:rPr>
          <w:rFonts w:ascii="Verdana" w:hAnsi="Verdana"/>
        </w:rPr>
        <w:t>Solo entran en este análisis las opiniones y comentarios posteriores a 2022 para mantener una estricta relevancia temporal post-pandemia: los comentarios de YouTube y los 1.062 mensajes recientes de LosViajeros filtrados en la capa Silver.</w:t>
      </w:r>
    </w:p>
    <w:p w14:paraId="1AF53D6C"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La conexión con el LLM pasa por un cliente unificado (llm_client.py) que usa la API de Groq como </w:t>
      </w:r>
      <w:r w:rsidRPr="00EB660E">
        <w:rPr>
          <w:rFonts w:ascii="Verdana" w:hAnsi="Verdana"/>
          <w:i/>
          <w:iCs/>
        </w:rPr>
        <w:t>backend</w:t>
      </w:r>
      <w:r w:rsidRPr="00EB660E">
        <w:rPr>
          <w:rFonts w:ascii="Verdana" w:hAnsi="Verdana"/>
        </w:rPr>
        <w:t xml:space="preserve"> principal, aunque puede alternar a Azure OpenAI o a Ollama en local. Un segundo </w:t>
      </w:r>
      <w:r w:rsidRPr="00EB660E">
        <w:rPr>
          <w:rFonts w:ascii="Verdana" w:hAnsi="Verdana"/>
          <w:i/>
          <w:iCs/>
        </w:rPr>
        <w:t>script</w:t>
      </w:r>
      <w:r w:rsidRPr="00EB660E">
        <w:rPr>
          <w:rFonts w:ascii="Verdana" w:hAnsi="Verdana"/>
        </w:rPr>
        <w:t xml:space="preserve"> (report_generator_alojamiento.py) aplica la misma lógica al modelo B —reseñas geolocalizadas— y genera informes por municipio o por zona turística.</w:t>
      </w:r>
    </w:p>
    <w:p w14:paraId="4D42086A" w14:textId="77777777" w:rsidR="00B21173" w:rsidRPr="00EB660E" w:rsidRDefault="00000000">
      <w:pPr>
        <w:pStyle w:val="Ttulo2"/>
        <w:spacing w:before="320" w:after="160"/>
        <w:rPr>
          <w:rFonts w:ascii="Verdana" w:hAnsi="Verdana"/>
          <w:color w:val="auto"/>
          <w:sz w:val="22"/>
          <w:szCs w:val="22"/>
        </w:rPr>
      </w:pPr>
      <w:bookmarkStart w:id="25" w:name="_Toc239878780"/>
      <w:r w:rsidRPr="00EB660E">
        <w:rPr>
          <w:rFonts w:ascii="Verdana" w:hAnsi="Verdana"/>
          <w:b/>
          <w:bCs/>
          <w:color w:val="auto"/>
          <w:sz w:val="22"/>
          <w:szCs w:val="22"/>
        </w:rPr>
        <w:t>5.2. Agente conversacional (</w:t>
      </w:r>
      <w:r w:rsidRPr="00EB660E">
        <w:rPr>
          <w:rFonts w:ascii="Verdana" w:hAnsi="Verdana"/>
          <w:b/>
          <w:bCs/>
          <w:i/>
          <w:iCs/>
          <w:color w:val="auto"/>
          <w:sz w:val="22"/>
          <w:szCs w:val="22"/>
        </w:rPr>
        <w:t>Text-to-SQL</w:t>
      </w:r>
      <w:r w:rsidRPr="00EB660E">
        <w:rPr>
          <w:rFonts w:ascii="Verdana" w:hAnsi="Verdana"/>
          <w:b/>
          <w:bCs/>
          <w:color w:val="auto"/>
          <w:sz w:val="22"/>
          <w:szCs w:val="22"/>
        </w:rPr>
        <w:t>)</w:t>
      </w:r>
      <w:bookmarkEnd w:id="25"/>
    </w:p>
    <w:p w14:paraId="79499C7A" w14:textId="77777777" w:rsidR="00B21173" w:rsidRPr="00EB660E" w:rsidRDefault="00000000">
      <w:pPr>
        <w:pStyle w:val="Ttulo1"/>
        <w:spacing w:before="480" w:after="240"/>
        <w:rPr>
          <w:rFonts w:ascii="Verdana" w:hAnsi="Verdana"/>
          <w:color w:val="auto"/>
          <w:sz w:val="24"/>
          <w:szCs w:val="24"/>
        </w:rPr>
      </w:pPr>
      <w:bookmarkStart w:id="26" w:name="_Toc239878781"/>
      <w:r w:rsidRPr="00EB660E">
        <w:rPr>
          <w:rFonts w:ascii="Verdana" w:hAnsi="Verdana"/>
          <w:b/>
          <w:bCs/>
          <w:color w:val="auto"/>
          <w:sz w:val="24"/>
          <w:szCs w:val="24"/>
        </w:rPr>
        <w:t>6. Productivización: tablero visual y simulador de decisiones</w:t>
      </w:r>
      <w:bookmarkEnd w:id="26"/>
    </w:p>
    <w:p w14:paraId="1804E996" w14:textId="77777777" w:rsidR="00B21173" w:rsidRPr="00EB660E" w:rsidRDefault="00000000">
      <w:pPr>
        <w:pStyle w:val="Ttulo2"/>
        <w:spacing w:before="320" w:after="160"/>
        <w:rPr>
          <w:rFonts w:ascii="Verdana" w:hAnsi="Verdana"/>
          <w:color w:val="auto"/>
          <w:sz w:val="22"/>
          <w:szCs w:val="22"/>
        </w:rPr>
      </w:pPr>
      <w:bookmarkStart w:id="27" w:name="_Toc239878782"/>
      <w:r w:rsidRPr="00EB660E">
        <w:rPr>
          <w:rFonts w:ascii="Verdana" w:hAnsi="Verdana"/>
          <w:b/>
          <w:bCs/>
          <w:color w:val="auto"/>
          <w:sz w:val="22"/>
          <w:szCs w:val="22"/>
        </w:rPr>
        <w:t>6.1. KPIs estratégicos de negocio</w:t>
      </w:r>
      <w:bookmarkEnd w:id="27"/>
    </w:p>
    <w:p w14:paraId="0F81DD50"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La tabla gold_h3_master consolida más de 80 indicadores por hexágono, que se traducen en los KPIs operativos del </w:t>
      </w:r>
      <w:r w:rsidRPr="00EB660E">
        <w:rPr>
          <w:rFonts w:ascii="Verdana" w:hAnsi="Verdana"/>
          <w:i/>
          <w:iCs/>
        </w:rPr>
        <w:t>dashboard</w:t>
      </w:r>
      <w:r w:rsidRPr="00EB660E">
        <w:rPr>
          <w:rFonts w:ascii="Verdana" w:hAnsi="Verdana"/>
        </w:rPr>
        <w:t>: densidad de oferta alojativa, rating medio por plataforma (Booking, TripAdvisor), cobertura de transporte público, índice de vegetación (NDVI), luminosidad nocturna (VIIRS), temperatura y precipitación estacional, sentimiento medio de las reseñas, queja principal, distancia a la costa y clasificación territorial (zona turística, ENP). Merece la pena detenerse en la interpolación meteorológica: en lugar de asignarle a cada hexágono la estación más cercana, usamos una interpolación IDW (Inverse Distance Weighting) con las 3 estaciones más próximas, corregida con un gradiente térmico de -0,0065 °C/m para ajustar la temperatura a la altitud real de cada hexágono.</w:t>
      </w:r>
    </w:p>
    <w:p w14:paraId="0413F3EC" w14:textId="77777777" w:rsidR="00B21173" w:rsidRPr="00EB660E" w:rsidRDefault="00000000">
      <w:pPr>
        <w:pStyle w:val="Ttulo2"/>
        <w:spacing w:before="320" w:after="160"/>
        <w:rPr>
          <w:rFonts w:ascii="Verdana" w:hAnsi="Verdana"/>
          <w:color w:val="auto"/>
          <w:sz w:val="22"/>
          <w:szCs w:val="22"/>
        </w:rPr>
      </w:pPr>
      <w:bookmarkStart w:id="28" w:name="_Toc239878783"/>
      <w:r w:rsidRPr="00EB660E">
        <w:rPr>
          <w:rFonts w:ascii="Verdana" w:hAnsi="Verdana"/>
          <w:b/>
          <w:bCs/>
          <w:color w:val="auto"/>
          <w:sz w:val="22"/>
          <w:szCs w:val="22"/>
        </w:rPr>
        <w:t xml:space="preserve">6.2. </w:t>
      </w:r>
      <w:r w:rsidRPr="00EB660E">
        <w:rPr>
          <w:rFonts w:ascii="Verdana" w:hAnsi="Verdana"/>
          <w:b/>
          <w:bCs/>
          <w:i/>
          <w:iCs/>
          <w:color w:val="auto"/>
          <w:sz w:val="22"/>
          <w:szCs w:val="22"/>
        </w:rPr>
        <w:t>Frontend</w:t>
      </w:r>
      <w:r w:rsidRPr="00EB660E">
        <w:rPr>
          <w:rFonts w:ascii="Verdana" w:hAnsi="Verdana"/>
          <w:b/>
          <w:bCs/>
          <w:color w:val="auto"/>
          <w:sz w:val="22"/>
          <w:szCs w:val="22"/>
        </w:rPr>
        <w:t xml:space="preserve"> en Streamlit con renderizado acelerado</w:t>
      </w:r>
      <w:bookmarkEnd w:id="28"/>
    </w:p>
    <w:p w14:paraId="0C815E82" w14:textId="77777777" w:rsidR="00B21173" w:rsidRPr="00EB660E" w:rsidRDefault="00000000">
      <w:pPr>
        <w:pStyle w:val="Ttulo2"/>
        <w:spacing w:before="320" w:after="160"/>
        <w:rPr>
          <w:rFonts w:ascii="Verdana" w:hAnsi="Verdana"/>
          <w:color w:val="auto"/>
          <w:sz w:val="22"/>
          <w:szCs w:val="22"/>
        </w:rPr>
      </w:pPr>
      <w:bookmarkStart w:id="29" w:name="_Toc239878784"/>
      <w:r w:rsidRPr="00EB660E">
        <w:rPr>
          <w:rFonts w:ascii="Verdana" w:hAnsi="Verdana"/>
          <w:b/>
          <w:bCs/>
          <w:color w:val="auto"/>
          <w:sz w:val="22"/>
          <w:szCs w:val="22"/>
        </w:rPr>
        <w:lastRenderedPageBreak/>
        <w:t>6.3. Mapeo de calor y congestión mediante indexación H3</w:t>
      </w:r>
      <w:bookmarkEnd w:id="29"/>
    </w:p>
    <w:p w14:paraId="5A13566D" w14:textId="77777777" w:rsidR="00B21173" w:rsidRPr="00EB660E" w:rsidRDefault="00000000">
      <w:pPr>
        <w:pStyle w:val="Ttulo2"/>
        <w:spacing w:before="320" w:after="160"/>
        <w:rPr>
          <w:rFonts w:ascii="Verdana" w:hAnsi="Verdana"/>
          <w:color w:val="auto"/>
          <w:sz w:val="22"/>
          <w:szCs w:val="22"/>
        </w:rPr>
      </w:pPr>
      <w:bookmarkStart w:id="30" w:name="_Toc239878785"/>
      <w:r w:rsidRPr="00EB660E">
        <w:rPr>
          <w:rFonts w:ascii="Verdana" w:hAnsi="Verdana"/>
          <w:b/>
          <w:bCs/>
          <w:color w:val="auto"/>
          <w:sz w:val="22"/>
          <w:szCs w:val="22"/>
        </w:rPr>
        <w:t xml:space="preserve">6.4. Motor de </w:t>
      </w:r>
      <w:r w:rsidRPr="00EB660E">
        <w:rPr>
          <w:rFonts w:ascii="Verdana" w:hAnsi="Verdana"/>
          <w:b/>
          <w:bCs/>
          <w:i/>
          <w:iCs/>
          <w:color w:val="auto"/>
          <w:sz w:val="22"/>
          <w:szCs w:val="22"/>
        </w:rPr>
        <w:t>insights</w:t>
      </w:r>
      <w:r w:rsidRPr="00EB660E">
        <w:rPr>
          <w:rFonts w:ascii="Verdana" w:hAnsi="Verdana"/>
          <w:b/>
          <w:bCs/>
          <w:color w:val="auto"/>
          <w:sz w:val="22"/>
          <w:szCs w:val="22"/>
        </w:rPr>
        <w:t xml:space="preserve"> con IA generativa</w:t>
      </w:r>
      <w:bookmarkEnd w:id="30"/>
    </w:p>
    <w:p w14:paraId="32E76C17" w14:textId="77777777" w:rsidR="00B21173" w:rsidRPr="00EB660E" w:rsidRDefault="00000000">
      <w:pPr>
        <w:pStyle w:val="Ttulo2"/>
        <w:spacing w:before="320" w:after="160"/>
        <w:rPr>
          <w:rFonts w:ascii="Verdana" w:hAnsi="Verdana"/>
          <w:color w:val="auto"/>
          <w:sz w:val="22"/>
          <w:szCs w:val="22"/>
        </w:rPr>
      </w:pPr>
      <w:bookmarkStart w:id="31" w:name="_Toc239878786"/>
      <w:r w:rsidRPr="00EB660E">
        <w:rPr>
          <w:rFonts w:ascii="Verdana" w:hAnsi="Verdana"/>
          <w:b/>
          <w:bCs/>
          <w:color w:val="auto"/>
          <w:sz w:val="22"/>
          <w:szCs w:val="22"/>
        </w:rPr>
        <w:t>6.5. Simulador de escenarios gravitatorios</w:t>
      </w:r>
      <w:bookmarkEnd w:id="31"/>
    </w:p>
    <w:p w14:paraId="732A75AF" w14:textId="77777777" w:rsidR="00B21173" w:rsidRPr="00EB660E" w:rsidRDefault="00000000">
      <w:pPr>
        <w:pStyle w:val="Ttulo2"/>
        <w:spacing w:before="320" w:after="160"/>
        <w:rPr>
          <w:rFonts w:ascii="Verdana" w:hAnsi="Verdana"/>
          <w:color w:val="auto"/>
          <w:sz w:val="22"/>
          <w:szCs w:val="22"/>
        </w:rPr>
      </w:pPr>
      <w:bookmarkStart w:id="32" w:name="_Toc239878787"/>
      <w:r w:rsidRPr="00EB660E">
        <w:rPr>
          <w:rFonts w:ascii="Verdana" w:hAnsi="Verdana"/>
          <w:b/>
          <w:bCs/>
          <w:color w:val="auto"/>
          <w:sz w:val="22"/>
          <w:szCs w:val="22"/>
        </w:rPr>
        <w:t>6.6. Alertas parametrizadas</w:t>
      </w:r>
      <w:bookmarkEnd w:id="32"/>
    </w:p>
    <w:p w14:paraId="3EF1B7C8" w14:textId="77777777" w:rsidR="00B21173" w:rsidRPr="00EB660E" w:rsidRDefault="00000000">
      <w:pPr>
        <w:pStyle w:val="Ttulo1"/>
        <w:spacing w:before="480" w:after="240"/>
        <w:rPr>
          <w:rFonts w:ascii="Verdana" w:hAnsi="Verdana"/>
          <w:color w:val="auto"/>
          <w:sz w:val="24"/>
          <w:szCs w:val="24"/>
        </w:rPr>
      </w:pPr>
      <w:bookmarkStart w:id="33" w:name="_Toc239878788"/>
      <w:r w:rsidRPr="00EB660E">
        <w:rPr>
          <w:rFonts w:ascii="Verdana" w:hAnsi="Verdana"/>
          <w:b/>
          <w:bCs/>
          <w:color w:val="auto"/>
          <w:sz w:val="24"/>
          <w:szCs w:val="24"/>
        </w:rPr>
        <w:t>7. Pruebas, validación y documentación</w:t>
      </w:r>
      <w:bookmarkEnd w:id="33"/>
    </w:p>
    <w:p w14:paraId="5A243B36" w14:textId="77777777" w:rsidR="00B21173" w:rsidRPr="00EB660E" w:rsidRDefault="00000000">
      <w:pPr>
        <w:pStyle w:val="Ttulo2"/>
        <w:spacing w:before="320" w:after="160"/>
        <w:rPr>
          <w:rFonts w:ascii="Verdana" w:hAnsi="Verdana"/>
          <w:color w:val="auto"/>
          <w:sz w:val="22"/>
          <w:szCs w:val="22"/>
        </w:rPr>
      </w:pPr>
      <w:bookmarkStart w:id="34" w:name="_Toc239878789"/>
      <w:r w:rsidRPr="00EB660E">
        <w:rPr>
          <w:rFonts w:ascii="Verdana" w:hAnsi="Verdana"/>
          <w:b/>
          <w:bCs/>
          <w:color w:val="auto"/>
          <w:sz w:val="22"/>
          <w:szCs w:val="22"/>
        </w:rPr>
        <w:t>7.1. Depuración y pruebas de estrés</w:t>
      </w:r>
      <w:bookmarkEnd w:id="34"/>
    </w:p>
    <w:p w14:paraId="3B00725D" w14:textId="77777777" w:rsidR="00B21173" w:rsidRPr="00EB660E" w:rsidRDefault="00000000">
      <w:pPr>
        <w:pStyle w:val="Ttulo2"/>
        <w:spacing w:before="320" w:after="160"/>
        <w:rPr>
          <w:rFonts w:ascii="Verdana" w:hAnsi="Verdana"/>
          <w:color w:val="auto"/>
          <w:sz w:val="22"/>
          <w:szCs w:val="22"/>
        </w:rPr>
      </w:pPr>
      <w:bookmarkStart w:id="35" w:name="_Toc239878790"/>
      <w:r w:rsidRPr="00EB660E">
        <w:rPr>
          <w:rFonts w:ascii="Verdana" w:hAnsi="Verdana"/>
          <w:b/>
          <w:bCs/>
          <w:color w:val="auto"/>
          <w:sz w:val="22"/>
          <w:szCs w:val="22"/>
        </w:rPr>
        <w:t>7.2. Análisis empírico de resultados territoriales</w:t>
      </w:r>
      <w:bookmarkEnd w:id="35"/>
    </w:p>
    <w:p w14:paraId="1B303B45" w14:textId="77777777" w:rsidR="00B21173" w:rsidRPr="00EB660E" w:rsidRDefault="00000000">
      <w:pPr>
        <w:pStyle w:val="Ttulo2"/>
        <w:spacing w:before="320" w:after="160"/>
        <w:rPr>
          <w:rFonts w:ascii="Verdana" w:hAnsi="Verdana"/>
          <w:color w:val="auto"/>
          <w:sz w:val="22"/>
          <w:szCs w:val="22"/>
        </w:rPr>
      </w:pPr>
      <w:bookmarkStart w:id="36" w:name="_Toc239878791"/>
      <w:r w:rsidRPr="00EB660E">
        <w:rPr>
          <w:rFonts w:ascii="Verdana" w:hAnsi="Verdana"/>
          <w:b/>
          <w:bCs/>
          <w:color w:val="auto"/>
          <w:sz w:val="22"/>
          <w:szCs w:val="22"/>
        </w:rPr>
        <w:t>7.3. Redacción científica y empaquetado del TFM</w:t>
      </w:r>
      <w:bookmarkEnd w:id="36"/>
    </w:p>
    <w:p w14:paraId="245E859C" w14:textId="77777777" w:rsidR="00B21173" w:rsidRPr="00EB660E" w:rsidRDefault="00000000">
      <w:pPr>
        <w:pStyle w:val="Ttulo1"/>
        <w:spacing w:before="480" w:after="240"/>
        <w:rPr>
          <w:rFonts w:ascii="Verdana" w:hAnsi="Verdana"/>
          <w:color w:val="auto"/>
          <w:sz w:val="24"/>
          <w:szCs w:val="24"/>
        </w:rPr>
      </w:pPr>
      <w:bookmarkStart w:id="37" w:name="_Toc239878792"/>
      <w:r w:rsidRPr="00EB660E">
        <w:rPr>
          <w:rFonts w:ascii="Verdana" w:hAnsi="Verdana"/>
          <w:b/>
          <w:bCs/>
          <w:color w:val="auto"/>
          <w:sz w:val="24"/>
          <w:szCs w:val="24"/>
        </w:rPr>
        <w:t>Referencias bibliográficas</w:t>
      </w:r>
      <w:bookmarkEnd w:id="37"/>
    </w:p>
    <w:p w14:paraId="59386658" w14:textId="77777777" w:rsidR="00B21173" w:rsidRPr="00EB660E" w:rsidRDefault="00000000">
      <w:pPr>
        <w:spacing w:after="200"/>
        <w:ind w:left="720" w:hanging="720"/>
        <w:jc w:val="both"/>
        <w:rPr>
          <w:rFonts w:ascii="Verdana" w:hAnsi="Verdana"/>
          <w:sz w:val="16"/>
          <w:szCs w:val="16"/>
        </w:rPr>
      </w:pPr>
      <w:r w:rsidRPr="00EB660E">
        <w:rPr>
          <w:rFonts w:ascii="Verdana" w:hAnsi="Verdana"/>
          <w:sz w:val="18"/>
          <w:szCs w:val="18"/>
        </w:rPr>
        <w:t>Agencia Espacial Europea. (2024). Copernicus Sentinel-2 [Datos satelitales]. https://sentinels.copernicus.eu/web/sentinel/missions/sentinel-2</w:t>
      </w:r>
    </w:p>
    <w:p w14:paraId="63BB3268" w14:textId="77777777" w:rsidR="00B21173" w:rsidRPr="00EB660E" w:rsidRDefault="00000000">
      <w:pPr>
        <w:spacing w:after="200"/>
        <w:ind w:left="720" w:hanging="720"/>
        <w:jc w:val="both"/>
        <w:rPr>
          <w:rFonts w:ascii="Verdana" w:hAnsi="Verdana"/>
          <w:sz w:val="16"/>
          <w:szCs w:val="16"/>
        </w:rPr>
      </w:pPr>
      <w:r w:rsidRPr="00EB660E">
        <w:rPr>
          <w:rFonts w:ascii="Verdana" w:hAnsi="Verdana"/>
          <w:sz w:val="18"/>
          <w:szCs w:val="18"/>
        </w:rPr>
        <w:t xml:space="preserve">Armbrust, M., Ghodsi, A., Xin, R., y Zaharia, M. (2021). </w:t>
      </w:r>
      <w:r w:rsidRPr="00EB660E">
        <w:rPr>
          <w:rFonts w:ascii="Verdana" w:hAnsi="Verdana"/>
          <w:sz w:val="18"/>
          <w:szCs w:val="18"/>
          <w:lang w:val="en-GB"/>
        </w:rPr>
        <w:t xml:space="preserve">Lakehouse: A new generation of open platforms that unify data warehousing and advanced analytics. </w:t>
      </w:r>
      <w:r w:rsidRPr="00EB660E">
        <w:rPr>
          <w:rFonts w:ascii="Verdana" w:hAnsi="Verdana"/>
          <w:sz w:val="18"/>
          <w:szCs w:val="18"/>
        </w:rPr>
        <w:t>CIDR 2021. https://www.cidrdb.org/cidr2021/papers/cidr2021_paper17.pdf</w:t>
      </w:r>
    </w:p>
    <w:p w14:paraId="1F89A3F6"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rPr>
        <w:t xml:space="preserve">Barbieri, F., Camacho-Collados, J., Espinosa-Anke, L., y Neves, L. (2022). </w:t>
      </w:r>
      <w:r w:rsidRPr="00EB660E">
        <w:rPr>
          <w:rFonts w:ascii="Verdana" w:hAnsi="Verdana"/>
          <w:sz w:val="18"/>
          <w:szCs w:val="18"/>
          <w:lang w:val="en-GB"/>
        </w:rPr>
        <w:t>TweetEval: Unified benchmark and comparative evaluation for tweet classification. Findings of EMNLP 2020, 1644-1650. https://doi.org/10.18653/v1/2020.findings-emnlp.148</w:t>
      </w:r>
    </w:p>
    <w:p w14:paraId="7E63E895" w14:textId="77777777" w:rsidR="00B21173" w:rsidRPr="00EB660E" w:rsidRDefault="00000000">
      <w:pPr>
        <w:spacing w:after="200"/>
        <w:ind w:left="720" w:hanging="720"/>
        <w:jc w:val="both"/>
        <w:rPr>
          <w:rFonts w:ascii="Verdana" w:hAnsi="Verdana"/>
          <w:sz w:val="16"/>
          <w:szCs w:val="16"/>
        </w:rPr>
      </w:pPr>
      <w:r w:rsidRPr="00EB660E">
        <w:rPr>
          <w:rFonts w:ascii="Verdana" w:hAnsi="Verdana"/>
          <w:sz w:val="18"/>
          <w:szCs w:val="18"/>
        </w:rPr>
        <w:t>Cabildo de Tenerife. (2024). Agrocabildo: red de estaciones meteorológicas. https://www.agrocabildo.org</w:t>
      </w:r>
    </w:p>
    <w:p w14:paraId="59DEA2A0"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dbt Labs. (2024). dbt Core [Software]. https://docs.getdbt.com</w:t>
      </w:r>
    </w:p>
    <w:p w14:paraId="4D11AFC3"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Elvidge, C. D., Baugh, K., Zhizhin, M., Hsu, F. C., y Ghosh, T. (2017). VIIRS night-time lights. International Journal of Remote Sensing, 38(21), 5860-5879. https://doi.org/10.1080/01431161.2017.1342050</w:t>
      </w:r>
    </w:p>
    <w:p w14:paraId="3A90AB4D" w14:textId="77777777" w:rsidR="00B21173" w:rsidRPr="00EB660E" w:rsidRDefault="00000000">
      <w:pPr>
        <w:spacing w:after="200"/>
        <w:ind w:left="720" w:hanging="720"/>
        <w:jc w:val="both"/>
        <w:rPr>
          <w:rFonts w:ascii="Verdana" w:hAnsi="Verdana"/>
          <w:sz w:val="16"/>
          <w:szCs w:val="16"/>
        </w:rPr>
      </w:pPr>
      <w:r w:rsidRPr="00EB660E">
        <w:rPr>
          <w:rFonts w:ascii="Verdana" w:hAnsi="Verdana"/>
          <w:sz w:val="18"/>
          <w:szCs w:val="18"/>
        </w:rPr>
        <w:t>Gobierno de Canarias. (2024). Estadísticas de turismo. https://www.gobiernodecanarias.org/turismo/</w:t>
      </w:r>
    </w:p>
    <w:p w14:paraId="5B086C2F"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Google. (2006). General Transit Feed Specification (GTFS) reference. https://gtfs.org/schedule/reference/</w:t>
      </w:r>
    </w:p>
    <w:p w14:paraId="6D2B1E4A"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Google Developers. (2024). YouTube Data API v3. https://developers.google.com/youtube/v3</w:t>
      </w:r>
    </w:p>
    <w:p w14:paraId="2A35E735"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Grootendorst, M. (2022). BERTopic: Neural topic modeling with a class-based TF-IDF procedure. arXiv preprint arXiv:2203.05794. https://doi.org/10.48550/arXiv.2203.05794</w:t>
      </w:r>
    </w:p>
    <w:p w14:paraId="70F3AC80"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HeiGIT. (2024). OpenRouteService API [Software]. https://openrouteservice.org</w:t>
      </w:r>
    </w:p>
    <w:p w14:paraId="4F2D98F2" w14:textId="77777777" w:rsidR="00B21173" w:rsidRPr="00EB660E" w:rsidRDefault="00000000">
      <w:pPr>
        <w:spacing w:after="200"/>
        <w:ind w:left="720" w:hanging="720"/>
        <w:jc w:val="both"/>
        <w:rPr>
          <w:rFonts w:ascii="Verdana" w:hAnsi="Verdana"/>
          <w:sz w:val="16"/>
          <w:szCs w:val="16"/>
        </w:rPr>
      </w:pPr>
      <w:r w:rsidRPr="00EB660E">
        <w:rPr>
          <w:rFonts w:ascii="Verdana" w:hAnsi="Verdana"/>
          <w:sz w:val="18"/>
          <w:szCs w:val="18"/>
        </w:rPr>
        <w:t>IDECanarias. (2024). Infraestructura de Datos Espaciales de Canarias: servicios WFS. https://www.idecanarias.es</w:t>
      </w:r>
    </w:p>
    <w:p w14:paraId="23514BDD" w14:textId="77777777" w:rsidR="00B21173" w:rsidRPr="00EB660E" w:rsidRDefault="00000000">
      <w:pPr>
        <w:spacing w:after="200"/>
        <w:ind w:left="720" w:hanging="720"/>
        <w:jc w:val="both"/>
        <w:rPr>
          <w:rFonts w:ascii="Verdana" w:hAnsi="Verdana"/>
          <w:sz w:val="16"/>
          <w:szCs w:val="16"/>
        </w:rPr>
      </w:pPr>
      <w:r w:rsidRPr="00EB660E">
        <w:rPr>
          <w:rFonts w:ascii="Verdana" w:hAnsi="Verdana"/>
          <w:sz w:val="18"/>
          <w:szCs w:val="18"/>
        </w:rPr>
        <w:t>Instituto Canario de Estadística (ISTAC). (2024). Municipios en Cifras (C00067A) [Conjunto de datos]. https://www.gobiernodecanarias.org/istac/</w:t>
      </w:r>
    </w:p>
    <w:p w14:paraId="00D82FDC" w14:textId="77777777" w:rsidR="00B21173" w:rsidRPr="00EB660E" w:rsidRDefault="00000000">
      <w:pPr>
        <w:spacing w:after="200"/>
        <w:ind w:left="720" w:hanging="720"/>
        <w:jc w:val="both"/>
        <w:rPr>
          <w:rFonts w:ascii="Verdana" w:hAnsi="Verdana"/>
          <w:sz w:val="16"/>
          <w:szCs w:val="16"/>
        </w:rPr>
      </w:pPr>
      <w:r w:rsidRPr="00EB660E">
        <w:rPr>
          <w:rFonts w:ascii="Verdana" w:hAnsi="Verdana"/>
          <w:sz w:val="18"/>
          <w:szCs w:val="18"/>
        </w:rPr>
        <w:lastRenderedPageBreak/>
        <w:t>Instituto Canario de Estadística (ISTAC). (2025). FRONTUR-Canarias: resultados 2024. https://www.gobiernodecanarias.org/istac/</w:t>
      </w:r>
    </w:p>
    <w:p w14:paraId="00B0C4D8"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McInnes, L., Healy, J., y Astels, S. (2017). hdbscan: Hierarchical density based clustering. Journal of Open Source Software, 2(11), 205. https://doi.org/10.21105/joss.00205</w:t>
      </w:r>
    </w:p>
    <w:p w14:paraId="187C559C"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Microsoft. (2024). Azure Database for PostgreSQL – Flexible Server. https://learn.microsoft.com/es-es/azure/postgresql/flexible-server/</w:t>
      </w:r>
    </w:p>
    <w:p w14:paraId="74ECF70E"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Milano, C., Novelli, M., y Cheer, J. M. (2019). Overtourism and degrowth: A social movements perspective. Journal of Sustainable Tourism, 27(12), 1857-1875. https://doi.org/10.1080/09669582.2019.1650054</w:t>
      </w:r>
    </w:p>
    <w:p w14:paraId="41CEBA2D"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Muñoz-Sabater, J., et al. (2021). ERA5-Land: A state-of-the-art global reanalysis dataset for land applications. Earth System Science Data, 13(9), 4349-4383. https://doi.org/10.5194/essd-13-4349-2021</w:t>
      </w:r>
    </w:p>
    <w:p w14:paraId="32C929BD" w14:textId="77777777" w:rsidR="00B21173" w:rsidRPr="00EB660E" w:rsidRDefault="00000000">
      <w:pPr>
        <w:spacing w:after="200"/>
        <w:ind w:left="720" w:hanging="720"/>
        <w:jc w:val="both"/>
        <w:rPr>
          <w:rFonts w:ascii="Verdana" w:hAnsi="Verdana"/>
          <w:sz w:val="16"/>
          <w:szCs w:val="16"/>
          <w:lang w:val="de-DE"/>
        </w:rPr>
      </w:pPr>
      <w:r w:rsidRPr="00EB660E">
        <w:rPr>
          <w:rFonts w:ascii="Verdana" w:hAnsi="Verdana"/>
          <w:sz w:val="18"/>
          <w:szCs w:val="18"/>
          <w:lang w:val="en-GB"/>
        </w:rPr>
        <w:t xml:space="preserve">PostGIS Project. </w:t>
      </w:r>
      <w:r w:rsidRPr="00EB660E">
        <w:rPr>
          <w:rFonts w:ascii="Verdana" w:hAnsi="Verdana"/>
          <w:sz w:val="18"/>
          <w:szCs w:val="18"/>
          <w:lang w:val="de-DE"/>
        </w:rPr>
        <w:t>(2024). PostGIS [Software]. https://postgis.net</w:t>
      </w:r>
    </w:p>
    <w:p w14:paraId="6A5305E2"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de-DE"/>
        </w:rPr>
        <w:t xml:space="preserve">Richardson, L. (2024). </w:t>
      </w:r>
      <w:r w:rsidRPr="00EB660E">
        <w:rPr>
          <w:rFonts w:ascii="Verdana" w:hAnsi="Verdana"/>
          <w:sz w:val="18"/>
          <w:szCs w:val="18"/>
          <w:lang w:val="en-GB"/>
        </w:rPr>
        <w:t>Beautiful Soup [Software]. https://www.crummy.com/software/BeautifulSoup/</w:t>
      </w:r>
    </w:p>
    <w:p w14:paraId="0E15A139" w14:textId="77777777" w:rsidR="00B21173" w:rsidRPr="00EB660E" w:rsidRDefault="00000000">
      <w:pPr>
        <w:spacing w:after="200"/>
        <w:ind w:left="720" w:hanging="720"/>
        <w:jc w:val="both"/>
        <w:rPr>
          <w:rFonts w:ascii="Verdana" w:hAnsi="Verdana"/>
          <w:sz w:val="16"/>
          <w:szCs w:val="16"/>
          <w:lang w:val="de-DE"/>
        </w:rPr>
      </w:pPr>
      <w:r w:rsidRPr="00EB660E">
        <w:rPr>
          <w:rFonts w:ascii="Verdana" w:hAnsi="Verdana"/>
          <w:sz w:val="18"/>
          <w:szCs w:val="18"/>
          <w:lang w:val="en-GB"/>
        </w:rPr>
        <w:t xml:space="preserve">The PostgreSQL Global Development Group. </w:t>
      </w:r>
      <w:r w:rsidRPr="00EB660E">
        <w:rPr>
          <w:rFonts w:ascii="Verdana" w:hAnsi="Verdana"/>
          <w:sz w:val="18"/>
          <w:szCs w:val="18"/>
          <w:lang w:val="de-DE"/>
        </w:rPr>
        <w:t>(2024). PostgreSQL [Software]. https://www.postgresql.org</w:t>
      </w:r>
    </w:p>
    <w:p w14:paraId="6ED6AD52" w14:textId="77777777" w:rsidR="00B21173" w:rsidRPr="00EB660E" w:rsidRDefault="00000000">
      <w:pPr>
        <w:spacing w:after="200"/>
        <w:ind w:left="720" w:hanging="720"/>
        <w:jc w:val="both"/>
        <w:rPr>
          <w:rFonts w:ascii="Verdana" w:hAnsi="Verdana"/>
          <w:sz w:val="16"/>
          <w:szCs w:val="16"/>
        </w:rPr>
      </w:pPr>
      <w:r w:rsidRPr="00EB660E">
        <w:rPr>
          <w:rFonts w:ascii="Verdana" w:hAnsi="Verdana"/>
          <w:sz w:val="18"/>
          <w:szCs w:val="18"/>
        </w:rPr>
        <w:t>Turismo de Canarias. (2025). Estrategia de turismo regenerativo RegNext. https://www.turismodeislascanarias.com</w:t>
      </w:r>
    </w:p>
    <w:p w14:paraId="3CC403AC" w14:textId="77777777" w:rsidR="00B21173" w:rsidRPr="00EB660E" w:rsidRDefault="00000000">
      <w:pPr>
        <w:spacing w:after="200"/>
        <w:ind w:left="720" w:hanging="720"/>
        <w:jc w:val="both"/>
        <w:rPr>
          <w:rFonts w:ascii="Verdana" w:hAnsi="Verdana"/>
          <w:sz w:val="16"/>
          <w:szCs w:val="16"/>
        </w:rPr>
      </w:pPr>
      <w:r w:rsidRPr="00EB660E">
        <w:rPr>
          <w:rFonts w:ascii="Verdana" w:hAnsi="Verdana"/>
          <w:sz w:val="18"/>
          <w:szCs w:val="18"/>
        </w:rPr>
        <w:t>Turismo de Tenerife. (2025). Informe de coyuntura turística: resultados 2024. https://www.webtenerife.com</w:t>
      </w:r>
    </w:p>
    <w:p w14:paraId="46CDB214"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Uber Technologies. (2018). H3: Hexagonal hierarchical geospatial indexing system [Software]. https://h3geo.org</w:t>
      </w:r>
    </w:p>
    <w:p w14:paraId="5C3585E0" w14:textId="77777777" w:rsidR="00B21173" w:rsidRPr="00EB660E" w:rsidRDefault="00000000">
      <w:pPr>
        <w:spacing w:after="200"/>
        <w:ind w:left="720" w:hanging="720"/>
        <w:jc w:val="both"/>
        <w:rPr>
          <w:rFonts w:ascii="Verdana" w:hAnsi="Verdana"/>
          <w:sz w:val="16"/>
          <w:szCs w:val="16"/>
          <w:lang w:val="en-GB"/>
        </w:rPr>
      </w:pPr>
      <w:r w:rsidRPr="00EB660E">
        <w:rPr>
          <w:rFonts w:ascii="Verdana" w:hAnsi="Verdana"/>
          <w:sz w:val="18"/>
          <w:szCs w:val="18"/>
          <w:lang w:val="en-GB"/>
        </w:rPr>
        <w:t>Yang, H., y Li, K. (2023). PyABSA: A modularized framework for reproducible aspect-based sentiment analysis. arXiv preprint arXiv:2208.01368. https://doi.org/10.48550/arXiv.2208.01368</w:t>
      </w:r>
    </w:p>
    <w:p w14:paraId="0C5DCFB3" w14:textId="77777777" w:rsidR="00B21173" w:rsidRPr="00EB660E" w:rsidRDefault="00000000">
      <w:pPr>
        <w:spacing w:after="200"/>
        <w:ind w:left="720" w:hanging="720"/>
        <w:jc w:val="both"/>
        <w:rPr>
          <w:rFonts w:ascii="Verdana" w:hAnsi="Verdana"/>
          <w:sz w:val="16"/>
          <w:szCs w:val="16"/>
          <w:lang w:val="de-DE"/>
        </w:rPr>
      </w:pPr>
      <w:r w:rsidRPr="00EB660E">
        <w:rPr>
          <w:rFonts w:ascii="Verdana" w:hAnsi="Verdana"/>
          <w:sz w:val="18"/>
          <w:szCs w:val="18"/>
          <w:lang w:val="de-DE"/>
        </w:rPr>
        <w:t>Zippenfenig, P. (2023). Open-Meteo [Software]. https://open-meteo.com</w:t>
      </w:r>
    </w:p>
    <w:p w14:paraId="05F5BA08" w14:textId="77777777" w:rsidR="00B21173" w:rsidRPr="00EB660E" w:rsidRDefault="00000000">
      <w:pPr>
        <w:pStyle w:val="Ttulo1"/>
        <w:spacing w:before="480" w:after="240"/>
        <w:rPr>
          <w:rFonts w:ascii="Verdana" w:hAnsi="Verdana"/>
          <w:color w:val="auto"/>
          <w:sz w:val="24"/>
          <w:szCs w:val="24"/>
        </w:rPr>
      </w:pPr>
      <w:bookmarkStart w:id="38" w:name="_Toc239878793"/>
      <w:r w:rsidRPr="00EB660E">
        <w:rPr>
          <w:rFonts w:ascii="Verdana" w:hAnsi="Verdana"/>
          <w:b/>
          <w:bCs/>
          <w:color w:val="auto"/>
          <w:sz w:val="24"/>
          <w:szCs w:val="24"/>
        </w:rPr>
        <w:t>Anexos</w:t>
      </w:r>
      <w:bookmarkEnd w:id="38"/>
    </w:p>
    <w:p w14:paraId="3EEE7AA1" w14:textId="77777777" w:rsidR="00B21173" w:rsidRPr="00EB660E" w:rsidRDefault="00000000">
      <w:pPr>
        <w:pStyle w:val="Ttulo2"/>
        <w:spacing w:before="320" w:after="160"/>
        <w:rPr>
          <w:rFonts w:ascii="Verdana" w:hAnsi="Verdana"/>
          <w:color w:val="auto"/>
          <w:sz w:val="22"/>
          <w:szCs w:val="22"/>
        </w:rPr>
      </w:pPr>
      <w:bookmarkStart w:id="39" w:name="_Toc239878794"/>
      <w:r w:rsidRPr="00EB660E">
        <w:rPr>
          <w:rFonts w:ascii="Verdana" w:hAnsi="Verdana"/>
          <w:b/>
          <w:bCs/>
          <w:color w:val="auto"/>
          <w:sz w:val="22"/>
          <w:szCs w:val="22"/>
        </w:rPr>
        <w:t>Anexo A. Repositorio de código fuente</w:t>
      </w:r>
      <w:bookmarkEnd w:id="39"/>
    </w:p>
    <w:p w14:paraId="5DE35564" w14:textId="77777777" w:rsidR="00B21173" w:rsidRPr="00EB660E" w:rsidRDefault="00000000">
      <w:pPr>
        <w:spacing w:after="200" w:line="360" w:lineRule="auto"/>
        <w:jc w:val="both"/>
        <w:rPr>
          <w:rFonts w:ascii="Verdana" w:hAnsi="Verdana"/>
          <w:sz w:val="16"/>
          <w:szCs w:val="16"/>
        </w:rPr>
      </w:pPr>
      <w:r w:rsidRPr="00EB660E">
        <w:rPr>
          <w:rFonts w:ascii="Verdana" w:hAnsi="Verdana"/>
        </w:rPr>
        <w:t xml:space="preserve">El código completo del proyecto está disponible en el repositorio privado de GitHub: https://github.com/TFM-Pytones/AI_Dashboard_Core. Ahí se pueden encontrar los </w:t>
      </w:r>
      <w:r w:rsidRPr="00EB660E">
        <w:rPr>
          <w:rFonts w:ascii="Verdana" w:hAnsi="Verdana"/>
          <w:i/>
          <w:iCs/>
        </w:rPr>
        <w:t>scripts</w:t>
      </w:r>
      <w:r w:rsidRPr="00EB660E">
        <w:rPr>
          <w:rFonts w:ascii="Verdana" w:hAnsi="Verdana"/>
        </w:rPr>
        <w:t xml:space="preserve"> de ingesta, los modelos de dbt, los </w:t>
      </w:r>
      <w:r w:rsidRPr="00EB660E">
        <w:rPr>
          <w:rFonts w:ascii="Verdana" w:hAnsi="Verdana"/>
          <w:i/>
          <w:iCs/>
        </w:rPr>
        <w:t>notebooks</w:t>
      </w:r>
      <w:r w:rsidRPr="00EB660E">
        <w:rPr>
          <w:rFonts w:ascii="Verdana" w:hAnsi="Verdana"/>
        </w:rPr>
        <w:t xml:space="preserve"> de exploración, la configuración de la infraestructura y la documentación técnica.</w:t>
      </w:r>
    </w:p>
    <w:p w14:paraId="754FD489" w14:textId="77777777" w:rsidR="00B21173" w:rsidRPr="00EB660E" w:rsidRDefault="00000000">
      <w:pPr>
        <w:pStyle w:val="Ttulo2"/>
        <w:spacing w:before="320" w:after="160"/>
        <w:rPr>
          <w:rFonts w:ascii="Verdana" w:hAnsi="Verdana"/>
          <w:color w:val="auto"/>
          <w:sz w:val="22"/>
          <w:szCs w:val="22"/>
        </w:rPr>
      </w:pPr>
      <w:bookmarkStart w:id="40" w:name="_Toc239878795"/>
      <w:r w:rsidRPr="00EB660E">
        <w:rPr>
          <w:rFonts w:ascii="Verdana" w:hAnsi="Verdana"/>
          <w:b/>
          <w:bCs/>
          <w:color w:val="auto"/>
          <w:sz w:val="22"/>
          <w:szCs w:val="22"/>
        </w:rPr>
        <w:t>Anexo B. Variables de entorno</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0"/>
        <w:gridCol w:w="4326"/>
      </w:tblGrid>
      <w:tr w:rsidR="00B21173" w:rsidRPr="00EB660E" w14:paraId="7126F6AA" w14:textId="77777777">
        <w:trPr>
          <w:tblHeader/>
        </w:trPr>
        <w:tc>
          <w:tcPr>
            <w:tcW w:w="0" w:type="auto"/>
            <w:shd w:val="clear" w:color="auto" w:fill="D9D9D9"/>
            <w:tcMar>
              <w:top w:w="100" w:type="dxa"/>
              <w:left w:w="120" w:type="dxa"/>
              <w:bottom w:w="100" w:type="dxa"/>
              <w:right w:w="120" w:type="dxa"/>
            </w:tcMar>
            <w:vAlign w:val="center"/>
          </w:tcPr>
          <w:p w14:paraId="12998B9A" w14:textId="77777777" w:rsidR="00B21173" w:rsidRPr="00EB660E" w:rsidRDefault="00000000">
            <w:pPr>
              <w:rPr>
                <w:rFonts w:ascii="Verdana" w:hAnsi="Verdana"/>
                <w:sz w:val="16"/>
                <w:szCs w:val="16"/>
              </w:rPr>
            </w:pPr>
            <w:r w:rsidRPr="00EB660E">
              <w:rPr>
                <w:rFonts w:ascii="Verdana" w:hAnsi="Verdana"/>
                <w:b/>
                <w:bCs/>
                <w:sz w:val="18"/>
                <w:szCs w:val="18"/>
              </w:rPr>
              <w:t>Variable</w:t>
            </w:r>
          </w:p>
        </w:tc>
        <w:tc>
          <w:tcPr>
            <w:tcW w:w="0" w:type="auto"/>
            <w:shd w:val="clear" w:color="auto" w:fill="D9D9D9"/>
            <w:tcMar>
              <w:top w:w="100" w:type="dxa"/>
              <w:left w:w="120" w:type="dxa"/>
              <w:bottom w:w="100" w:type="dxa"/>
              <w:right w:w="120" w:type="dxa"/>
            </w:tcMar>
            <w:vAlign w:val="center"/>
          </w:tcPr>
          <w:p w14:paraId="278D41ED" w14:textId="77777777" w:rsidR="00B21173" w:rsidRPr="00EB660E" w:rsidRDefault="00000000">
            <w:pPr>
              <w:rPr>
                <w:rFonts w:ascii="Verdana" w:hAnsi="Verdana"/>
                <w:sz w:val="16"/>
                <w:szCs w:val="16"/>
              </w:rPr>
            </w:pPr>
            <w:r w:rsidRPr="00EB660E">
              <w:rPr>
                <w:rFonts w:ascii="Verdana" w:hAnsi="Verdana"/>
                <w:b/>
                <w:bCs/>
                <w:sz w:val="18"/>
                <w:szCs w:val="18"/>
              </w:rPr>
              <w:t>Descripción</w:t>
            </w:r>
          </w:p>
        </w:tc>
      </w:tr>
      <w:tr w:rsidR="00B21173" w:rsidRPr="00EB660E" w14:paraId="57D0A6AD" w14:textId="77777777">
        <w:tc>
          <w:tcPr>
            <w:tcW w:w="0" w:type="auto"/>
            <w:tcMar>
              <w:top w:w="100" w:type="dxa"/>
              <w:left w:w="120" w:type="dxa"/>
              <w:bottom w:w="100" w:type="dxa"/>
              <w:right w:w="120" w:type="dxa"/>
            </w:tcMar>
            <w:vAlign w:val="center"/>
          </w:tcPr>
          <w:p w14:paraId="7ED1C23A" w14:textId="77777777" w:rsidR="00B21173" w:rsidRPr="00EB660E" w:rsidRDefault="00000000">
            <w:pPr>
              <w:rPr>
                <w:rFonts w:ascii="Verdana" w:hAnsi="Verdana"/>
                <w:sz w:val="16"/>
                <w:szCs w:val="16"/>
                <w:lang w:val="de-DE"/>
              </w:rPr>
            </w:pPr>
            <w:r w:rsidRPr="00EB660E">
              <w:rPr>
                <w:rFonts w:ascii="Verdana" w:hAnsi="Verdana"/>
                <w:sz w:val="18"/>
                <w:szCs w:val="18"/>
                <w:lang w:val="de-DE"/>
              </w:rPr>
              <w:t>AZURE_DB_USER / PASSWORD / HOST / NAME</w:t>
            </w:r>
          </w:p>
        </w:tc>
        <w:tc>
          <w:tcPr>
            <w:tcW w:w="0" w:type="auto"/>
            <w:tcMar>
              <w:top w:w="100" w:type="dxa"/>
              <w:left w:w="120" w:type="dxa"/>
              <w:bottom w:w="100" w:type="dxa"/>
              <w:right w:w="120" w:type="dxa"/>
            </w:tcMar>
            <w:vAlign w:val="center"/>
          </w:tcPr>
          <w:p w14:paraId="50152F9E" w14:textId="77777777" w:rsidR="00B21173" w:rsidRPr="00EB660E" w:rsidRDefault="00000000">
            <w:pPr>
              <w:rPr>
                <w:rFonts w:ascii="Verdana" w:hAnsi="Verdana"/>
                <w:sz w:val="16"/>
                <w:szCs w:val="16"/>
              </w:rPr>
            </w:pPr>
            <w:r w:rsidRPr="00EB660E">
              <w:rPr>
                <w:rFonts w:ascii="Verdana" w:hAnsi="Verdana"/>
                <w:sz w:val="18"/>
                <w:szCs w:val="18"/>
              </w:rPr>
              <w:t>Conexión a Azure PostgreSQL</w:t>
            </w:r>
          </w:p>
        </w:tc>
      </w:tr>
      <w:tr w:rsidR="00B21173" w:rsidRPr="00EB660E" w14:paraId="2582E887" w14:textId="77777777">
        <w:tc>
          <w:tcPr>
            <w:tcW w:w="0" w:type="auto"/>
            <w:tcMar>
              <w:top w:w="100" w:type="dxa"/>
              <w:left w:w="120" w:type="dxa"/>
              <w:bottom w:w="100" w:type="dxa"/>
              <w:right w:w="120" w:type="dxa"/>
            </w:tcMar>
            <w:vAlign w:val="center"/>
          </w:tcPr>
          <w:p w14:paraId="7A97125C" w14:textId="77777777" w:rsidR="00B21173" w:rsidRPr="00EB660E" w:rsidRDefault="00000000">
            <w:pPr>
              <w:rPr>
                <w:rFonts w:ascii="Verdana" w:hAnsi="Verdana"/>
                <w:sz w:val="16"/>
                <w:szCs w:val="16"/>
              </w:rPr>
            </w:pPr>
            <w:r w:rsidRPr="00EB660E">
              <w:rPr>
                <w:rFonts w:ascii="Verdana" w:hAnsi="Verdana"/>
                <w:sz w:val="18"/>
                <w:szCs w:val="18"/>
              </w:rPr>
              <w:t>AZURE_STORAGE_CONNECTION_STRING</w:t>
            </w:r>
          </w:p>
        </w:tc>
        <w:tc>
          <w:tcPr>
            <w:tcW w:w="0" w:type="auto"/>
            <w:tcMar>
              <w:top w:w="100" w:type="dxa"/>
              <w:left w:w="120" w:type="dxa"/>
              <w:bottom w:w="100" w:type="dxa"/>
              <w:right w:w="120" w:type="dxa"/>
            </w:tcMar>
            <w:vAlign w:val="center"/>
          </w:tcPr>
          <w:p w14:paraId="10A8599F" w14:textId="77777777" w:rsidR="00B21173" w:rsidRPr="00EB660E" w:rsidRDefault="00000000">
            <w:pPr>
              <w:rPr>
                <w:rFonts w:ascii="Verdana" w:hAnsi="Verdana"/>
                <w:sz w:val="16"/>
                <w:szCs w:val="16"/>
              </w:rPr>
            </w:pPr>
            <w:r w:rsidRPr="00EB660E">
              <w:rPr>
                <w:rFonts w:ascii="Verdana" w:hAnsi="Verdana"/>
                <w:sz w:val="18"/>
                <w:szCs w:val="18"/>
              </w:rPr>
              <w:t>Azure Blob Storage</w:t>
            </w:r>
          </w:p>
        </w:tc>
      </w:tr>
      <w:tr w:rsidR="00B21173" w:rsidRPr="00EB660E" w14:paraId="4CF5920B" w14:textId="77777777">
        <w:tc>
          <w:tcPr>
            <w:tcW w:w="0" w:type="auto"/>
            <w:tcMar>
              <w:top w:w="100" w:type="dxa"/>
              <w:left w:w="120" w:type="dxa"/>
              <w:bottom w:w="100" w:type="dxa"/>
              <w:right w:w="120" w:type="dxa"/>
            </w:tcMar>
            <w:vAlign w:val="center"/>
          </w:tcPr>
          <w:p w14:paraId="2A1F4CA0" w14:textId="77777777" w:rsidR="00B21173" w:rsidRPr="00EB660E" w:rsidRDefault="00000000">
            <w:pPr>
              <w:rPr>
                <w:rFonts w:ascii="Verdana" w:hAnsi="Verdana"/>
                <w:sz w:val="16"/>
                <w:szCs w:val="16"/>
              </w:rPr>
            </w:pPr>
            <w:r w:rsidRPr="00EB660E">
              <w:rPr>
                <w:rFonts w:ascii="Verdana" w:hAnsi="Verdana"/>
                <w:sz w:val="18"/>
                <w:szCs w:val="18"/>
              </w:rPr>
              <w:t>YOUTUBE_API_KEY</w:t>
            </w:r>
          </w:p>
        </w:tc>
        <w:tc>
          <w:tcPr>
            <w:tcW w:w="0" w:type="auto"/>
            <w:tcMar>
              <w:top w:w="100" w:type="dxa"/>
              <w:left w:w="120" w:type="dxa"/>
              <w:bottom w:w="100" w:type="dxa"/>
              <w:right w:w="120" w:type="dxa"/>
            </w:tcMar>
            <w:vAlign w:val="center"/>
          </w:tcPr>
          <w:p w14:paraId="0DCB57D7" w14:textId="77777777" w:rsidR="00B21173" w:rsidRPr="00EB660E" w:rsidRDefault="00000000">
            <w:pPr>
              <w:rPr>
                <w:rFonts w:ascii="Verdana" w:hAnsi="Verdana"/>
                <w:sz w:val="16"/>
                <w:szCs w:val="16"/>
                <w:lang w:val="en-GB"/>
              </w:rPr>
            </w:pPr>
            <w:r w:rsidRPr="00EB660E">
              <w:rPr>
                <w:rFonts w:ascii="Verdana" w:hAnsi="Verdana"/>
                <w:sz w:val="18"/>
                <w:szCs w:val="18"/>
                <w:lang w:val="en-GB"/>
              </w:rPr>
              <w:t>API de YouTube Data v3</w:t>
            </w:r>
          </w:p>
        </w:tc>
      </w:tr>
      <w:tr w:rsidR="00B21173" w:rsidRPr="00EB660E" w14:paraId="0988338A" w14:textId="77777777">
        <w:tc>
          <w:tcPr>
            <w:tcW w:w="0" w:type="auto"/>
            <w:tcMar>
              <w:top w:w="100" w:type="dxa"/>
              <w:left w:w="120" w:type="dxa"/>
              <w:bottom w:w="100" w:type="dxa"/>
              <w:right w:w="120" w:type="dxa"/>
            </w:tcMar>
            <w:vAlign w:val="center"/>
          </w:tcPr>
          <w:p w14:paraId="03F0A005" w14:textId="77777777" w:rsidR="00B21173" w:rsidRPr="00EB660E" w:rsidRDefault="00000000">
            <w:pPr>
              <w:rPr>
                <w:rFonts w:ascii="Verdana" w:hAnsi="Verdana"/>
                <w:sz w:val="16"/>
                <w:szCs w:val="16"/>
              </w:rPr>
            </w:pPr>
            <w:r w:rsidRPr="00EB660E">
              <w:rPr>
                <w:rFonts w:ascii="Verdana" w:hAnsi="Verdana"/>
                <w:sz w:val="18"/>
                <w:szCs w:val="18"/>
              </w:rPr>
              <w:lastRenderedPageBreak/>
              <w:t>ORS_API_KEY</w:t>
            </w:r>
          </w:p>
        </w:tc>
        <w:tc>
          <w:tcPr>
            <w:tcW w:w="0" w:type="auto"/>
            <w:tcMar>
              <w:top w:w="100" w:type="dxa"/>
              <w:left w:w="120" w:type="dxa"/>
              <w:bottom w:w="100" w:type="dxa"/>
              <w:right w:w="120" w:type="dxa"/>
            </w:tcMar>
            <w:vAlign w:val="center"/>
          </w:tcPr>
          <w:p w14:paraId="41378222" w14:textId="77777777" w:rsidR="00B21173" w:rsidRPr="00EB660E" w:rsidRDefault="00000000">
            <w:pPr>
              <w:rPr>
                <w:rFonts w:ascii="Verdana" w:hAnsi="Verdana"/>
                <w:sz w:val="16"/>
                <w:szCs w:val="16"/>
              </w:rPr>
            </w:pPr>
            <w:r w:rsidRPr="00EB660E">
              <w:rPr>
                <w:rFonts w:ascii="Verdana" w:hAnsi="Verdana"/>
                <w:sz w:val="18"/>
                <w:szCs w:val="18"/>
              </w:rPr>
              <w:t>API de OpenRouteService (isócronas)</w:t>
            </w:r>
          </w:p>
        </w:tc>
      </w:tr>
      <w:tr w:rsidR="00B21173" w:rsidRPr="00EB660E" w14:paraId="63F6146D" w14:textId="77777777">
        <w:tc>
          <w:tcPr>
            <w:tcW w:w="0" w:type="auto"/>
            <w:tcMar>
              <w:top w:w="100" w:type="dxa"/>
              <w:left w:w="120" w:type="dxa"/>
              <w:bottom w:w="100" w:type="dxa"/>
              <w:right w:w="120" w:type="dxa"/>
            </w:tcMar>
            <w:vAlign w:val="center"/>
          </w:tcPr>
          <w:p w14:paraId="492DD8CC" w14:textId="77777777" w:rsidR="00B21173" w:rsidRPr="00EB660E" w:rsidRDefault="00000000">
            <w:pPr>
              <w:rPr>
                <w:rFonts w:ascii="Verdana" w:hAnsi="Verdana"/>
                <w:sz w:val="16"/>
                <w:szCs w:val="16"/>
              </w:rPr>
            </w:pPr>
            <w:r w:rsidRPr="00EB660E">
              <w:rPr>
                <w:rFonts w:ascii="Verdana" w:hAnsi="Verdana"/>
                <w:sz w:val="18"/>
                <w:szCs w:val="18"/>
              </w:rPr>
              <w:t>GROQ_API_KEY</w:t>
            </w:r>
          </w:p>
        </w:tc>
        <w:tc>
          <w:tcPr>
            <w:tcW w:w="0" w:type="auto"/>
            <w:tcMar>
              <w:top w:w="100" w:type="dxa"/>
              <w:left w:w="120" w:type="dxa"/>
              <w:bottom w:w="100" w:type="dxa"/>
              <w:right w:w="120" w:type="dxa"/>
            </w:tcMar>
            <w:vAlign w:val="center"/>
          </w:tcPr>
          <w:p w14:paraId="7EE2F5A1" w14:textId="77777777" w:rsidR="00B21173" w:rsidRPr="00EB660E" w:rsidRDefault="00000000">
            <w:pPr>
              <w:rPr>
                <w:rFonts w:ascii="Verdana" w:hAnsi="Verdana"/>
                <w:sz w:val="16"/>
                <w:szCs w:val="16"/>
              </w:rPr>
            </w:pPr>
            <w:r w:rsidRPr="00EB660E">
              <w:rPr>
                <w:rFonts w:ascii="Verdana" w:hAnsi="Verdana"/>
                <w:sz w:val="18"/>
                <w:szCs w:val="18"/>
              </w:rPr>
              <w:t>API de Groq (LLM para informes narrativos)</w:t>
            </w:r>
          </w:p>
        </w:tc>
      </w:tr>
    </w:tbl>
    <w:p w14:paraId="727A8C03" w14:textId="77777777" w:rsidR="00B21173" w:rsidRPr="00EB660E" w:rsidRDefault="00B21173">
      <w:pPr>
        <w:spacing w:after="200"/>
        <w:rPr>
          <w:rFonts w:ascii="Verdana" w:hAnsi="Verdana"/>
          <w:sz w:val="16"/>
          <w:szCs w:val="16"/>
        </w:rPr>
      </w:pPr>
    </w:p>
    <w:p w14:paraId="625A36F0" w14:textId="77777777" w:rsidR="00B21173" w:rsidRPr="00EB660E" w:rsidRDefault="00000000">
      <w:pPr>
        <w:pStyle w:val="Ttulo2"/>
        <w:spacing w:before="320" w:after="160"/>
        <w:rPr>
          <w:rFonts w:ascii="Verdana" w:hAnsi="Verdana"/>
          <w:color w:val="auto"/>
          <w:sz w:val="22"/>
          <w:szCs w:val="22"/>
        </w:rPr>
      </w:pPr>
      <w:bookmarkStart w:id="41" w:name="_Toc239878796"/>
      <w:r w:rsidRPr="00EB660E">
        <w:rPr>
          <w:rFonts w:ascii="Verdana" w:hAnsi="Verdana"/>
          <w:b/>
          <w:bCs/>
          <w:color w:val="auto"/>
          <w:sz w:val="22"/>
          <w:szCs w:val="22"/>
        </w:rPr>
        <w:t>Anexo C. Esquemas SQL</w:t>
      </w:r>
      <w:bookmarkEnd w:id="41"/>
    </w:p>
    <w:p w14:paraId="39FA8C19" w14:textId="77777777" w:rsidR="00B21173" w:rsidRPr="00EB660E" w:rsidRDefault="00000000">
      <w:pPr>
        <w:spacing w:after="200"/>
        <w:rPr>
          <w:rFonts w:ascii="Verdana" w:hAnsi="Verdana"/>
          <w:sz w:val="16"/>
          <w:szCs w:val="16"/>
        </w:rPr>
      </w:pPr>
      <w:r w:rsidRPr="00EB660E">
        <w:rPr>
          <w:rFonts w:ascii="Verdana" w:hAnsi="Verdana"/>
          <w:i/>
          <w:iCs/>
        </w:rPr>
        <w:t>Definiciones DDL de las tablas principales (bronze, silver, gold).</w:t>
      </w:r>
    </w:p>
    <w:p w14:paraId="5BDD7F09" w14:textId="77777777" w:rsidR="00B21173" w:rsidRPr="00EB660E" w:rsidRDefault="00000000">
      <w:pPr>
        <w:pStyle w:val="Ttulo2"/>
        <w:spacing w:before="320" w:after="160"/>
        <w:rPr>
          <w:rFonts w:ascii="Verdana" w:hAnsi="Verdana"/>
          <w:color w:val="auto"/>
          <w:sz w:val="22"/>
          <w:szCs w:val="22"/>
        </w:rPr>
      </w:pPr>
      <w:bookmarkStart w:id="42" w:name="_Toc239878797"/>
      <w:r w:rsidRPr="00EB660E">
        <w:rPr>
          <w:rFonts w:ascii="Verdana" w:hAnsi="Verdana"/>
          <w:b/>
          <w:bCs/>
          <w:color w:val="auto"/>
          <w:sz w:val="22"/>
          <w:szCs w:val="22"/>
        </w:rPr>
        <w:t xml:space="preserve">Anexo D. Capturas del </w:t>
      </w:r>
      <w:r w:rsidRPr="00EB660E">
        <w:rPr>
          <w:rFonts w:ascii="Verdana" w:hAnsi="Verdana"/>
          <w:b/>
          <w:bCs/>
          <w:i/>
          <w:iCs/>
          <w:color w:val="auto"/>
          <w:sz w:val="22"/>
          <w:szCs w:val="22"/>
        </w:rPr>
        <w:t>dashboard</w:t>
      </w:r>
      <w:bookmarkEnd w:id="42"/>
    </w:p>
    <w:p w14:paraId="5B5F61F2" w14:textId="3287A159" w:rsidR="00B21173" w:rsidRPr="00EB660E" w:rsidRDefault="00000000">
      <w:pPr>
        <w:spacing w:after="200"/>
        <w:rPr>
          <w:rFonts w:ascii="Verdana" w:hAnsi="Verdana"/>
          <w:sz w:val="16"/>
          <w:szCs w:val="16"/>
        </w:rPr>
      </w:pPr>
      <w:r w:rsidRPr="00EB660E">
        <w:rPr>
          <w:rFonts w:ascii="Verdana" w:hAnsi="Verdana"/>
          <w:i/>
          <w:iCs/>
        </w:rPr>
        <w:t>Capturas de pantalla del dashboard de Streamlit</w:t>
      </w:r>
      <w:r w:rsidR="004F0450" w:rsidRPr="00EB660E">
        <w:rPr>
          <w:rFonts w:ascii="Verdana" w:hAnsi="Verdana"/>
          <w:i/>
          <w:iCs/>
        </w:rPr>
        <w:t>.</w:t>
      </w:r>
    </w:p>
    <w:sectPr w:rsidR="00B21173" w:rsidRPr="00EB660E" w:rsidSect="004F0450">
      <w:footerReference w:type="default" r:id="rId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A1DD" w14:textId="77777777" w:rsidR="00955CE0" w:rsidRDefault="00955CE0" w:rsidP="004F0450">
      <w:r>
        <w:separator/>
      </w:r>
    </w:p>
  </w:endnote>
  <w:endnote w:type="continuationSeparator" w:id="0">
    <w:p w14:paraId="64E3D2D8" w14:textId="77777777" w:rsidR="00955CE0" w:rsidRDefault="00955CE0" w:rsidP="004F0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241288"/>
      <w:docPartObj>
        <w:docPartGallery w:val="Page Numbers (Bottom of Page)"/>
        <w:docPartUnique/>
      </w:docPartObj>
    </w:sdtPr>
    <w:sdtContent>
      <w:p w14:paraId="3F42894F" w14:textId="1166956B" w:rsidR="004F0450" w:rsidRDefault="004F0450">
        <w:pPr>
          <w:pStyle w:val="Piedepgina"/>
          <w:jc w:val="right"/>
        </w:pPr>
        <w:r>
          <w:fldChar w:fldCharType="begin"/>
        </w:r>
        <w:r>
          <w:instrText>PAGE   \* MERGEFORMAT</w:instrText>
        </w:r>
        <w:r>
          <w:fldChar w:fldCharType="separate"/>
        </w:r>
        <w:r>
          <w:t>2</w:t>
        </w:r>
        <w:r>
          <w:fldChar w:fldCharType="end"/>
        </w:r>
      </w:p>
    </w:sdtContent>
  </w:sdt>
  <w:p w14:paraId="7EF1C9A8" w14:textId="77777777" w:rsidR="004F0450" w:rsidRDefault="004F04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B07C" w14:textId="77777777" w:rsidR="00955CE0" w:rsidRDefault="00955CE0" w:rsidP="004F0450">
      <w:r>
        <w:separator/>
      </w:r>
    </w:p>
  </w:footnote>
  <w:footnote w:type="continuationSeparator" w:id="0">
    <w:p w14:paraId="289783E6" w14:textId="77777777" w:rsidR="00955CE0" w:rsidRDefault="00955CE0" w:rsidP="004F0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43E3"/>
    <w:multiLevelType w:val="hybridMultilevel"/>
    <w:tmpl w:val="59CA26FA"/>
    <w:lvl w:ilvl="0" w:tplc="8F320A0C">
      <w:start w:val="1"/>
      <w:numFmt w:val="bullet"/>
      <w:lvlText w:val="●"/>
      <w:lvlJc w:val="left"/>
      <w:pPr>
        <w:ind w:left="720" w:hanging="360"/>
      </w:pPr>
    </w:lvl>
    <w:lvl w:ilvl="1" w:tplc="B27CD040">
      <w:start w:val="1"/>
      <w:numFmt w:val="bullet"/>
      <w:lvlText w:val="○"/>
      <w:lvlJc w:val="left"/>
      <w:pPr>
        <w:ind w:left="1440" w:hanging="360"/>
      </w:pPr>
    </w:lvl>
    <w:lvl w:ilvl="2" w:tplc="A288D914">
      <w:start w:val="1"/>
      <w:numFmt w:val="bullet"/>
      <w:lvlText w:val="■"/>
      <w:lvlJc w:val="left"/>
      <w:pPr>
        <w:ind w:left="2160" w:hanging="360"/>
      </w:pPr>
    </w:lvl>
    <w:lvl w:ilvl="3" w:tplc="97DC453E">
      <w:start w:val="1"/>
      <w:numFmt w:val="bullet"/>
      <w:lvlText w:val="●"/>
      <w:lvlJc w:val="left"/>
      <w:pPr>
        <w:ind w:left="2880" w:hanging="360"/>
      </w:pPr>
    </w:lvl>
    <w:lvl w:ilvl="4" w:tplc="CBB8C7EE">
      <w:start w:val="1"/>
      <w:numFmt w:val="bullet"/>
      <w:lvlText w:val="○"/>
      <w:lvlJc w:val="left"/>
      <w:pPr>
        <w:ind w:left="3600" w:hanging="360"/>
      </w:pPr>
    </w:lvl>
    <w:lvl w:ilvl="5" w:tplc="68BA0A92">
      <w:start w:val="1"/>
      <w:numFmt w:val="bullet"/>
      <w:lvlText w:val="■"/>
      <w:lvlJc w:val="left"/>
      <w:pPr>
        <w:ind w:left="4320" w:hanging="360"/>
      </w:pPr>
    </w:lvl>
    <w:lvl w:ilvl="6" w:tplc="EBCECE4E">
      <w:start w:val="1"/>
      <w:numFmt w:val="bullet"/>
      <w:lvlText w:val="●"/>
      <w:lvlJc w:val="left"/>
      <w:pPr>
        <w:ind w:left="5040" w:hanging="360"/>
      </w:pPr>
    </w:lvl>
    <w:lvl w:ilvl="7" w:tplc="12C45F3A">
      <w:start w:val="1"/>
      <w:numFmt w:val="bullet"/>
      <w:lvlText w:val="●"/>
      <w:lvlJc w:val="left"/>
      <w:pPr>
        <w:ind w:left="5760" w:hanging="360"/>
      </w:pPr>
    </w:lvl>
    <w:lvl w:ilvl="8" w:tplc="C46E4EAE">
      <w:start w:val="1"/>
      <w:numFmt w:val="bullet"/>
      <w:lvlText w:val="●"/>
      <w:lvlJc w:val="left"/>
      <w:pPr>
        <w:ind w:left="6480" w:hanging="360"/>
      </w:pPr>
    </w:lvl>
  </w:abstractNum>
  <w:num w:numId="1" w16cid:durableId="1489321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173"/>
    <w:rsid w:val="00006CCC"/>
    <w:rsid w:val="000C3320"/>
    <w:rsid w:val="00150C11"/>
    <w:rsid w:val="003E145A"/>
    <w:rsid w:val="00445C71"/>
    <w:rsid w:val="004F0450"/>
    <w:rsid w:val="005D1BB2"/>
    <w:rsid w:val="00617458"/>
    <w:rsid w:val="006440D8"/>
    <w:rsid w:val="0089711E"/>
    <w:rsid w:val="008A0917"/>
    <w:rsid w:val="008D5BD6"/>
    <w:rsid w:val="00955CE0"/>
    <w:rsid w:val="00A21D27"/>
    <w:rsid w:val="00A25080"/>
    <w:rsid w:val="00A868C6"/>
    <w:rsid w:val="00AB1CA7"/>
    <w:rsid w:val="00AD3B04"/>
    <w:rsid w:val="00AD667F"/>
    <w:rsid w:val="00B21173"/>
    <w:rsid w:val="00B37F38"/>
    <w:rsid w:val="00CA345C"/>
    <w:rsid w:val="00D81EFD"/>
    <w:rsid w:val="00E0273F"/>
    <w:rsid w:val="00E6331D"/>
    <w:rsid w:val="00EB660E"/>
    <w:rsid w:val="00EE24A7"/>
    <w:rsid w:val="00F30051"/>
    <w:rsid w:val="00FA3894"/>
    <w:rsid w:val="00FE1C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5D955"/>
  <w15:docId w15:val="{84AA6E35-38C5-4BA9-9A8E-F076173D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F0450"/>
    <w:pPr>
      <w:spacing w:after="100"/>
    </w:pPr>
  </w:style>
  <w:style w:type="paragraph" w:styleId="TDC2">
    <w:name w:val="toc 2"/>
    <w:basedOn w:val="Normal"/>
    <w:next w:val="Normal"/>
    <w:autoRedefine/>
    <w:uiPriority w:val="39"/>
    <w:unhideWhenUsed/>
    <w:rsid w:val="004F0450"/>
    <w:pPr>
      <w:spacing w:after="100"/>
      <w:ind w:left="200"/>
    </w:pPr>
  </w:style>
  <w:style w:type="paragraph" w:styleId="Encabezado">
    <w:name w:val="header"/>
    <w:basedOn w:val="Normal"/>
    <w:link w:val="EncabezadoCar"/>
    <w:uiPriority w:val="99"/>
    <w:unhideWhenUsed/>
    <w:rsid w:val="004F0450"/>
    <w:pPr>
      <w:tabs>
        <w:tab w:val="center" w:pos="4252"/>
        <w:tab w:val="right" w:pos="8504"/>
      </w:tabs>
    </w:pPr>
  </w:style>
  <w:style w:type="character" w:customStyle="1" w:styleId="EncabezadoCar">
    <w:name w:val="Encabezado Car"/>
    <w:basedOn w:val="Fuentedeprrafopredeter"/>
    <w:link w:val="Encabezado"/>
    <w:uiPriority w:val="99"/>
    <w:rsid w:val="004F0450"/>
  </w:style>
  <w:style w:type="paragraph" w:styleId="Piedepgina">
    <w:name w:val="footer"/>
    <w:basedOn w:val="Normal"/>
    <w:link w:val="PiedepginaCar"/>
    <w:uiPriority w:val="99"/>
    <w:unhideWhenUsed/>
    <w:rsid w:val="004F0450"/>
    <w:pPr>
      <w:tabs>
        <w:tab w:val="center" w:pos="4252"/>
        <w:tab w:val="right" w:pos="8504"/>
      </w:tabs>
    </w:pPr>
  </w:style>
  <w:style w:type="character" w:customStyle="1" w:styleId="PiedepginaCar">
    <w:name w:val="Pie de página Car"/>
    <w:basedOn w:val="Fuentedeprrafopredeter"/>
    <w:link w:val="Piedepgina"/>
    <w:uiPriority w:val="99"/>
    <w:rsid w:val="004F0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14</Pages>
  <Words>4636</Words>
  <Characters>25504</Characters>
  <Application>Microsoft Office Word</Application>
  <DocSecurity>0</DocSecurity>
  <Lines>212</Lines>
  <Paragraphs>60</Paragraphs>
  <ScaleCrop>false</ScaleCrop>
  <Company/>
  <LinksUpToDate>false</LinksUpToDate>
  <CharactersWithSpaces>30080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AI-Dashboard para la gestión de la oferta turística georreferenciada — TFM</dc:title>
  <dc:creator>TFM Pytones</dc:creator>
  <cp:lastModifiedBy>Roberto Hernando Ascaso</cp:lastModifiedBy>
  <cp:revision>24</cp:revision>
  <dcterms:created xsi:type="dcterms:W3CDTF">2026-09-09T18:37:00Z</dcterms:created>
  <dcterms:modified xsi:type="dcterms:W3CDTF">2026-09-12T19:31:00Z</dcterms:modified>
</cp:coreProperties>
</file>