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76" w:lineRule="auto" w:before="480" w:after="240"/>
      </w:pPr>
      <w:r>
        <w:rPr>
          <w:rFonts w:ascii="Verdana" w:hAnsi="Verdana" w:cs="Verdana" w:eastAsia="Verdana"/>
          <w:b/>
          <w:color w:val="1F497D"/>
          <w:sz w:val="26"/>
          <w:szCs w:val="26"/>
        </w:rPr>
        <w:t xml:space="preserve">AI-Dashboard para la gestión de la oferta turística georreferenciada e integración con datos abiertos externos de la isla de Tenerife</w:t>
      </w:r>
    </w:p>
    <w:p>
      <w:pPr>
        <w:pStyle w:val="Author"/>
        <w:spacing w:line="276" w:lineRule="auto" w:after="100"/>
        <w:jc w:val="both"/>
      </w:pPr>
      <w:r>
        <w:rPr>
          <w:rFonts w:ascii="Verdana" w:hAnsi="Verdana" w:cs="Verdana" w:eastAsia="Verdana"/>
          <w:color w:val="222222"/>
          <w:sz w:val="20"/>
          <w:szCs w:val="20"/>
        </w:rPr>
        <w:t xml:space="preserve">Juan Andrés Cabrera, Jaime de Vera, Roberto Hernando, Guillermo Martínez, Jorge Tamirat Montes, Mario Rosete</w:t>
      </w:r>
    </w:p>
    <w:p>
      <w:pPr>
        <w:pStyle w:val="Date"/>
        <w:spacing w:line="276" w:lineRule="auto" w:after="100"/>
        <w:jc w:val="both"/>
      </w:pPr>
      <w:r>
        <w:rPr>
          <w:rFonts w:ascii="Verdana" w:hAnsi="Verdana" w:cs="Verdana" w:eastAsia="Verdana"/>
          <w:color w:val="222222"/>
          <w:sz w:val="20"/>
          <w:szCs w:val="20"/>
        </w:rPr>
        <w:t xml:space="preserve">Curso 2025–2026 — Caso TUI (Desafío 3) · UCM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spacing w:line="276" w:lineRule="auto" w:after="100"/>
        <w:jc w:val="both"/>
      </w:pPr>
      <w:r>
        <w:rPr>
          <w:b/>
          <w:bCs/>
          <w:rFonts w:ascii="Verdana" w:hAnsi="Verdana" w:cs="Verdana" w:eastAsia="Verdana"/>
          <w:color w:val="222222"/>
          <w:sz w:val="20"/>
          <w:szCs w:val="20"/>
        </w:rPr>
        <w:t xml:space="preserve">UNIVERSIDAD COMPLUTENSE DE MADRID</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Máster en Data Science, Big Data &amp; Business Analytics</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TRABAJO DE FIN DE MÁSTER — Desafío 3 · Caso TUI</w:t>
      </w:r>
    </w:p>
    <w:p>
      <w:pPr>
        <w:pStyle w:val="BodyText"/>
        <w:spacing w:line="276" w:lineRule="auto" w:after="100"/>
        <w:jc w:val="both"/>
      </w:pPr>
      <w:r>
        <w:rPr>
          <w:i/>
          <w:iCs/>
          <w:rFonts w:ascii="Verdana" w:hAnsi="Verdana" w:cs="Verdana" w:eastAsia="Verdana"/>
          <w:color w:val="222222"/>
          <w:sz w:val="20"/>
          <w:szCs w:val="20"/>
        </w:rPr>
        <w:t xml:space="preserve">Juan Andrés Cabrera Taramasco · Jaime de Vera Martín · Roberto Hernando Ascaso · Guillermo Martínez Ortigosa · Jorge Tamirat Montes Nocete · Mario Rosete Lázaro</w:t>
      </w:r>
    </w:p>
    <w:p>
      <w:pPr>
        <w:pStyle w:val="BodyText"/>
        <w:spacing w:line="276" w:lineRule="auto" w:after="100"/>
        <w:jc w:val="both"/>
      </w:pPr>
      <w:r>
        <w:rPr>
          <w:i/>
          <w:iCs/>
          <w:rFonts w:ascii="Verdana" w:hAnsi="Verdana" w:cs="Verdana" w:eastAsia="Verdana"/>
          <w:color w:val="222222"/>
          <w:sz w:val="20"/>
          <w:szCs w:val="20"/>
        </w:rPr>
        <w:t xml:space="preserve">Curso académico 2025–2026</w:t>
      </w:r>
    </w:p>
    <w:p>
      <w:pPr>
        <w:spacing w:line="276" w:lineRule="auto" w:after="100"/>
        <w:jc w:val="both"/>
      </w:pPr>
      <w:r>
        <w:rPr>
          <w:rFonts w:ascii="Verdana" w:hAnsi="Verdana" w:cs="Verdana" w:eastAsia="Verdana"/>
          <w:color w:val="222222"/>
          <w:sz w:val="20"/>
          <w:szCs w:val="20"/>
        </w:rPr>
        <w:pict>
          <v:rect style="width:0;height:1.5pt" o:hralign="center" o:hrstd="t" o:hr="t"/>
        </w:pict>
      </w:r>
    </w:p>
    <w:bookmarkStart w:id="9" w:name="resumen-ejecutivo"/>
    <w:p>
      <w:pPr>
        <w:pStyle w:val="Heading1"/>
        <w:keepNext/>
        <w:spacing w:line="276" w:lineRule="auto" w:before="280" w:after="80"/>
      </w:pPr>
      <w:r>
        <w:rPr>
          <w:rFonts w:ascii="Verdana" w:hAnsi="Verdana" w:cs="Verdana" w:eastAsia="Verdana"/>
          <w:b/>
          <w:color w:val="1F497D"/>
          <w:sz w:val="24"/>
          <w:szCs w:val="24"/>
        </w:rPr>
        <w:t xml:space="preserve">Resumen ejecutivo</w:t>
      </w:r>
    </w:p>
    <w:p>
      <w:pPr>
        <w:pStyle w:val="Compact"/>
        <w:numPr>
          <w:ilvl w:val="0"/>
          <w:numId w:val="1001"/>
        </w:numPr>
        <w:spacing w:line="276" w:lineRule="auto" w:after="100"/>
        <w:jc w:val="both"/>
      </w:pPr>
      <w:r>
        <w:rPr>
          <w:rFonts w:ascii="Verdana" w:hAnsi="Verdana" w:cs="Verdana" w:eastAsia="Verdana"/>
          <w:color w:val="222222"/>
          <w:sz w:val="20"/>
          <w:szCs w:val="20"/>
        </w:rPr>
        <w:t xml:space="preserve">Tenerife recibe 7,2 millones de turistas internacionales anuales con una distribución radicalmente desigual: la franja costera sur acumula el 80 % de la actividad mientras el interior rural permanece infrautilizado.</w:t>
      </w:r>
    </w:p>
    <w:p>
      <w:pPr>
        <w:pStyle w:val="Compact"/>
        <w:numPr>
          <w:ilvl w:val="0"/>
          <w:numId w:val="1001"/>
        </w:numPr>
        <w:spacing w:line="276" w:lineRule="auto" w:after="100"/>
        <w:jc w:val="both"/>
      </w:pPr>
      <w:r>
        <w:rPr>
          <w:rFonts w:ascii="Verdana" w:hAnsi="Verdana" w:cs="Verdana" w:eastAsia="Verdana"/>
          <w:color w:val="222222"/>
          <w:sz w:val="20"/>
          <w:szCs w:val="20"/>
        </w:rPr>
        <w:t xml:space="preserve">Este proyecto construye un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AI-Dashboard de inteligencia territorial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que integra más de diez fuentes de datos heterogéneas —estadísticas oficiales, transporte público, clima, satélite, redes sociales— en una plataforma analítica unificada.</w:t>
      </w:r>
    </w:p>
    <w:p>
      <w:pPr>
        <w:pStyle w:val="Compact"/>
        <w:numPr>
          <w:ilvl w:val="0"/>
          <w:numId w:val="1001"/>
        </w:numPr>
        <w:spacing w:line="276" w:lineRule="auto" w:after="100"/>
        <w:jc w:val="both"/>
      </w:pPr>
      <w:r>
        <w:rPr>
          <w:rFonts w:ascii="Verdana" w:hAnsi="Verdana" w:cs="Verdana" w:eastAsia="Verdana"/>
          <w:color w:val="222222"/>
          <w:sz w:val="20"/>
          <w:szCs w:val="20"/>
        </w:rPr>
        <w:t xml:space="preserve">La arquitectura sigue el patrón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Data Lakehouse en Azure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(capas Bronce, Plata y Oro) con transformaciones trazables vía dbt y orquestación automatizada con Apache Airflow.</w:t>
      </w:r>
    </w:p>
    <w:p>
      <w:pPr>
        <w:pStyle w:val="Compact"/>
        <w:numPr>
          <w:ilvl w:val="0"/>
          <w:numId w:val="1001"/>
        </w:numPr>
        <w:spacing w:line="276" w:lineRule="auto" w:after="100"/>
        <w:jc w:val="both"/>
      </w:pPr>
      <w:r>
        <w:rPr>
          <w:rFonts w:ascii="Verdana" w:hAnsi="Verdana" w:cs="Verdana" w:eastAsia="Verdana"/>
          <w:color w:val="222222"/>
          <w:sz w:val="20"/>
          <w:szCs w:val="20"/>
        </w:rPr>
        <w:t xml:space="preserve">Los análisis incluyen NLP multilingüe sobre 170.000+ textos, clustering espacial con HDBSCAN, isócronas de accesibilidad para 18 destinos estratégicos e interpolación climática por hexágono.</w:t>
      </w:r>
    </w:p>
    <w:p>
      <w:pPr>
        <w:pStyle w:val="Compact"/>
        <w:numPr>
          <w:ilvl w:val="0"/>
          <w:numId w:val="1001"/>
        </w:numPr>
        <w:spacing w:line="276" w:lineRule="auto" w:after="100"/>
        <w:jc w:val="both"/>
      </w:pPr>
      <w:r>
        <w:rPr>
          <w:rFonts w:ascii="Verdana" w:hAnsi="Verdana" w:cs="Verdana" w:eastAsia="Verdana"/>
          <w:color w:val="222222"/>
          <w:sz w:val="20"/>
          <w:szCs w:val="20"/>
        </w:rPr>
        <w:t xml:space="preserve">Un módulo de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IA generativa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(Groq API) transforma los datos analíticos en informes ejecutivos narrativos listos para consumir sin conocimientos técnicos.</w:t>
      </w:r>
    </w:p>
    <w:p>
      <w:pPr>
        <w:pStyle w:val="Compact"/>
        <w:numPr>
          <w:ilvl w:val="0"/>
          <w:numId w:val="1001"/>
        </w:numPr>
        <w:spacing w:line="276" w:lineRule="auto" w:after="100"/>
        <w:jc w:val="both"/>
      </w:pPr>
      <w:r>
        <w:rPr>
          <w:rFonts w:ascii="Verdana" w:hAnsi="Verdana" w:cs="Verdana" w:eastAsia="Verdana"/>
          <w:color w:val="222222"/>
          <w:sz w:val="20"/>
          <w:szCs w:val="20"/>
        </w:rPr>
        <w:t xml:space="preserve">El resultado final es un tablero interactivo en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Streamlit</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 mapas H3 y un simulador gravitatorio de redistribución de demanda turística.</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9"/>
    <w:bookmarkStart w:id="15" w:name="introducción-y-contexto-de-negocio"/>
    <w:p>
      <w:pPr>
        <w:pStyle w:val="Heading1"/>
        <w:keepNext/>
        <w:spacing w:line="276" w:lineRule="auto" w:before="280" w:after="80"/>
      </w:pPr>
      <w:r>
        <w:rPr>
          <w:rFonts w:ascii="Verdana" w:hAnsi="Verdana" w:cs="Verdana" w:eastAsia="Verdana"/>
          <w:b/>
          <w:color w:val="1F497D"/>
          <w:sz w:val="24"/>
          <w:szCs w:val="24"/>
        </w:rPr>
        <w:t xml:space="preserve">1. Introducción y contexto de negocio</w:t>
      </w:r>
    </w:p>
    <w:bookmarkStart w:id="10" w:name="resumen-ejecutivo-y-alcance-del-proyecto"/>
    <w:p>
      <w:pPr>
        <w:pStyle w:val="Heading2"/>
        <w:keepNext/>
        <w:spacing w:line="276" w:lineRule="auto" w:before="200" w:after="60"/>
      </w:pPr>
      <w:r>
        <w:rPr>
          <w:rFonts w:ascii="Verdana" w:hAnsi="Verdana" w:cs="Verdana" w:eastAsia="Verdana"/>
          <w:b/>
          <w:color w:val="2E6E9E"/>
          <w:sz w:val="22"/>
          <w:szCs w:val="22"/>
        </w:rPr>
        <w:t xml:space="preserve">1.1. Resumen ejecutivo y alcance del proyecto</w:t>
      </w:r>
    </w:p>
    <w:p>
      <w:pPr>
        <w:pStyle w:val="FirstParagraph"/>
        <w:spacing w:line="276" w:lineRule="auto" w:after="100"/>
        <w:jc w:val="both"/>
      </w:pPr>
      <w:r>
        <w:rPr>
          <w:rFonts w:ascii="Verdana" w:hAnsi="Verdana" w:cs="Verdana" w:eastAsia="Verdana"/>
          <w:color w:val="222222"/>
          <w:sz w:val="20"/>
          <w:szCs w:val="20"/>
        </w:rPr>
        <w:t xml:space="preserve">Este trabajo responde al Desafío 3 planteado por TUI Group a la Universidad Complutense de Madrid en colaboración con Ntic Master y su objetivo es diseñar un dashboard inteligente de un destino capaz de integrar, georreferenciar y analizar la oferta turística de un territorio real. Nuestro equipo, formado por seis personas con formaciones en turismo y publicidad, física, economía y ciencias ambientales, eligió Tenerife, una isla que combina un volumen masivo de visitantes con una distribución territorial muy desigual de la actividad turística.</w:t>
      </w:r>
    </w:p>
    <w:p>
      <w:pPr>
        <w:pStyle w:val="BodyText"/>
        <w:spacing w:line="276" w:lineRule="auto" w:after="100"/>
        <w:jc w:val="both"/>
      </w:pPr>
      <w:r>
        <w:rPr>
          <w:rFonts w:ascii="Verdana" w:hAnsi="Verdana" w:cs="Verdana" w:eastAsia="Verdana"/>
          <w:color w:val="222222"/>
          <w:sz w:val="20"/>
          <w:szCs w:val="20"/>
        </w:rPr>
        <w:t xml:space="preserve">La plataforma resultante cubre todo el ciclo del dato: captura automatizada desde fuentes heterogéneas (APIs meteorológicas, transporte público, estadísticas oficiales, capas geoespaciales, foros y redes sociales), almacenamiento en un Data Lakehouse con arquitectura de medallón en Azure, transformación con dbt, análisis de sentimiento multilingüe y clustering espacial, y finalmente visualización en un tablero interactivo con simulación de escenarios de redistribución turística.</w:t>
      </w:r>
    </w:p>
    <w:bookmarkEnd w:id="10"/>
    <w:bookmarkStart w:id="11" w:name="el-problema-de-negocio-en-tenerife"/>
    <w:p>
      <w:pPr>
        <w:pStyle w:val="Heading2"/>
        <w:keepNext/>
        <w:spacing w:line="276" w:lineRule="auto" w:before="200" w:after="60"/>
      </w:pPr>
      <w:r>
        <w:rPr>
          <w:rFonts w:ascii="Verdana" w:hAnsi="Verdana" w:cs="Verdana" w:eastAsia="Verdana"/>
          <w:b/>
          <w:color w:val="2E6E9E"/>
          <w:sz w:val="22"/>
          <w:szCs w:val="22"/>
        </w:rPr>
        <w:t xml:space="preserve">1.2. El problema de negocio en Tenerife</w:t>
      </w:r>
    </w:p>
    <w:p>
      <w:pPr>
        <w:pStyle w:val="FirstParagraph"/>
        <w:spacing w:line="276" w:lineRule="auto" w:after="100"/>
        <w:jc w:val="both"/>
      </w:pPr>
      <w:r>
        <w:rPr>
          <w:rFonts w:ascii="Verdana" w:hAnsi="Verdana" w:cs="Verdana" w:eastAsia="Verdana"/>
          <w:color w:val="222222"/>
          <w:sz w:val="20"/>
          <w:szCs w:val="20"/>
        </w:rPr>
        <w:t xml:space="preserve">Con 7,2 millones de turistas internacionales en 2024 —un 12 % más que el año anterior (ISTAC, 2025)— y un sector que representa cerca del 35 % del PIB canario (Gobierno de Canarias, 2024), Tenerife es un caso paradigmático de dependencia turística. El problema no es tanto el volumen como su distribución: la actividad se concentra en la franja costera del sur (Adeje, Arona, Granadilla de Abona), generando una situación de overtourism (Milano et al., 2019) con presión sobre infraestructuras, recursos hídricos y mercado inmobiliario. Las cerca de 27.500 viviendas vacacionales inscritas a finales de 2024 (Turismo de Tenerife, 2025) contribuyen a un malestar social creciente, expresado en las protestas bajo el lema «Canarias tiene un límite».</w:t>
      </w:r>
    </w:p>
    <w:p>
      <w:pPr>
        <w:pStyle w:val="BodyText"/>
        <w:spacing w:line="276" w:lineRule="auto" w:after="100"/>
        <w:jc w:val="both"/>
      </w:pPr>
      <w:r>
        <w:rPr>
          <w:rFonts w:ascii="Verdana" w:hAnsi="Verdana" w:cs="Verdana" w:eastAsia="Verdana"/>
          <w:color w:val="222222"/>
          <w:sz w:val="20"/>
          <w:szCs w:val="20"/>
        </w:rPr>
        <w:t xml:space="preserve">Mientras tanto, municipios del interior y del norte —Buenavista del Norte, Icod de los Vinos, La Orotava, Vilaflor de Chasna— disponen de activos culturales y paisajísticos que apenas captan visitantes. Redirigir parte de esos flujos aliviaría la presión costera, combatiría la despoblación rural y diversificaría la oferta (Turismo de Canarias, 2025). Para que esa redistribución se fundamente en evidencia y no en intuiciones, hacen falta datos cruzados, georreferenciados y convertidos en indicadores accionables. Eso es lo que construye este proyecto.</w:t>
      </w:r>
    </w:p>
    <w:bookmarkEnd w:id="11"/>
    <w:bookmarkStart w:id="12" w:name="objetivos-generales-y-específicos"/>
    <w:p>
      <w:pPr>
        <w:pStyle w:val="Heading2"/>
        <w:keepNext/>
        <w:spacing w:line="276" w:lineRule="auto" w:before="200" w:after="60"/>
      </w:pPr>
      <w:r>
        <w:rPr>
          <w:rFonts w:ascii="Verdana" w:hAnsi="Verdana" w:cs="Verdana" w:eastAsia="Verdana"/>
          <w:b/>
          <w:color w:val="2E6E9E"/>
          <w:sz w:val="22"/>
          <w:szCs w:val="22"/>
        </w:rPr>
        <w:t xml:space="preserve">1.3. Objetivos generales y específicos</w:t>
      </w:r>
    </w:p>
    <w:p>
      <w:pPr>
        <w:pStyle w:val="FirstParagraph"/>
        <w:spacing w:line="276" w:lineRule="auto" w:after="100"/>
        <w:jc w:val="both"/>
      </w:pPr>
      <w:r>
        <w:rPr>
          <w:b/>
          <w:bCs/>
          <w:rFonts w:ascii="Verdana" w:hAnsi="Verdana" w:cs="Verdana" w:eastAsia="Verdana"/>
          <w:color w:val="222222"/>
          <w:sz w:val="20"/>
          <w:szCs w:val="20"/>
        </w:rPr>
        <w:t xml:space="preserve">Objetivo general: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diseñar una plataforma de inteligencia territorial que consolide datos turísticos de Tenerife, los georreferencie y los transforme en KPIs accionables para la planificación, inversión y gestión de flujos del destino.</w:t>
      </w:r>
    </w:p>
    <w:p>
      <w:pPr>
        <w:pStyle w:val="BodyText"/>
        <w:spacing w:line="276" w:lineRule="auto" w:after="100"/>
        <w:jc w:val="both"/>
      </w:pPr>
      <w:r>
        <w:rPr>
          <w:b/>
          <w:bCs/>
          <w:rFonts w:ascii="Verdana" w:hAnsi="Verdana" w:cs="Verdana" w:eastAsia="Verdana"/>
          <w:color w:val="222222"/>
          <w:sz w:val="20"/>
          <w:szCs w:val="20"/>
        </w:rPr>
        <w:t xml:space="preserve">Objetivos específicos:</w:t>
      </w:r>
    </w:p>
    <w:p>
      <w:pPr>
        <w:pStyle w:val="Compact"/>
        <w:numPr>
          <w:ilvl w:val="0"/>
          <w:numId w:val="1002"/>
        </w:numPr>
        <w:spacing w:line="276" w:lineRule="auto" w:after="100"/>
        <w:jc w:val="both"/>
      </w:pPr>
      <w:r>
        <w:rPr>
          <w:rFonts w:ascii="Verdana" w:hAnsi="Verdana" w:cs="Verdana" w:eastAsia="Verdana"/>
          <w:color w:val="222222"/>
          <w:sz w:val="20"/>
          <w:szCs w:val="20"/>
        </w:rPr>
        <w:t xml:space="preserve">Construir un Data Lakehouse en Azure con arquitectura de medallón (bronce, plata, oro).</w:t>
      </w:r>
    </w:p>
    <w:p>
      <w:pPr>
        <w:pStyle w:val="Compact"/>
        <w:numPr>
          <w:ilvl w:val="0"/>
          <w:numId w:val="1002"/>
        </w:numPr>
        <w:spacing w:line="276" w:lineRule="auto" w:after="100"/>
        <w:jc w:val="both"/>
      </w:pPr>
      <w:r>
        <w:rPr>
          <w:rFonts w:ascii="Verdana" w:hAnsi="Verdana" w:cs="Verdana" w:eastAsia="Verdana"/>
          <w:color w:val="222222"/>
          <w:sz w:val="20"/>
          <w:szCs w:val="20"/>
        </w:rPr>
        <w:t xml:space="preserve">Automatizar pipelines ELT con Python y dbt, asegurando linaje y reproducibilidad.</w:t>
      </w:r>
    </w:p>
    <w:p>
      <w:pPr>
        <w:pStyle w:val="Compact"/>
        <w:numPr>
          <w:ilvl w:val="0"/>
          <w:numId w:val="1002"/>
        </w:numPr>
        <w:spacing w:line="276" w:lineRule="auto" w:after="100"/>
        <w:jc w:val="both"/>
      </w:pPr>
      <w:r>
        <w:rPr>
          <w:rFonts w:ascii="Verdana" w:hAnsi="Verdana" w:cs="Verdana" w:eastAsia="Verdana"/>
          <w:color w:val="222222"/>
          <w:sz w:val="20"/>
          <w:szCs w:val="20"/>
        </w:rPr>
        <w:t xml:space="preserve">Diseñar un almacén espacial en PostgreSQL/PostGIS (EPSG:32628) con índices GIST.</w:t>
      </w:r>
    </w:p>
    <w:p>
      <w:pPr>
        <w:pStyle w:val="Compact"/>
        <w:numPr>
          <w:ilvl w:val="0"/>
          <w:numId w:val="1002"/>
        </w:numPr>
        <w:spacing w:line="276" w:lineRule="auto" w:after="100"/>
        <w:jc w:val="both"/>
      </w:pPr>
      <w:r>
        <w:rPr>
          <w:rFonts w:ascii="Verdana" w:hAnsi="Verdana" w:cs="Verdana" w:eastAsia="Verdana"/>
          <w:color w:val="222222"/>
          <w:sz w:val="20"/>
          <w:szCs w:val="20"/>
        </w:rPr>
        <w:t xml:space="preserve">Analizar la percepción general del turista sobre Tenerife mediante NLP multilingüe, como contexto introductorio para el dashboard.</w:t>
      </w:r>
    </w:p>
    <w:p>
      <w:pPr>
        <w:pStyle w:val="Compact"/>
        <w:numPr>
          <w:ilvl w:val="0"/>
          <w:numId w:val="1002"/>
        </w:numPr>
        <w:spacing w:line="276" w:lineRule="auto" w:after="100"/>
        <w:jc w:val="both"/>
      </w:pPr>
      <w:r>
        <w:rPr>
          <w:rFonts w:ascii="Verdana" w:hAnsi="Verdana" w:cs="Verdana" w:eastAsia="Verdana"/>
          <w:color w:val="222222"/>
          <w:sz w:val="20"/>
          <w:szCs w:val="20"/>
        </w:rPr>
        <w:t xml:space="preserve">Aplicar analítica espacial: clustering HDBSCAN, isócronas de accesibilidad y regresión MGWR.</w:t>
      </w:r>
    </w:p>
    <w:p>
      <w:pPr>
        <w:pStyle w:val="Compact"/>
        <w:numPr>
          <w:ilvl w:val="0"/>
          <w:numId w:val="1002"/>
        </w:numPr>
        <w:spacing w:line="276" w:lineRule="auto" w:after="100"/>
        <w:jc w:val="both"/>
      </w:pPr>
      <w:r>
        <w:rPr>
          <w:rFonts w:ascii="Verdana" w:hAnsi="Verdana" w:cs="Verdana" w:eastAsia="Verdana"/>
          <w:color w:val="222222"/>
          <w:sz w:val="20"/>
          <w:szCs w:val="20"/>
        </w:rPr>
        <w:t xml:space="preserve">Construir un dashboard en Streamlit con mapas H3 (Uber Technologies, 2018) y un simulador gravitatorio.</w:t>
      </w:r>
    </w:p>
    <w:p>
      <w:pPr>
        <w:pStyle w:val="Compact"/>
        <w:numPr>
          <w:ilvl w:val="0"/>
          <w:numId w:val="1002"/>
        </w:numPr>
        <w:spacing w:line="276" w:lineRule="auto" w:after="100"/>
        <w:jc w:val="both"/>
      </w:pPr>
      <w:r>
        <w:rPr>
          <w:rFonts w:ascii="Verdana" w:hAnsi="Verdana" w:cs="Verdana" w:eastAsia="Verdana"/>
          <w:color w:val="222222"/>
          <w:sz w:val="20"/>
          <w:szCs w:val="20"/>
        </w:rPr>
        <w:t xml:space="preserve">Integrar IA generativa para la generación automática de informes narrativos ejecutivos.</w:t>
      </w:r>
    </w:p>
    <w:bookmarkEnd w:id="12"/>
    <w:bookmarkStart w:id="13" w:name="preguntas-estratégicas-caso-tui"/>
    <w:p>
      <w:pPr>
        <w:pStyle w:val="Heading2"/>
        <w:keepNext/>
        <w:spacing w:line="276" w:lineRule="auto" w:before="200" w:after="60"/>
      </w:pPr>
      <w:r>
        <w:rPr>
          <w:rFonts w:ascii="Verdana" w:hAnsi="Verdana" w:cs="Verdana" w:eastAsia="Verdana"/>
          <w:b/>
          <w:color w:val="2E6E9E"/>
          <w:sz w:val="22"/>
          <w:szCs w:val="22"/>
        </w:rPr>
        <w:t xml:space="preserve">1.4. Preguntas estratégicas (caso TUI)</w:t>
      </w:r>
    </w:p>
    <w:p>
      <w:pPr>
        <w:pStyle w:val="FirstParagraph"/>
        <w:spacing w:line="276" w:lineRule="auto" w:after="100"/>
        <w:jc w:val="both"/>
      </w:pPr>
      <w:r>
        <w:rPr>
          <w:rFonts w:ascii="Verdana" w:hAnsi="Verdana" w:cs="Verdana" w:eastAsia="Verdana"/>
          <w:color w:val="222222"/>
          <w:sz w:val="20"/>
          <w:szCs w:val="20"/>
        </w:rPr>
        <w:t xml:space="preserve">El briefing de TUI estructura la analítica del proyecto en torno a cinco preguntas: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fill="1F497D"/>
          </w:tcPr>
          <w:p>
            <w:pPr>
              <w:pStyle w:val="Compact"/>
              <w:jc w:val="center"/>
            </w:pPr>
            <w:r>
              <w:rPr>
                <w:rFonts w:ascii="Verdana" w:hAnsi="Verdana" w:cs="Verdana" w:eastAsia="Verdana"/>
                <w:b/>
                <w:color w:val="FFFFFF"/>
                <w:sz w:val="19"/>
                <w:szCs w:val="19"/>
              </w:rPr>
              <w:t xml:space="preserve">Pregunta estratégica</w:t>
            </w:r>
          </w:p>
        </w:tc>
        <w:tc>
          <w:tcPr>
            <w:shd w:fill="1F497D"/>
          </w:tcPr>
          <w:p>
            <w:pPr>
              <w:pStyle w:val="Compact"/>
              <w:jc w:val="center"/>
            </w:pPr>
            <w:r>
              <w:rPr>
                <w:rFonts w:ascii="Verdana" w:hAnsi="Verdana" w:cs="Verdana" w:eastAsia="Verdana"/>
                <w:b/>
                <w:color w:val="FFFFFF"/>
                <w:sz w:val="19"/>
                <w:szCs w:val="19"/>
              </w:rPr>
              <w:t xml:space="preserve">Módulo que la responde</w:t>
            </w:r>
          </w:p>
        </w:tc>
      </w:tr>
      <w:tr>
        <w:tc>
          <w:tcPr/>
          <w:p>
            <w:pPr>
              <w:pStyle w:val="Compact"/>
            </w:pPr>
            <w:r>
              <w:rPr>
                <w:rFonts w:ascii="Verdana" w:hAnsi="Verdana" w:cs="Verdana" w:eastAsia="Verdana"/>
                <w:color w:val="222222"/>
                <w:sz w:val="18"/>
                <w:szCs w:val="18"/>
              </w:rPr>
              <w:t xml:space="preserve">¿Dónde se concentra la oferta y qué corredores turísticos se forman?</w:t>
            </w:r>
          </w:p>
        </w:tc>
        <w:tc>
          <w:tcPr/>
          <w:p>
            <w:pPr>
              <w:pStyle w:val="Compact"/>
            </w:pPr>
            <w:r>
              <w:rPr>
                <w:rFonts w:ascii="Verdana" w:hAnsi="Verdana" w:cs="Verdana" w:eastAsia="Verdana"/>
                <w:color w:val="222222"/>
                <w:sz w:val="18"/>
                <w:szCs w:val="18"/>
              </w:rPr>
              <w:t xml:space="preserve">Mapa H3 · Capa Alojamiento + POIs</w:t>
            </w:r>
          </w:p>
        </w:tc>
      </w:tr>
      <w:tr>
        <w:tc>
          <w:tcPr>
            <w:shd w:fill="F9FAFB"/>
          </w:tcPr>
          <w:p>
            <w:pPr>
              <w:pStyle w:val="Compact"/>
            </w:pPr>
            <w:r>
              <w:rPr>
                <w:rFonts w:ascii="Verdana" w:hAnsi="Verdana" w:cs="Verdana" w:eastAsia="Verdana"/>
                <w:color w:val="222222"/>
                <w:sz w:val="18"/>
                <w:szCs w:val="18"/>
              </w:rPr>
              <w:t xml:space="preserve">¿Qué zonas tienen alto potencial pero baja visibilidad?</w:t>
            </w:r>
          </w:p>
        </w:tc>
        <w:tc>
          <w:tcPr>
            <w:shd w:fill="F9FAFB"/>
          </w:tcPr>
          <w:p>
            <w:pPr>
              <w:pStyle w:val="Compact"/>
            </w:pPr>
            <w:r>
              <w:rPr>
                <w:rFonts w:ascii="Verdana" w:hAnsi="Verdana" w:cs="Verdana" w:eastAsia="Verdana"/>
                <w:color w:val="222222"/>
                <w:sz w:val="18"/>
                <w:szCs w:val="18"/>
              </w:rPr>
              <w:t xml:space="preserve">Clustering HDBSCAN · Brechas de mercado</w:t>
            </w:r>
          </w:p>
        </w:tc>
      </w:tr>
      <w:tr>
        <w:tc>
          <w:tcPr/>
          <w:p>
            <w:pPr>
              <w:pStyle w:val="Compact"/>
            </w:pPr>
            <w:r>
              <w:rPr>
                <w:rFonts w:ascii="Verdana" w:hAnsi="Verdana" w:cs="Verdana" w:eastAsia="Verdana"/>
                <w:color w:val="222222"/>
                <w:sz w:val="18"/>
                <w:szCs w:val="18"/>
              </w:rPr>
              <w:t xml:space="preserve">¿Qué áreas muestran señales de congestión?</w:t>
            </w:r>
          </w:p>
        </w:tc>
        <w:tc>
          <w:tcPr/>
          <w:p>
            <w:pPr>
              <w:pStyle w:val="Compact"/>
            </w:pPr>
            <w:r>
              <w:rPr>
                <w:rFonts w:ascii="Verdana" w:hAnsi="Verdana" w:cs="Verdana" w:eastAsia="Verdana"/>
                <w:color w:val="222222"/>
                <w:sz w:val="18"/>
                <w:szCs w:val="18"/>
              </w:rPr>
              <w:t xml:space="preserve">KPI de saturación · Sentimiento negativo georreferenciado</w:t>
            </w:r>
          </w:p>
        </w:tc>
      </w:tr>
      <w:tr>
        <w:tc>
          <w:tcPr>
            <w:shd w:fill="F9FAFB"/>
          </w:tcPr>
          <w:p>
            <w:pPr>
              <w:pStyle w:val="Compact"/>
            </w:pPr>
            <w:r>
              <w:rPr>
                <w:rFonts w:ascii="Verdana" w:hAnsi="Verdana" w:cs="Verdana" w:eastAsia="Verdana"/>
                <w:color w:val="222222"/>
                <w:sz w:val="18"/>
                <w:szCs w:val="18"/>
              </w:rPr>
              <w:t xml:space="preserve">¿Cómo interactúan oferta, accesibilidad, clima y sostenibilidad?</w:t>
            </w:r>
          </w:p>
        </w:tc>
        <w:tc>
          <w:tcPr>
            <w:shd w:fill="F9FAFB"/>
          </w:tcPr>
          <w:p>
            <w:pPr>
              <w:pStyle w:val="Compact"/>
            </w:pPr>
            <w:r>
              <w:rPr>
                <w:rStyle w:val="VerbatimChar"/>
                <w:rFonts w:ascii="Verdana" w:hAnsi="Verdana" w:cs="Verdana" w:eastAsia="Verdana"/>
                <w:color w:val="222222"/>
                <w:sz w:val="18"/>
                <w:szCs w:val="18"/>
              </w:rPr>
              <w:t xml:space="preserve">gold_h3_master</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 MGWR + IDW climático</w:t>
            </w:r>
          </w:p>
        </w:tc>
      </w:tr>
      <w:tr>
        <w:tc>
          <w:tcPr/>
          <w:p>
            <w:pPr>
              <w:pStyle w:val="Compact"/>
            </w:pPr>
            <w:r>
              <w:rPr>
                <w:rFonts w:ascii="Verdana" w:hAnsi="Verdana" w:cs="Verdana" w:eastAsia="Verdana"/>
                <w:color w:val="222222"/>
                <w:sz w:val="18"/>
                <w:szCs w:val="18"/>
              </w:rPr>
              <w:t xml:space="preserve">¿Qué escenarios de redistribución mejorarían el desempeño del destino?</w:t>
            </w:r>
          </w:p>
        </w:tc>
        <w:tc>
          <w:tcPr/>
          <w:p>
            <w:pPr>
              <w:pStyle w:val="Compact"/>
            </w:pPr>
            <w:r>
              <w:rPr>
                <w:rFonts w:ascii="Verdana" w:hAnsi="Verdana" w:cs="Verdana" w:eastAsia="Verdana"/>
                <w:color w:val="222222"/>
                <w:sz w:val="18"/>
                <w:szCs w:val="18"/>
              </w:rPr>
              <w:t xml:space="preserve">Simulador gravitatorio de flujos</w:t>
            </w:r>
          </w:p>
        </w:tc>
      </w:tr>
    </w:tbl>
    <w:bookmarkEnd w:id="13"/>
    <w:bookmarkStart w:id="14" w:name="justificación-del-aporte-diferencial"/>
    <w:p>
      <w:pPr>
        <w:pStyle w:val="Heading2"/>
        <w:keepNext/>
        <w:spacing w:line="276" w:lineRule="auto" w:before="200" w:after="60"/>
      </w:pPr>
      <w:r>
        <w:rPr>
          <w:rFonts w:ascii="Verdana" w:hAnsi="Verdana" w:cs="Verdana" w:eastAsia="Verdana"/>
          <w:b/>
          <w:color w:val="2E6E9E"/>
          <w:sz w:val="22"/>
          <w:szCs w:val="22"/>
        </w:rPr>
        <w:t xml:space="preserve">1.5. Justificación del aporte diferencial</w:t>
      </w:r>
    </w:p>
    <w:p>
      <w:pPr>
        <w:pStyle w:val="FirstParagraph"/>
        <w:spacing w:line="276" w:lineRule="auto" w:after="100"/>
        <w:jc w:val="both"/>
      </w:pPr>
      <w:r>
        <w:rPr>
          <w:rFonts w:ascii="Verdana" w:hAnsi="Verdana" w:cs="Verdana" w:eastAsia="Verdana"/>
          <w:color w:val="222222"/>
          <w:sz w:val="20"/>
          <w:szCs w:val="20"/>
        </w:rPr>
        <w:t xml:space="preserve">Cada componente de esta plataforma —NLP, clustering espacial, simulación, dashboarding— existe individualmente en la literatura y en la industria. Lo que no es habitual es encontrarlos integrados en un sistema único, alimentado por datos reales y a escala significativa: 167.000 mensajes de foros, 3.100 comentarios de YouTube, 2,08 millones de registros de transporte, 1,2 millones de lecturas meteorológicas y 3.893 paradas geolocalizadas. La dimensión geoespacial nativa (PostGIS, EPSG:32628), la arquitectura de medallón (Armbrust et al., 2021) con linaje trazable y el simulador gravitatorio de redistribución de demanda completan una propuesta que va más allá del diagnóstico descriptivo.</w:t>
      </w:r>
    </w:p>
    <w:p>
      <w:pPr>
        <w:pStyle w:val="BodyText"/>
        <w:spacing w:line="276" w:lineRule="auto" w:after="100"/>
        <w:jc w:val="both"/>
      </w:pPr>
      <w:r>
        <w:rPr>
          <w:rFonts w:ascii="Verdana" w:hAnsi="Verdana" w:cs="Verdana" w:eastAsia="Verdana"/>
          <w:color w:val="222222"/>
          <w:sz w:val="20"/>
          <w:szCs w:val="20"/>
        </w:rPr>
        <w:t xml:space="preserve">A diferencia de una solución AutoML estándar que tomaría los datos como una tabla plana y entrenaría un modelo de caja negra, este proyecto construye conocimiento territorial explicable: cada hexágono de la rejilla H3 tiene asociados decenas de indicadores que permiten entender</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por qué</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una zona funciona bien o mal, no solo predecirlo. Los modelos como HDBSCAN o MGWR son preferidos precisamente porque su resultado es interpretable para un equipo de negocio sin formación técnica (ver §4).</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14"/>
    <w:bookmarkEnd w:id="15"/>
    <w:bookmarkStart w:id="22" w:name="X5e5e75f4220a8a306d1afbbaf4c7fd1d4d8c12f"/>
    <w:p>
      <w:pPr>
        <w:pStyle w:val="Heading1"/>
        <w:keepNext/>
        <w:spacing w:line="276" w:lineRule="auto" w:before="280" w:after="80"/>
      </w:pPr>
      <w:r>
        <w:rPr>
          <w:rFonts w:ascii="Verdana" w:hAnsi="Verdana" w:cs="Verdana" w:eastAsia="Verdana"/>
          <w:b/>
          <w:color w:val="1F497D"/>
          <w:sz w:val="24"/>
          <w:szCs w:val="24"/>
        </w:rPr>
        <w:t xml:space="preserve">2. Configuración de infraestructura y adquisición de datos</w:t>
      </w:r>
    </w:p>
    <w:bookmarkStart w:id="16" w:name="X9b0e3cd99e2af663182a58c5317f04c850087cb"/>
    <w:p>
      <w:pPr>
        <w:pStyle w:val="Heading2"/>
        <w:keepNext/>
        <w:spacing w:line="276" w:lineRule="auto" w:before="200" w:after="60"/>
      </w:pPr>
      <w:r>
        <w:rPr>
          <w:rFonts w:ascii="Verdana" w:hAnsi="Verdana" w:cs="Verdana" w:eastAsia="Verdana"/>
          <w:b/>
          <w:color w:val="2E6E9E"/>
          <w:sz w:val="22"/>
          <w:szCs w:val="22"/>
        </w:rPr>
        <w:t xml:space="preserve">2.1. Aprovisionamiento de infraestructura cloud</w:t>
      </w:r>
    </w:p>
    <w:p>
      <w:pPr>
        <w:pStyle w:val="FirstParagraph"/>
        <w:spacing w:line="276" w:lineRule="auto" w:after="100"/>
        <w:jc w:val="both"/>
      </w:pPr>
      <w:r>
        <w:rPr>
          <w:rFonts w:ascii="Verdana" w:hAnsi="Verdana" w:cs="Verdana" w:eastAsia="Verdana"/>
          <w:color w:val="222222"/>
          <w:sz w:val="20"/>
          <w:szCs w:val="20"/>
        </w:rPr>
        <w:t xml:space="preserve">El proyecto arrancó con Neon.tech, un PostgreSQL serverless que permitió validar rápidamente los primeros scripts de ingesta, las consultas PostGIS y las transformaciones dbt. Cuando el volumen de datos creció, sobre todo con los más de dos millones de registros de transporte y el backfill histórico de datos meteorológicos, las limitaciones de espacio del tier gratuito forzaron la migración a Microsoft Azure.</w:t>
      </w:r>
    </w:p>
    <w:p>
      <w:pPr>
        <w:pStyle w:val="BodyText"/>
        <w:spacing w:line="276" w:lineRule="auto" w:after="100"/>
        <w:jc w:val="both"/>
      </w:pPr>
      <w:r>
        <w:rPr>
          <w:rFonts w:ascii="Verdana" w:hAnsi="Verdana" w:cs="Verdana" w:eastAsia="Verdana"/>
          <w:color w:val="222222"/>
          <w:sz w:val="20"/>
          <w:szCs w:val="20"/>
        </w:rPr>
        <w:t xml:space="preserve">La arquitectura en Azure se organiza en tres servicios: un almacén de objetos (Blob Storage) para los datos crudos en formato Parquet y GeoJSON; un servidor PostgreSQL flexible con PostGIS habilitado, donde residen los esquemas bronze, silver y gold; y una máquina virtual Linux que ejecuta las ingestas programadas. La migración desde Neon trasladó ocho tablas al almacén de objetos y diez al esquema silver, incluyendo la tabla de horarios de transporte (2.082.154 filas), transferida con el protocolo COPY de PostgreSQL en poco más de un minuto.</w:t>
      </w:r>
    </w:p>
    <w:p>
      <w:pPr>
        <w:pStyle w:val="BodyText"/>
        <w:spacing w:line="276" w:lineRule="auto" w:after="100"/>
        <w:jc w:val="both"/>
      </w:pPr>
      <w:r>
        <w:rPr>
          <w:rFonts w:ascii="Verdana" w:hAnsi="Verdana" w:cs="Verdana" w:eastAsia="Verdana"/>
          <w:color w:val="222222"/>
          <w:sz w:val="20"/>
          <w:szCs w:val="20"/>
        </w:rPr>
        <w:t xml:space="preserve">Los datos se organizan siguiendo el patrón de medallón (Armbrust et al., 2021): la capa bronce almacena los datos tal como llegan de las fuentes, sin modificar; la capa plata contiene los datos limpios, tipados y reproyectados al sistema de coordenadas oficial de Canarias (EPSG:32628); y la capa oro alberga los KPIs y las tablas agregadas que alimentan directamente el dashboard.</w:t>
      </w:r>
    </w:p>
    <w:bookmarkEnd w:id="16"/>
    <w:bookmarkStart w:id="17" w:name="Xbf1cc6fdc042d7464c5e6519f3af255f169a018"/>
    <w:p>
      <w:pPr>
        <w:pStyle w:val="Heading2"/>
        <w:keepNext/>
        <w:spacing w:line="276" w:lineRule="auto" w:before="200" w:after="60"/>
      </w:pPr>
      <w:r>
        <w:rPr>
          <w:rFonts w:ascii="Verdana" w:hAnsi="Verdana" w:cs="Verdana" w:eastAsia="Verdana"/>
          <w:b/>
          <w:color w:val="2E6E9E"/>
          <w:sz w:val="22"/>
          <w:szCs w:val="22"/>
        </w:rPr>
        <w:t xml:space="preserve">2.2. Extracción de microdatos tabulares y espaciales</w:t>
      </w:r>
    </w:p>
    <w:p>
      <w:pPr>
        <w:pStyle w:val="FirstParagraph"/>
        <w:spacing w:line="276" w:lineRule="auto" w:after="100"/>
        <w:jc w:val="both"/>
      </w:pPr>
      <w:r>
        <w:rPr>
          <w:rFonts w:ascii="Verdana" w:hAnsi="Verdana" w:cs="Verdana" w:eastAsia="Verdana"/>
          <w:color w:val="222222"/>
          <w:sz w:val="20"/>
          <w:szCs w:val="20"/>
        </w:rPr>
        <w:t xml:space="preserve">Los datos territoriales proceden de tres fuentes institucionales. Del ISTAC se descargan automáticamente quince indicadores municipales —población, alojamientos, plazas, pernoctaciones, tasa de ocupación, empleo en hostelería, paro registrado, entre otros— para los</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31 municipios de Tenerife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(ISTAC, 2024). De IDECanarias se integran tres capas vectoriales vía WFS: límites municipales, zonas turísticas y espacios naturales protegidos (IDECanarias, 2024). Todas las geometrías se almacenan en EPSG:32628 con índices GIST. Adicionalmente, a partir de un modelo digital del terreno se derivan tres variables topográficas —altitud, pendiente y orientación— que alimentan los modelos topoclimáticos de la capa plata.</w:t>
      </w:r>
    </w:p>
    <w:bookmarkEnd w:id="17"/>
    <w:bookmarkStart w:id="18" w:name="integración-del-transporte-público-gtfs"/>
    <w:p>
      <w:pPr>
        <w:pStyle w:val="Heading2"/>
        <w:keepNext/>
        <w:spacing w:line="276" w:lineRule="auto" w:before="200" w:after="60"/>
      </w:pPr>
      <w:r>
        <w:rPr>
          <w:rFonts w:ascii="Verdana" w:hAnsi="Verdana" w:cs="Verdana" w:eastAsia="Verdana"/>
          <w:b/>
          <w:color w:val="2E6E9E"/>
          <w:sz w:val="22"/>
          <w:szCs w:val="22"/>
        </w:rPr>
        <w:t xml:space="preserve">2.3. Integración del transporte público (GTFS)</w:t>
      </w:r>
    </w:p>
    <w:p>
      <w:pPr>
        <w:pStyle w:val="FirstParagraph"/>
        <w:spacing w:line="276" w:lineRule="auto" w:after="100"/>
        <w:jc w:val="both"/>
      </w:pPr>
      <w:r>
        <w:rPr>
          <w:rFonts w:ascii="Verdana" w:hAnsi="Verdana" w:cs="Verdana" w:eastAsia="Verdana"/>
          <w:color w:val="222222"/>
          <w:sz w:val="20"/>
          <w:szCs w:val="20"/>
        </w:rPr>
        <w:t xml:space="preserve">Los ficheros GTFS de TITSA y el Metropolitano de Tenerife (Google, 2006) se han parseado y cargado en siete tablas de la capa plata, cubriendo paradas (3.893, con geometría POINT e índice GIST), rutas, viajes, horarios de paso (más de 2 millones de registros), calendario de servicio y excepciones. Esta topología de transporte es la base para calcular isócronas de accesibilidad y evaluar qué zonas del interior cuentan con cobertura suficiente para absorber flujos turísticos redistribuidos.</w:t>
      </w:r>
    </w:p>
    <w:bookmarkEnd w:id="18"/>
    <w:bookmarkStart w:id="19" w:name="X2d58afcc5eb622b99f83ed9c60c5ddb56ee582a"/>
    <w:p>
      <w:pPr>
        <w:pStyle w:val="Heading2"/>
        <w:keepNext/>
        <w:spacing w:line="276" w:lineRule="auto" w:before="200" w:after="60"/>
      </w:pPr>
      <w:r>
        <w:rPr>
          <w:rFonts w:ascii="Verdana" w:hAnsi="Verdana" w:cs="Verdana" w:eastAsia="Verdana"/>
          <w:b/>
          <w:color w:val="2E6E9E"/>
          <w:sz w:val="22"/>
          <w:szCs w:val="22"/>
        </w:rPr>
        <w:t xml:space="preserve">2.4. Ingesta de datos meteorológicos y satelitales</w:t>
      </w:r>
    </w:p>
    <w:p>
      <w:pPr>
        <w:pStyle w:val="FirstParagraph"/>
        <w:spacing w:line="276" w:lineRule="auto" w:after="100"/>
        <w:jc w:val="both"/>
      </w:pPr>
      <w:r>
        <w:rPr>
          <w:rFonts w:ascii="Verdana" w:hAnsi="Verdana" w:cs="Verdana" w:eastAsia="Verdana"/>
          <w:color w:val="222222"/>
          <w:sz w:val="20"/>
          <w:szCs w:val="20"/>
        </w:rPr>
        <w:t xml:space="preserve">El clima condiciona tanto la experiencia del visitante como la aptitud turística de cada zona, por lo que se explotan dos fuentes complementarias. La red de Agrocabildo (Cabildo de Tenerife, 2024) aporta lecturas horarias de 67 estaciones repartidas por la isla —temperatura, humedad, precipitación, viento, radiación—, acumulando más de 1,2 millones de registros gracias a un proceso de backfill histórico que permite interrumpirse y reanudarse sin perder progreso. La API de Open-Meteo (Zippenfenig, 2023) complementa esta capa con reanálisis ERA5-Land (Muñoz-Sabater et al., 2021) y pronósticos por horizonte temporal (D+1, D+3, D+7), cuya fiabilidad se contrasta con las observaciones reales mediante métricas de error (MAE, RMSE, R²).</w:t>
      </w:r>
    </w:p>
    <w:bookmarkEnd w:id="19"/>
    <w:bookmarkStart w:id="20" w:name="X44b5049be2c7cd7e4acf45f18c892412cb0d3ad"/>
    <w:p>
      <w:pPr>
        <w:pStyle w:val="Heading2"/>
        <w:keepNext/>
        <w:spacing w:line="276" w:lineRule="auto" w:before="200" w:after="60"/>
      </w:pPr>
      <w:r>
        <w:rPr>
          <w:rFonts w:ascii="Verdana" w:hAnsi="Verdana" w:cs="Verdana" w:eastAsia="Verdana"/>
          <w:b/>
          <w:color w:val="2E6E9E"/>
          <w:sz w:val="22"/>
          <w:szCs w:val="22"/>
        </w:rPr>
        <w:t xml:space="preserve">2.5. Extracción de datos cualitativos para análisis de sentimiento</w:t>
      </w:r>
    </w:p>
    <w:p>
      <w:pPr>
        <w:pStyle w:val="FirstParagraph"/>
        <w:spacing w:line="276" w:lineRule="auto" w:after="100"/>
        <w:jc w:val="both"/>
      </w:pPr>
      <w:r>
        <w:rPr>
          <w:rFonts w:ascii="Verdana" w:hAnsi="Verdana" w:cs="Verdana" w:eastAsia="Verdana"/>
          <w:color w:val="222222"/>
          <w:sz w:val="20"/>
          <w:szCs w:val="20"/>
        </w:rPr>
        <w:t xml:space="preserve">Para capturar la percepción subjetiva del turista se han extraído datos de dos fuentes: el foro LosViajeros.com (248 hilos, ~167.000 mensajes) mediante scraping con BeautifulSoup (Richardson, 2024), y la API de YouTube Data v3 (Google Developers, 2024), de la que se obtuvieron 41 vídeos y ~3.100 comentarios. El scraping se ha ejecutado respetando el robots.txt, con rate limiting y User-Agent identificado con fines académicos.</w:t>
      </w:r>
    </w:p>
    <w:p>
      <w:pPr>
        <w:pStyle w:val="BodyText"/>
        <w:spacing w:line="276" w:lineRule="auto" w:after="100"/>
        <w:jc w:val="both"/>
      </w:pPr>
      <w:r>
        <w:rPr>
          <w:rFonts w:ascii="Verdana" w:hAnsi="Verdana" w:cs="Verdana" w:eastAsia="Verdana"/>
          <w:color w:val="222222"/>
          <w:sz w:val="20"/>
          <w:szCs w:val="20"/>
        </w:rPr>
        <w:t xml:space="preserve">Reseñas y valoraciones de alojamientos se recogen de dos plataformas:</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Booking.com</w:t>
      </w:r>
      <w:r>
        <w:rPr>
          <w:rFonts w:ascii="Verdana" w:hAnsi="Verdana" w:cs="Verdana" w:eastAsia="Verdana"/>
          <w:color w:val="222222"/>
          <w:sz w:val="20"/>
          <w:szCs w:val="20"/>
        </w:rPr>
        <w:t xml:space="preserve">, cuya ingesta está completamente automatizada mediante scraping Python con almacenamiento en el blob de Azure, y</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TripAdvisor</w:t>
      </w:r>
      <w:r>
        <w:rPr>
          <w:rFonts w:ascii="Verdana" w:hAnsi="Verdana" w:cs="Verdana" w:eastAsia="Verdana"/>
          <w:color w:val="222222"/>
          <w:sz w:val="20"/>
          <w:szCs w:val="20"/>
        </w:rPr>
        <w:t xml:space="preserve">, cuyos datos se procesan desde archivos JSON convertidos a Parquet antes de su carga en el blob. Ambas fuentes se integran en la tabla maestra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Los datos de tráfico de pasajeros de los aeropuertos de Tenerife (TFS y TFN) se han extraído de los informes públicos de AENA y cargados en el blob de Azure como dato complementario de contexto.</w:t>
      </w:r>
    </w:p>
    <w:p>
      <w:pPr>
        <w:pStyle w:val="BodyText"/>
        <w:spacing w:line="276" w:lineRule="auto" w:after="100"/>
        <w:jc w:val="both"/>
      </w:pPr>
      <w:r>
        <w:rPr>
          <w:rFonts w:ascii="Verdana" w:hAnsi="Verdana" w:cs="Verdana" w:eastAsia="Verdana"/>
          <w:color w:val="222222"/>
          <w:sz w:val="20"/>
          <w:szCs w:val="20"/>
        </w:rPr>
        <w:t xml:space="preserve">Conviene aclarar que las fuentes de foros y YouTube carecen de información de geolocalización: ni los mensajes del foro ni los comentarios de YouTube llevan asociadas coordenadas o referencias a municipios concretos. Por tanto, su papel dentro del proyecto no es geoespacial, sino contextual: el análisis de sentimiento que se ejecuta sobre este corpus ofrece una fotografía general de cómo se percibe Tenerife como destino —valoración global, temas recurrentes, puntos de fricción—, y se integra en el AI-Dashboard como una capa complementaria a los indicadores territoriales.</w:t>
      </w:r>
    </w:p>
    <w:bookmarkEnd w:id="20"/>
    <w:bookmarkStart w:id="21" w:name="X9494e6d685d3476d966c129a1609b7f9cb93942"/>
    <w:p>
      <w:pPr>
        <w:pStyle w:val="Heading2"/>
        <w:keepNext/>
        <w:spacing w:line="276" w:lineRule="auto" w:before="200" w:after="60"/>
      </w:pPr>
      <w:r>
        <w:rPr>
          <w:rFonts w:ascii="Verdana" w:hAnsi="Verdana" w:cs="Verdana" w:eastAsia="Verdana"/>
          <w:b/>
          <w:color w:val="2E6E9E"/>
          <w:sz w:val="22"/>
          <w:szCs w:val="22"/>
        </w:rPr>
        <w:t xml:space="preserve">2.6. Derechos de uso, licencias y marco ético de los datos</w:t>
      </w:r>
    </w:p>
    <w:p>
      <w:pPr>
        <w:pStyle w:val="FirstParagraph"/>
        <w:spacing w:line="276" w:lineRule="auto" w:after="100"/>
        <w:jc w:val="both"/>
      </w:pPr>
      <w:r>
        <w:rPr>
          <w:rFonts w:ascii="Verdana" w:hAnsi="Verdana" w:cs="Verdana" w:eastAsia="Verdana"/>
          <w:color w:val="222222"/>
          <w:sz w:val="20"/>
          <w:szCs w:val="20"/>
        </w:rPr>
        <w:t xml:space="preserve">En estricto cumplimiento de la normativa de la UCM y la legislación vigente en materia de reutilización de información del sector público y propiedad intelectual, se ha verificado el régimen jurídico de cada fuente incorporada al proyecto:</w:t>
      </w:r>
    </w:p>
    <w:p>
      <w:pPr>
        <w:pStyle w:val="Compact"/>
        <w:numPr>
          <w:ilvl w:val="0"/>
          <w:numId w:val="1003"/>
        </w:numPr>
        <w:spacing w:line="276" w:lineRule="auto" w:after="100"/>
        <w:jc w:val="both"/>
      </w:pPr>
      <w:r>
        <w:rPr>
          <w:b/>
          <w:bCs/>
          <w:rFonts w:ascii="Verdana" w:hAnsi="Verdana" w:cs="Verdana" w:eastAsia="Verdana"/>
          <w:color w:val="222222"/>
          <w:sz w:val="20"/>
          <w:szCs w:val="20"/>
        </w:rPr>
        <w:t xml:space="preserve">Datos oficiales y espaciales (ISTAC, IDECanarias, Cabildo de Tenerife):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se explotan al amparo de la Directiva Europea (UE) 2019/1024 relativa a los datos abiertos y la reutilización de la información del sector público, bajo licencias equivalentes a Creative Commons Reconocimiento (CC-BY 4.0), que autorizan expresamente su uso con fines analíticos y académicos.</w:t>
      </w:r>
    </w:p>
    <w:p>
      <w:pPr>
        <w:pStyle w:val="Compact"/>
        <w:numPr>
          <w:ilvl w:val="0"/>
          <w:numId w:val="1003"/>
        </w:numPr>
        <w:spacing w:line="276" w:lineRule="auto" w:after="100"/>
        <w:jc w:val="both"/>
      </w:pPr>
      <w:r>
        <w:rPr>
          <w:b/>
          <w:bCs/>
          <w:rFonts w:ascii="Verdana" w:hAnsi="Verdana" w:cs="Verdana" w:eastAsia="Verdana"/>
          <w:color w:val="222222"/>
          <w:sz w:val="20"/>
          <w:szCs w:val="20"/>
        </w:rPr>
        <w:t xml:space="preserve">Observación terrestre (Copernicus Sentinel-2 y NOAA VIIRS):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provienen de las políticas de acceso abierto de la Agencia Espacial Europea (ESA) y la NOAA (</w:t>
      </w:r>
      <w:r>
        <w:rPr>
          <w:i/>
          <w:iCs/>
          <w:rFonts w:ascii="Verdana" w:hAnsi="Verdana" w:cs="Verdana" w:eastAsia="Verdana"/>
          <w:color w:val="222222"/>
          <w:sz w:val="20"/>
          <w:szCs w:val="20"/>
        </w:rPr>
        <w:t xml:space="preserve">Free, Full and Open Data Policy</w:t>
      </w:r>
      <w:r>
        <w:rPr>
          <w:rFonts w:ascii="Verdana" w:hAnsi="Verdana" w:cs="Verdana" w:eastAsia="Verdana"/>
          <w:color w:val="222222"/>
          <w:sz w:val="20"/>
          <w:szCs w:val="20"/>
        </w:rPr>
        <w:t xml:space="preserve">), garantizando el uso irrestricto de las bandas ópticas y de radiancia nocturna.</w:t>
      </w:r>
    </w:p>
    <w:p>
      <w:pPr>
        <w:pStyle w:val="Compact"/>
        <w:numPr>
          <w:ilvl w:val="0"/>
          <w:numId w:val="1003"/>
        </w:numPr>
        <w:spacing w:line="276" w:lineRule="auto" w:after="100"/>
        <w:jc w:val="both"/>
      </w:pPr>
      <w:r>
        <w:rPr>
          <w:b/>
          <w:bCs/>
          <w:rFonts w:ascii="Verdana" w:hAnsi="Verdana" w:cs="Verdana" w:eastAsia="Verdana"/>
          <w:color w:val="222222"/>
          <w:sz w:val="20"/>
          <w:szCs w:val="20"/>
        </w:rPr>
        <w:t xml:space="preserve">Transporte público (GTFS de TITSA y Metropolitano):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publicado como datos abiertos por el Cabildo Insular de Tenerife para la promoción de la movilidad sostenible.</w:t>
      </w:r>
    </w:p>
    <w:p>
      <w:pPr>
        <w:pStyle w:val="Compact"/>
        <w:numPr>
          <w:ilvl w:val="0"/>
          <w:numId w:val="1003"/>
        </w:numPr>
        <w:spacing w:line="276" w:lineRule="auto" w:after="100"/>
        <w:jc w:val="both"/>
      </w:pPr>
      <w:r>
        <w:rPr>
          <w:b/>
          <w:bCs/>
          <w:rFonts w:ascii="Verdana" w:hAnsi="Verdana" w:cs="Verdana" w:eastAsia="Verdana"/>
          <w:color w:val="222222"/>
          <w:sz w:val="20"/>
          <w:szCs w:val="20"/>
        </w:rPr>
        <w:t xml:space="preserve">Datos cualitativos y redes sociales (YouTube y foros):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la extracción vía YouTube Data API v3 se realiza bajo los términos oficiales de servicio de Google Developers para investigación sin fines comerciales. El scraping sobre LosViajeros se ejecutó respetando las directivas del archivo</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robots.txt</w:t>
      </w:r>
      <w:r>
        <w:rPr>
          <w:rFonts w:ascii="Verdana" w:hAnsi="Verdana" w:cs="Verdana" w:eastAsia="Verdana"/>
          <w:color w:val="222222"/>
          <w:sz w:val="20"/>
          <w:szCs w:val="20"/>
        </w:rPr>
        <w:t xml:space="preserve">, con una cadencia controlada (rate limiting de 1 segundo entre peticiones) y una política de anonimización absoluta: no se almacena ningún dato de carácter personal (PII) de los usuarios, en estricto cumplimiento del Reglamento General de Protección de Datos (RGPD / GDPR).</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21"/>
    <w:bookmarkEnd w:id="22"/>
    <w:bookmarkStart w:id="26" w:name="Xfe1088cb6681bd68073293ebf0d45980263a109"/>
    <w:p>
      <w:pPr>
        <w:pStyle w:val="Heading1"/>
        <w:keepNext/>
        <w:spacing w:line="276" w:lineRule="auto" w:before="280" w:after="80"/>
      </w:pPr>
      <w:r>
        <w:rPr>
          <w:rFonts w:ascii="Verdana" w:hAnsi="Verdana" w:cs="Verdana" w:eastAsia="Verdana"/>
          <w:b/>
          <w:color w:val="1F497D"/>
          <w:sz w:val="24"/>
          <w:szCs w:val="24"/>
        </w:rPr>
        <w:t xml:space="preserve">3. Estructuración, Data Warehouse y topología geoespacial</w:t>
      </w:r>
    </w:p>
    <w:bookmarkStart w:id="23" w:name="Xc9bc49d04160b0c4c8dc084a96e632322e91093"/>
    <w:p>
      <w:pPr>
        <w:pStyle w:val="Heading2"/>
        <w:keepNext/>
        <w:spacing w:line="276" w:lineRule="auto" w:before="200" w:after="60"/>
      </w:pPr>
      <w:r>
        <w:rPr>
          <w:rFonts w:ascii="Verdana" w:hAnsi="Verdana" w:cs="Verdana" w:eastAsia="Verdana"/>
          <w:b/>
          <w:color w:val="2E6E9E"/>
          <w:sz w:val="22"/>
          <w:szCs w:val="22"/>
        </w:rPr>
        <w:t xml:space="preserve">3.1. Diseño del almacén de datos espacial en PostgreSQL/PostGIS</w:t>
      </w:r>
    </w:p>
    <w:p>
      <w:pPr>
        <w:pStyle w:val="FirstParagraph"/>
        <w:spacing w:line="276" w:lineRule="auto" w:after="100"/>
        <w:jc w:val="both"/>
      </w:pPr>
      <w:r>
        <w:rPr>
          <w:rFonts w:ascii="Verdana" w:hAnsi="Verdana" w:cs="Verdana" w:eastAsia="Verdana"/>
          <w:color w:val="222222"/>
          <w:sz w:val="20"/>
          <w:szCs w:val="20"/>
        </w:rPr>
        <w:t xml:space="preserve">El núcleo del sistema de datos es un servidor</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Azure Database for PostgreSQL 16</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 la extensión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PostGIS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habilitada, que permite almacenar y consultar geometrías directamente en la base de datos sin depender de software GIS externo. La base de datos se organiza en tres esquemas que implementan la arquitectura de medallón:</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fill="1F497D"/>
          </w:tcPr>
          <w:p>
            <w:pPr>
              <w:pStyle w:val="Compact"/>
              <w:jc w:val="center"/>
            </w:pPr>
            <w:r>
              <w:rPr>
                <w:rFonts w:ascii="Verdana" w:hAnsi="Verdana" w:cs="Verdana" w:eastAsia="Verdana"/>
                <w:b/>
                <w:color w:val="FFFFFF"/>
                <w:sz w:val="19"/>
                <w:szCs w:val="19"/>
              </w:rPr>
              <w:t xml:space="preserve">Esquema</w:t>
            </w:r>
          </w:p>
        </w:tc>
        <w:tc>
          <w:tcPr>
            <w:shd w:fill="1F497D"/>
          </w:tcPr>
          <w:p>
            <w:pPr>
              <w:pStyle w:val="Compact"/>
              <w:jc w:val="center"/>
            </w:pPr>
            <w:r>
              <w:rPr>
                <w:rFonts w:ascii="Verdana" w:hAnsi="Verdana" w:cs="Verdana" w:eastAsia="Verdana"/>
                <w:b/>
                <w:color w:val="FFFFFF"/>
                <w:sz w:val="19"/>
                <w:szCs w:val="19"/>
              </w:rPr>
              <w:t xml:space="preserve">Rol</w:t>
            </w:r>
          </w:p>
        </w:tc>
        <w:tc>
          <w:tcPr>
            <w:shd w:fill="1F497D"/>
          </w:tcPr>
          <w:p>
            <w:pPr>
              <w:pStyle w:val="Compact"/>
              <w:jc w:val="center"/>
            </w:pPr>
            <w:r>
              <w:rPr>
                <w:rFonts w:ascii="Verdana" w:hAnsi="Verdana" w:cs="Verdana" w:eastAsia="Verdana"/>
                <w:b/>
                <w:color w:val="FFFFFF"/>
                <w:sz w:val="19"/>
                <w:szCs w:val="19"/>
              </w:rPr>
              <w:t xml:space="preserve">Tipo de dato</w:t>
            </w:r>
          </w:p>
        </w:tc>
      </w:tr>
      <w:tr>
        <w:tc>
          <w:tcPr/>
          <w:p>
            <w:pPr>
              <w:pStyle w:val="Compact"/>
            </w:pPr>
            <w:r>
              <w:rPr>
                <w:rStyle w:val="VerbatimChar"/>
                <w:rFonts w:ascii="Verdana" w:hAnsi="Verdana" w:cs="Verdana" w:eastAsia="Verdana"/>
                <w:color w:val="222222"/>
                <w:sz w:val="18"/>
                <w:szCs w:val="18"/>
              </w:rPr>
              <w:t xml:space="preserve">bronze</w:t>
            </w:r>
          </w:p>
        </w:tc>
        <w:tc>
          <w:tcPr/>
          <w:p>
            <w:pPr>
              <w:pStyle w:val="Compact"/>
            </w:pPr>
            <w:r>
              <w:rPr>
                <w:rFonts w:ascii="Verdana" w:hAnsi="Verdana" w:cs="Verdana" w:eastAsia="Verdana"/>
                <w:color w:val="222222"/>
                <w:sz w:val="18"/>
                <w:szCs w:val="18"/>
              </w:rPr>
              <w:t xml:space="preserve">Datos crudos tal como llegan de la fuente</w:t>
            </w:r>
          </w:p>
        </w:tc>
        <w:tc>
          <w:tcPr/>
          <w:p>
            <w:pPr>
              <w:pStyle w:val="Compact"/>
            </w:pPr>
            <w:r>
              <w:rPr>
                <w:rFonts w:ascii="Verdana" w:hAnsi="Verdana" w:cs="Verdana" w:eastAsia="Verdana"/>
                <w:color w:val="222222"/>
                <w:sz w:val="18"/>
                <w:szCs w:val="18"/>
              </w:rPr>
              <w:t xml:space="preserve">Parquet en Blob Storage + tablas relacionales en PG</w:t>
            </w:r>
          </w:p>
        </w:tc>
      </w:tr>
      <w:tr>
        <w:tc>
          <w:tcPr>
            <w:shd w:fill="F9FAFB"/>
          </w:tcPr>
          <w:p>
            <w:pPr>
              <w:pStyle w:val="Compact"/>
            </w:pPr>
            <w:r>
              <w:rPr>
                <w:rStyle w:val="VerbatimChar"/>
                <w:rFonts w:ascii="Verdana" w:hAnsi="Verdana" w:cs="Verdana" w:eastAsia="Verdana"/>
                <w:color w:val="222222"/>
                <w:sz w:val="18"/>
                <w:szCs w:val="18"/>
              </w:rPr>
              <w:t xml:space="preserve">silver</w:t>
            </w:r>
          </w:p>
        </w:tc>
        <w:tc>
          <w:tcPr>
            <w:shd w:fill="F9FAFB"/>
          </w:tcPr>
          <w:p>
            <w:pPr>
              <w:pStyle w:val="Compact"/>
            </w:pPr>
            <w:r>
              <w:rPr>
                <w:rFonts w:ascii="Verdana" w:hAnsi="Verdana" w:cs="Verdana" w:eastAsia="Verdana"/>
                <w:color w:val="222222"/>
                <w:sz w:val="18"/>
                <w:szCs w:val="18"/>
              </w:rPr>
              <w:t xml:space="preserve">Datos limpios, tipados, reproyectados a EPSG:32628</w:t>
            </w:r>
          </w:p>
        </w:tc>
        <w:tc>
          <w:tcPr>
            <w:shd w:fill="F9FAFB"/>
          </w:tcPr>
          <w:p>
            <w:pPr>
              <w:pStyle w:val="Compact"/>
            </w:pPr>
            <w:r>
              <w:rPr>
                <w:rFonts w:ascii="Verdana" w:hAnsi="Verdana" w:cs="Verdana" w:eastAsia="Verdana"/>
                <w:color w:val="222222"/>
                <w:sz w:val="18"/>
                <w:szCs w:val="18"/>
              </w:rPr>
              <w:t xml:space="preserve">Tablas relacionales + geometrías PostGIS</w:t>
            </w:r>
          </w:p>
        </w:tc>
      </w:tr>
      <w:tr>
        <w:tc>
          <w:tcPr/>
          <w:p>
            <w:pPr>
              <w:pStyle w:val="Compact"/>
            </w:pPr>
            <w:r>
              <w:rPr>
                <w:rStyle w:val="VerbatimChar"/>
                <w:rFonts w:ascii="Verdana" w:hAnsi="Verdana" w:cs="Verdana" w:eastAsia="Verdana"/>
                <w:color w:val="222222"/>
                <w:sz w:val="18"/>
                <w:szCs w:val="18"/>
              </w:rPr>
              <w:t xml:space="preserve">gold</w:t>
            </w:r>
          </w:p>
        </w:tc>
        <w:tc>
          <w:tcPr/>
          <w:p>
            <w:pPr>
              <w:pStyle w:val="Compact"/>
            </w:pPr>
            <w:r>
              <w:rPr>
                <w:rFonts w:ascii="Verdana" w:hAnsi="Verdana" w:cs="Verdana" w:eastAsia="Verdana"/>
                <w:color w:val="222222"/>
                <w:sz w:val="18"/>
                <w:szCs w:val="18"/>
              </w:rPr>
              <w:t xml:space="preserve">KPIs agregados y tablas listas para el dashboard</w:t>
            </w:r>
          </w:p>
        </w:tc>
        <w:tc>
          <w:tcPr/>
          <w:p>
            <w:pPr>
              <w:pStyle w:val="Compact"/>
            </w:pPr>
            <w:r>
              <w:rPr>
                <w:rFonts w:ascii="Verdana" w:hAnsi="Verdana" w:cs="Verdana" w:eastAsia="Verdana"/>
                <w:color w:val="222222"/>
                <w:sz w:val="18"/>
                <w:szCs w:val="18"/>
              </w:rPr>
              <w:t xml:space="preserve">Vistas materializadas + tabla hexagonal H3 maestra</w:t>
            </w:r>
          </w:p>
        </w:tc>
      </w:tr>
    </w:tbl>
    <w:p>
      <w:pPr>
        <w:pStyle w:val="BodyText"/>
        <w:spacing w:line="276" w:lineRule="auto" w:after="100"/>
        <w:jc w:val="both"/>
      </w:pPr>
      <w:r>
        <w:rPr>
          <w:rFonts w:ascii="Verdana" w:hAnsi="Verdana" w:cs="Verdana" w:eastAsia="Verdana"/>
          <w:color w:val="222222"/>
          <w:sz w:val="20"/>
          <w:szCs w:val="20"/>
        </w:rPr>
        <w:t xml:space="preserve">El esquema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silver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contiene más de veinte tablas temáticas: datos climáticos de Agrocabildo, capas espaciales institucionales (municipios, zonas turísticas, espacios naturales protegidos), topología GTFS de transporte público, estadísticas ISTAC, resultados de NLP (sentimiento, tópicos, aspectos) y datos satelitales procesados. Todas las tablas con geometría llevan un índice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GIST</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creado explícitamente, lo que reduce los tiempos de las consultas espaciales —por ejemplo, identificar a qué municipio pertenece cada parada de bus— de varios segundos a milisegundos.</w:t>
      </w:r>
    </w:p>
    <w:p>
      <w:pPr>
        <w:pStyle w:val="BodyText"/>
        <w:spacing w:line="276" w:lineRule="auto" w:after="100"/>
        <w:jc w:val="both"/>
      </w:pPr>
      <w:r>
        <w:rPr>
          <w:rFonts w:ascii="Verdana" w:hAnsi="Verdana" w:cs="Verdana" w:eastAsia="Verdana"/>
          <w:color w:val="222222"/>
          <w:sz w:val="20"/>
          <w:szCs w:val="20"/>
        </w:rPr>
        <w:t xml:space="preserve">El esquema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pivota en torno a una tabla central:</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(ver §4.1), que consolida más de sesenta indicadores por hexágono H3. Esta tabla es el punto de entrada único del dashboard.</w:t>
      </w:r>
    </w:p>
    <w:p>
      <w:pPr>
        <w:pStyle w:val="BodyText"/>
        <w:spacing w:line="276" w:lineRule="auto" w:after="100"/>
        <w:jc w:val="both"/>
      </w:pPr>
      <w:r>
        <w:rPr>
          <w:rFonts w:ascii="Verdana" w:hAnsi="Verdana" w:cs="Verdana" w:eastAsia="Verdana"/>
          <w:color w:val="222222"/>
          <w:sz w:val="20"/>
          <w:szCs w:val="20"/>
        </w:rPr>
        <w:t xml:space="preserve">Los detalles DDL completos (tipos de columna, índices, restricciones) se incluyen en el</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Anexo C</w:t>
      </w:r>
      <w:r>
        <w:rPr>
          <w:rFonts w:ascii="Verdana" w:hAnsi="Verdana" w:cs="Verdana" w:eastAsia="Verdana"/>
          <w:color w:val="222222"/>
          <w:sz w:val="20"/>
          <w:szCs w:val="20"/>
        </w:rPr>
        <w:t xml:space="preserve">.</w:t>
      </w:r>
    </w:p>
    <w:bookmarkEnd w:id="23"/>
    <w:bookmarkStart w:id="24" w:name="Xffbcb1c431249b13590e9a1a20a89cd33d2222b"/>
    <w:p>
      <w:pPr>
        <w:pStyle w:val="Heading2"/>
        <w:keepNext/>
        <w:spacing w:line="276" w:lineRule="auto" w:before="200" w:after="60"/>
      </w:pPr>
      <w:r>
        <w:rPr>
          <w:rFonts w:ascii="Verdana" w:hAnsi="Verdana" w:cs="Verdana" w:eastAsia="Verdana"/>
          <w:b/>
          <w:color w:val="2E6E9E"/>
          <w:sz w:val="22"/>
          <w:szCs w:val="22"/>
        </w:rPr>
        <w:t xml:space="preserve">3.2. Estandarización de coordenadas (EPSG:32628) e índices GIST</w:t>
      </w:r>
    </w:p>
    <w:p>
      <w:pPr>
        <w:pStyle w:val="FirstParagraph"/>
        <w:spacing w:line="276" w:lineRule="auto" w:after="100"/>
        <w:jc w:val="both"/>
      </w:pPr>
      <w:r>
        <w:rPr>
          <w:rFonts w:ascii="Verdana" w:hAnsi="Verdana" w:cs="Verdana" w:eastAsia="Verdana"/>
          <w:color w:val="222222"/>
          <w:sz w:val="20"/>
          <w:szCs w:val="20"/>
        </w:rPr>
        <w:t xml:space="preserve">Uno de los problemas más habituales al integrar datos geoespaciales de múltiples fuentes es la incompatibilidad de sistemas de referencia: IDECanarias publica en EPSG:4326 (coordenadas geográficas WGS 84), los datos GTFS usan también WGS 84 decimal, mientras que algunos productos del Cabildo vienen en EPSG:4083 (REGCAN95). Mezclar sistemas sin conversión introduce errores de cálculo de distancias y áreas.</w:t>
      </w:r>
    </w:p>
    <w:p>
      <w:pPr>
        <w:pStyle w:val="BodyText"/>
        <w:spacing w:line="276" w:lineRule="auto" w:after="100"/>
        <w:jc w:val="both"/>
      </w:pPr>
      <w:r>
        <w:rPr>
          <w:rFonts w:ascii="Verdana" w:hAnsi="Verdana" w:cs="Verdana" w:eastAsia="Verdana"/>
          <w:color w:val="222222"/>
          <w:sz w:val="20"/>
          <w:szCs w:val="20"/>
        </w:rPr>
        <w:t xml:space="preserve">La decisión de proyecto fue normalizar</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todas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las geometrías al sistema</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EPSG:32628 (WGS 84 / UTM zone 28N)</w:t>
      </w:r>
      <w:r>
        <w:rPr>
          <w:rFonts w:ascii="Verdana" w:hAnsi="Verdana" w:cs="Verdana" w:eastAsia="Verdana"/>
          <w:color w:val="222222"/>
          <w:sz w:val="20"/>
          <w:szCs w:val="20"/>
        </w:rPr>
        <w:t xml:space="preserve">, el sistema métrico proyectado oficial de Canarias. Las ventajas son:</w:t>
      </w:r>
    </w:p>
    <w:p>
      <w:pPr>
        <w:pStyle w:val="Compact"/>
        <w:numPr>
          <w:ilvl w:val="0"/>
          <w:numId w:val="1004"/>
        </w:numPr>
        <w:spacing w:line="276" w:lineRule="auto" w:after="100"/>
        <w:jc w:val="both"/>
      </w:pPr>
      <w:r>
        <w:rPr>
          <w:rFonts w:ascii="Verdana" w:hAnsi="Verdana" w:cs="Verdana" w:eastAsia="Verdana"/>
          <w:color w:val="222222"/>
          <w:sz w:val="20"/>
          <w:szCs w:val="20"/>
        </w:rPr>
        <w:t xml:space="preserve">Las distancias y áreas se calculan directamente en metros y metros cuadrados, sin factores de escala.</w:t>
      </w:r>
    </w:p>
    <w:p>
      <w:pPr>
        <w:pStyle w:val="Compact"/>
        <w:numPr>
          <w:ilvl w:val="0"/>
          <w:numId w:val="1004"/>
        </w:numPr>
        <w:spacing w:line="276" w:lineRule="auto" w:after="100"/>
        <w:jc w:val="both"/>
      </w:pPr>
      <w:r>
        <w:rPr>
          <w:rFonts w:ascii="Verdana" w:hAnsi="Verdana" w:cs="Verdana" w:eastAsia="Verdana"/>
          <w:color w:val="222222"/>
          <w:sz w:val="20"/>
          <w:szCs w:val="20"/>
        </w:rPr>
        <w:t xml:space="preserve">Los operadores espaciales de PostGIS (</w:t>
      </w:r>
      <w:r>
        <w:rPr>
          <w:rStyle w:val="VerbatimChar"/>
          <w:rFonts w:ascii="Verdana" w:hAnsi="Verdana" w:cs="Verdana" w:eastAsia="Verdana"/>
          <w:color w:val="222222"/>
          <w:sz w:val="20"/>
          <w:szCs w:val="20"/>
        </w:rPr>
        <w:t xml:space="preserve">ST_Distance</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ST_Area</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ST_Intersects</w:t>
      </w:r>
      <w:r>
        <w:rPr>
          <w:rFonts w:ascii="Verdana" w:hAnsi="Verdana" w:cs="Verdana" w:eastAsia="Verdana"/>
          <w:color w:val="222222"/>
          <w:sz w:val="20"/>
          <w:szCs w:val="20"/>
        </w:rPr>
        <w:t xml:space="preserve">) funcionan con máxima precisión.</w:t>
      </w:r>
    </w:p>
    <w:p>
      <w:pPr>
        <w:pStyle w:val="Compact"/>
        <w:numPr>
          <w:ilvl w:val="0"/>
          <w:numId w:val="1004"/>
        </w:numPr>
        <w:spacing w:line="276" w:lineRule="auto" w:after="100"/>
        <w:jc w:val="both"/>
      </w:pPr>
      <w:r>
        <w:rPr>
          <w:rFonts w:ascii="Verdana" w:hAnsi="Verdana" w:cs="Verdana" w:eastAsia="Verdana"/>
          <w:color w:val="222222"/>
          <w:sz w:val="20"/>
          <w:szCs w:val="20"/>
        </w:rPr>
        <w:t xml:space="preserve">Es el sistema usado por los organismos reguladores canarios, lo que facilita la integración futura con fuentes adicionales.</w:t>
      </w:r>
    </w:p>
    <w:p>
      <w:pPr>
        <w:pStyle w:val="FirstParagraph"/>
        <w:spacing w:line="276" w:lineRule="auto" w:after="100"/>
        <w:jc w:val="both"/>
      </w:pPr>
      <w:r>
        <w:rPr>
          <w:rFonts w:ascii="Verdana" w:hAnsi="Verdana" w:cs="Verdana" w:eastAsia="Verdana"/>
          <w:color w:val="222222"/>
          <w:sz w:val="20"/>
          <w:szCs w:val="20"/>
        </w:rPr>
        <w:t xml:space="preserve">La conversión se aplica en la capa de transformación dbt mediante la función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ST_Transform(geom, 32628)</w:t>
      </w:r>
      <w:r>
        <w:rPr>
          <w:rFonts w:ascii="Verdana" w:hAnsi="Verdana" w:cs="Verdana" w:eastAsia="Verdana"/>
          <w:color w:val="222222"/>
          <w:sz w:val="20"/>
          <w:szCs w:val="20"/>
        </w:rPr>
        <w:t xml:space="preserve">, de modo que la capa bronce preserva siempre el sistema original y solo la capa plata contiene geometrías normalizadas. Tras la reproyección se crea un índice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GIST</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sobre la columna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geometry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 cada tabla espacial.</w:t>
      </w:r>
    </w:p>
    <w:bookmarkEnd w:id="24"/>
    <w:bookmarkStart w:id="25" w:name="Xcdb01e170e2487f60d9f840161647fed71149ca"/>
    <w:p>
      <w:pPr>
        <w:pStyle w:val="Heading2"/>
        <w:keepNext/>
        <w:spacing w:line="276" w:lineRule="auto" w:before="200" w:after="60"/>
      </w:pPr>
      <w:r>
        <w:rPr>
          <w:rFonts w:ascii="Verdana" w:hAnsi="Verdana" w:cs="Verdana" w:eastAsia="Verdana"/>
          <w:b/>
          <w:color w:val="2E6E9E"/>
          <w:sz w:val="22"/>
          <w:szCs w:val="22"/>
        </w:rPr>
        <w:t xml:space="preserve">3.3. Orquestación ETL con Apache Airflow y transformaciones con dbt</w:t>
      </w:r>
    </w:p>
    <w:p>
      <w:pPr>
        <w:pStyle w:val="FirstParagraph"/>
        <w:spacing w:line="276" w:lineRule="auto" w:after="100"/>
        <w:jc w:val="both"/>
      </w:pPr>
      <w:r>
        <w:rPr>
          <w:rFonts w:ascii="Verdana" w:hAnsi="Verdana" w:cs="Verdana" w:eastAsia="Verdana"/>
          <w:color w:val="222222"/>
          <w:sz w:val="20"/>
          <w:szCs w:val="20"/>
        </w:rPr>
        <w:t xml:space="preserve">El pipeline de datos se divide en dos herramientas con responsabilidades complementarias:</w:t>
      </w:r>
    </w:p>
    <w:p>
      <w:pPr>
        <w:pStyle w:val="BodyText"/>
        <w:spacing w:line="276" w:lineRule="auto" w:after="100"/>
        <w:jc w:val="both"/>
      </w:pPr>
      <w:r>
        <w:rPr>
          <w:b/>
          <w:bCs/>
          <w:rFonts w:ascii="Verdana" w:hAnsi="Verdana" w:cs="Verdana" w:eastAsia="Verdana"/>
          <w:color w:val="222222"/>
          <w:sz w:val="20"/>
          <w:szCs w:val="20"/>
        </w:rPr>
        <w:t xml:space="preserve">dbt (data build tool)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gestiona todas las transformaciones SQL dentro de la base de datos, desde la capa bronce hacia la plata y el oro. Cada modelo dbt es un fichero SQL con nombre declarativo (</w:t>
      </w:r>
      <w:r>
        <w:rPr>
          <w:rStyle w:val="VerbatimChar"/>
          <w:rFonts w:ascii="Verdana" w:hAnsi="Verdana" w:cs="Verdana" w:eastAsia="Verdana"/>
          <w:color w:val="222222"/>
          <w:sz w:val="20"/>
          <w:szCs w:val="20"/>
        </w:rPr>
        <w:t xml:space="preserve">silver_clima_agrocabildo</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silver_gtfs_paradas</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que documenta sus dependencias, aplica tests de calidad (unicidad, no nulos, rangos válidos) y genera linaje automático: si el modelo de clima falla, dbt detecta qué modelos descendentes quedan afectados. El proyecto cuenta con más de veinte modelos activos organizados en cuatro dominios temáticos:</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clima/</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espacial/</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istac/</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youtube/</w:t>
      </w:r>
      <w:r>
        <w:rPr>
          <w:rFonts w:ascii="Verdana" w:hAnsi="Verdana" w:cs="Verdana" w:eastAsia="Verdana"/>
          <w:color w:val="222222"/>
          <w:sz w:val="20"/>
          <w:szCs w:val="20"/>
        </w:rPr>
        <w:t xml:space="preserve">.</w:t>
      </w:r>
    </w:p>
    <w:p>
      <w:pPr>
        <w:pStyle w:val="BodyText"/>
        <w:spacing w:line="276" w:lineRule="auto" w:after="100"/>
        <w:jc w:val="both"/>
      </w:pPr>
      <w:r>
        <w:rPr>
          <w:b/>
          <w:bCs/>
          <w:rFonts w:ascii="Verdana" w:hAnsi="Verdana" w:cs="Verdana" w:eastAsia="Verdana"/>
          <w:color w:val="222222"/>
          <w:sz w:val="20"/>
          <w:szCs w:val="20"/>
        </w:rPr>
        <w:t xml:space="preserve">Apache Airflow</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orquesta la secuencia completa: descarga de fuentes → carga en bronce → ejecución de dbt → scripts de analítica avanzada → actualización de tablas gold. Los DAGs se ejecutan en la máquina virtual</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mv-orquestador-tfm</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(Ubuntu Server 24.04, Standard B2ats_v2, ~0,012 $/h) de forma programada, sin intervención humana. Esto garantiza que el dashboard siempre muestra datos actualizados.</w:t>
      </w:r>
    </w:p>
    <w:p>
      <w:pPr>
        <w:pStyle w:val="BodyText"/>
        <w:spacing w:line="276" w:lineRule="auto" w:after="100"/>
        <w:jc w:val="both"/>
      </w:pPr>
      <w:r>
        <w:rPr>
          <w:rFonts w:ascii="Verdana" w:hAnsi="Verdana" w:cs="Verdana" w:eastAsia="Verdana"/>
          <w:color w:val="222222"/>
          <w:sz w:val="20"/>
          <w:szCs w:val="20"/>
        </w:rPr>
        <w:t xml:space="preserve">La separación de responsabilidades es deliberada: dbt transforma datos</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dentro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 la base de datos con SQL puro (eficiente, trazable, testeable), mientras Airflow coordina</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cuándo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en qué orden</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ocurre todo, incluyendo pasos que no son SQL (descarga de APIs, ejecución de scripts Python de NLP, llamadas a la API de Groq). El código completo de los modelos dbt y los DAGs de Airflow se incluye en el</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Anexo C</w:t>
      </w:r>
      <w:r>
        <w:rPr>
          <w:rFonts w:ascii="Verdana" w:hAnsi="Verdana" w:cs="Verdana" w:eastAsia="Verdana"/>
          <w:color w:val="222222"/>
          <w:sz w:val="20"/>
          <w:szCs w:val="20"/>
        </w:rPr>
        <w:t xml:space="preserve">.</w:t>
      </w:r>
    </w:p>
    <w:p>
      <w:pPr>
        <w:pStyle w:val="BodyText"/>
        <w:spacing w:line="276" w:lineRule="auto" w:after="100"/>
        <w:jc w:val="both"/>
      </w:pPr>
      <w:r>
        <w:rPr>
          <w:b/>
          <w:bCs/>
          <w:rFonts w:ascii="Verdana" w:hAnsi="Verdana" w:cs="Verdana" w:eastAsia="Verdana"/>
          <w:color w:val="222222"/>
          <w:sz w:val="20"/>
          <w:szCs w:val="20"/>
        </w:rPr>
        <w:t xml:space="preserve">Monitorización, control de ejecución y debugging del pipeline: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Para garantizar la fiabilidad del Data Lakehouse en producción, se han implementado mecanismos específicos de supervisión técnica: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Logging estructurado y rotación de trazas: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todos los scripts de ingesta implementan el módulo estándar</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logging</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 salida dual (consola y archivo con rotación diaria 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/var/log/tfm/</w:t>
      </w:r>
      <w:r>
        <w:rPr>
          <w:rFonts w:ascii="Verdana" w:hAnsi="Verdana" w:cs="Verdana" w:eastAsia="Verdana"/>
          <w:color w:val="222222"/>
          <w:sz w:val="20"/>
          <w:szCs w:val="20"/>
        </w:rPr>
        <w:t xml:space="preserve">), registrando marcas temporales, volumen de registros procesados, latencia y excepciones detalladas (</w:t>
      </w:r>
      <w:r>
        <w:rPr>
          <w:rStyle w:val="VerbatimChar"/>
          <w:rFonts w:ascii="Verdana" w:hAnsi="Verdana" w:cs="Verdana" w:eastAsia="Verdana"/>
          <w:color w:val="222222"/>
          <w:sz w:val="20"/>
          <w:szCs w:val="20"/>
        </w:rPr>
        <w:t xml:space="preserve">traceback</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Tolerancia a fallos y reintentos (Backoff exponencial):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las llamadas a APIs externas (Open-Meteo, OpenRouteService, YouTube) cuentan con interceptores de reintento automático ante códigos HTTP transitorios (429, 502, 503), espaciando las peticiones exponencialmente para no saturar las cuotas.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Idempotencia en base de datos: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cada carga en PostgreSQL utiliza inserciones condicionales mediante cláusulas</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ON CONFLICT (id) DO UPDATE</w:t>
      </w:r>
      <w:r>
        <w:rPr>
          <w:rFonts w:ascii="Verdana" w:hAnsi="Verdana" w:cs="Verdana" w:eastAsia="Verdana"/>
          <w:color w:val="222222"/>
          <w:sz w:val="20"/>
          <w:szCs w:val="20"/>
        </w:rPr>
        <w:t xml:space="preserve">, asegurando que una reejecución por fallo no genere registros duplicados ni inconsistencias.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Aserciones de calidad de datos en dbt:</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antes de materializar las tablas finales, se ejecutan suites de tests declarativos (</w:t>
      </w:r>
      <w:r>
        <w:rPr>
          <w:rStyle w:val="VerbatimChar"/>
          <w:rFonts w:ascii="Verdana" w:hAnsi="Verdana" w:cs="Verdana" w:eastAsia="Verdana"/>
          <w:color w:val="222222"/>
          <w:sz w:val="20"/>
          <w:szCs w:val="20"/>
        </w:rPr>
        <w:t xml:space="preserve">dbt test</w:t>
      </w:r>
      <w:r>
        <w:rPr>
          <w:rFonts w:ascii="Verdana" w:hAnsi="Verdana" w:cs="Verdana" w:eastAsia="Verdana"/>
          <w:color w:val="222222"/>
          <w:sz w:val="20"/>
          <w:szCs w:val="20"/>
        </w:rPr>
        <w:t xml:space="preserve">) que validan unicidad de identificadores H3 (</w:t>
      </w:r>
      <w:r>
        <w:rPr>
          <w:rStyle w:val="VerbatimChar"/>
          <w:rFonts w:ascii="Verdana" w:hAnsi="Verdana" w:cs="Verdana" w:eastAsia="Verdana"/>
          <w:color w:val="222222"/>
          <w:sz w:val="20"/>
          <w:szCs w:val="20"/>
        </w:rPr>
        <w:t xml:space="preserve">unique</w:t>
      </w:r>
      <w:r>
        <w:rPr>
          <w:rFonts w:ascii="Verdana" w:hAnsi="Verdana" w:cs="Verdana" w:eastAsia="Verdana"/>
          <w:color w:val="222222"/>
          <w:sz w:val="20"/>
          <w:szCs w:val="20"/>
        </w:rPr>
        <w:t xml:space="preserve">), ausencia de valores vacíos en variables críticas (</w:t>
      </w:r>
      <w:r>
        <w:rPr>
          <w:rStyle w:val="VerbatimChar"/>
          <w:rFonts w:ascii="Verdana" w:hAnsi="Verdana" w:cs="Verdana" w:eastAsia="Verdana"/>
          <w:color w:val="222222"/>
          <w:sz w:val="20"/>
          <w:szCs w:val="20"/>
        </w:rPr>
        <w:t xml:space="preserve">not_null</w:t>
      </w:r>
      <w:r>
        <w:rPr>
          <w:rFonts w:ascii="Verdana" w:hAnsi="Verdana" w:cs="Verdana" w:eastAsia="Verdana"/>
          <w:color w:val="222222"/>
          <w:sz w:val="20"/>
          <w:szCs w:val="20"/>
        </w:rPr>
        <w:t xml:space="preserve">), integridad referencial entre municipios y hexágonos (</w:t>
      </w:r>
      <w:r>
        <w:rPr>
          <w:rStyle w:val="VerbatimChar"/>
          <w:rFonts w:ascii="Verdana" w:hAnsi="Verdana" w:cs="Verdana" w:eastAsia="Verdana"/>
          <w:color w:val="222222"/>
          <w:sz w:val="20"/>
          <w:szCs w:val="20"/>
        </w:rPr>
        <w:t xml:space="preserve">relationships</w:t>
      </w:r>
      <w:r>
        <w:rPr>
          <w:rFonts w:ascii="Verdana" w:hAnsi="Verdana" w:cs="Verdana" w:eastAsia="Verdana"/>
          <w:color w:val="222222"/>
          <w:sz w:val="20"/>
          <w:szCs w:val="20"/>
        </w:rPr>
        <w:t xml:space="preserve">) y rangos físicos válidos (por ejemplo, temperaturas entre -5 °C y 45 °C, o porcentajes de NDVI entre -1 y 1). Si un test falla, el pipeline detiene la construcción de capas descendentes, protegiendo la fiabilidad del dashboard.</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25"/>
    <w:bookmarkEnd w:id="26"/>
    <w:bookmarkStart w:id="35" w:name="Xc825a816ff27ba3c5438c14b73774234dd7f2e2"/>
    <w:p>
      <w:pPr>
        <w:pStyle w:val="Heading1"/>
        <w:keepNext/>
        <w:spacing w:line="276" w:lineRule="auto" w:before="280" w:after="80"/>
      </w:pPr>
      <w:r>
        <w:rPr>
          <w:rFonts w:ascii="Verdana" w:hAnsi="Verdana" w:cs="Verdana" w:eastAsia="Verdana"/>
          <w:b/>
          <w:color w:val="1F497D"/>
          <w:sz w:val="24"/>
          <w:szCs w:val="24"/>
        </w:rPr>
        <w:t xml:space="preserve">4. Analítica avanzada e inteligencia espacial</w:t>
      </w:r>
    </w:p>
    <w:p>
      <w:pPr>
        <w:pStyle w:val="FirstParagraph"/>
        <w:spacing w:line="276" w:lineRule="auto" w:after="100"/>
        <w:jc w:val="both"/>
      </w:pPr>
      <w:r>
        <w:rPr>
          <w:rFonts w:ascii="Verdana" w:hAnsi="Verdana" w:cs="Verdana" w:eastAsia="Verdana"/>
          <w:color w:val="222222"/>
          <w:sz w:val="20"/>
          <w:szCs w:val="20"/>
        </w:rPr>
        <w:t xml:space="preserve">La capa de analítica es el núcleo diferencial del proyecto. En lugar de limitarse a mostrar los datos tal como los publica la fuente, el sistema genera conocimiento nuevo cruzando dimensiones que individualmente no responden las preguntas de negocio.</w:t>
      </w:r>
    </w:p>
    <w:bookmarkStart w:id="27" w:name="X23f55d40cfb4db3f110f7d129a272ff56ff9aad"/>
    <w:p>
      <w:pPr>
        <w:pStyle w:val="Heading2"/>
        <w:keepNext/>
        <w:spacing w:line="276" w:lineRule="auto" w:before="200" w:after="60"/>
      </w:pPr>
      <w:r>
        <w:rPr>
          <w:rFonts w:ascii="Verdana" w:hAnsi="Verdana" w:cs="Verdana" w:eastAsia="Verdana"/>
          <w:b/>
          <w:color w:val="2E6E9E"/>
          <w:sz w:val="22"/>
          <w:szCs w:val="22"/>
        </w:rPr>
        <w:t xml:space="preserve">4.1. Indexación hexagonal H3 y tabla maestra Gold</w:t>
      </w:r>
    </w:p>
    <w:p>
      <w:pPr>
        <w:pStyle w:val="FirstParagraph"/>
        <w:spacing w:line="276" w:lineRule="auto" w:after="100"/>
        <w:jc w:val="both"/>
      </w:pPr>
      <w:r>
        <w:rPr>
          <w:rFonts w:ascii="Verdana" w:hAnsi="Verdana" w:cs="Verdana" w:eastAsia="Verdana"/>
          <w:color w:val="222222"/>
          <w:sz w:val="20"/>
          <w:szCs w:val="20"/>
        </w:rPr>
        <w:t xml:space="preserve">Antes de detallar cada análisis, conviene explicar la pieza que los unifica: la rejilla</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H3</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 Uber Technologies (2018). H3 divide el territorio en hexágonos de tamaño uniforme —en este proyecto se usa la resolución 8, con celdas de aproximadamente 0,74 km²—. Cada hexágono recibe un identificador único (</w:t>
      </w:r>
      <w:r>
        <w:rPr>
          <w:rStyle w:val="VerbatimChar"/>
          <w:rFonts w:ascii="Verdana" w:hAnsi="Verdana" w:cs="Verdana" w:eastAsia="Verdana"/>
          <w:color w:val="222222"/>
          <w:sz w:val="20"/>
          <w:szCs w:val="20"/>
        </w:rPr>
        <w:t xml:space="preserve">h3_index</w:t>
      </w:r>
      <w:r>
        <w:rPr>
          <w:rFonts w:ascii="Verdana" w:hAnsi="Verdana" w:cs="Verdana" w:eastAsia="Verdana"/>
          <w:color w:val="222222"/>
          <w:sz w:val="20"/>
          <w:szCs w:val="20"/>
        </w:rPr>
        <w:t xml:space="preserve">) que actúa como clave de unión entre todos los indicadores del proyecto.</w:t>
      </w:r>
    </w:p>
    <w:p>
      <w:pPr>
        <w:pStyle w:val="BodyText"/>
        <w:spacing w:line="276" w:lineRule="auto" w:after="100"/>
        <w:jc w:val="both"/>
      </w:pPr>
      <w:r>
        <w:rPr>
          <w:rFonts w:ascii="Verdana" w:hAnsi="Verdana" w:cs="Verdana" w:eastAsia="Verdana"/>
          <w:color w:val="222222"/>
          <w:sz w:val="20"/>
          <w:szCs w:val="20"/>
        </w:rPr>
        <w:t xml:space="preserve">La tabla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consolida en una sola fila por hexágono:</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fill="1F497D"/>
          </w:tcPr>
          <w:p>
            <w:pPr>
              <w:pStyle w:val="Compact"/>
              <w:jc w:val="center"/>
            </w:pPr>
            <w:r>
              <w:rPr>
                <w:rFonts w:ascii="Verdana" w:hAnsi="Verdana" w:cs="Verdana" w:eastAsia="Verdana"/>
                <w:b/>
                <w:color w:val="FFFFFF"/>
                <w:sz w:val="19"/>
                <w:szCs w:val="19"/>
              </w:rPr>
              <w:t xml:space="preserve">Categoría</w:t>
            </w:r>
          </w:p>
        </w:tc>
        <w:tc>
          <w:tcPr>
            <w:shd w:fill="1F497D"/>
          </w:tcPr>
          <w:p>
            <w:pPr>
              <w:pStyle w:val="Compact"/>
              <w:jc w:val="center"/>
            </w:pPr>
            <w:r>
              <w:rPr>
                <w:rFonts w:ascii="Verdana" w:hAnsi="Verdana" w:cs="Verdana" w:eastAsia="Verdana"/>
                <w:b/>
                <w:color w:val="FFFFFF"/>
                <w:sz w:val="19"/>
                <w:szCs w:val="19"/>
              </w:rPr>
              <w:t xml:space="preserve">Indicadores incluidos</w:t>
            </w:r>
          </w:p>
        </w:tc>
      </w:tr>
      <w:tr>
        <w:tc>
          <w:tcPr/>
          <w:p>
            <w:pPr>
              <w:pStyle w:val="Compact"/>
            </w:pPr>
            <w:r>
              <w:rPr>
                <w:rFonts w:ascii="Verdana" w:hAnsi="Verdana" w:cs="Verdana" w:eastAsia="Verdana"/>
                <w:color w:val="222222"/>
                <w:sz w:val="18"/>
                <w:szCs w:val="18"/>
              </w:rPr>
              <w:t xml:space="preserve">Alojamiento oficial</w:t>
            </w:r>
          </w:p>
        </w:tc>
        <w:tc>
          <w:tcPr/>
          <w:p>
            <w:pPr>
              <w:pStyle w:val="Compact"/>
            </w:pPr>
            <w:r>
              <w:rPr>
                <w:rFonts w:ascii="Verdana" w:hAnsi="Verdana" w:cs="Verdana" w:eastAsia="Verdana"/>
                <w:color w:val="222222"/>
                <w:sz w:val="18"/>
                <w:szCs w:val="18"/>
              </w:rPr>
              <w:t xml:space="preserve">Nº establecimientos, nº plazas, nº hoteles, VV, extrahoteleros</w:t>
            </w:r>
          </w:p>
        </w:tc>
      </w:tr>
      <w:tr>
        <w:tc>
          <w:tcPr>
            <w:shd w:fill="F9FAFB"/>
          </w:tcPr>
          <w:p>
            <w:pPr>
              <w:pStyle w:val="Compact"/>
            </w:pPr>
            <w:r>
              <w:rPr>
                <w:rFonts w:ascii="Verdana" w:hAnsi="Verdana" w:cs="Verdana" w:eastAsia="Verdana"/>
                <w:color w:val="222222"/>
                <w:sz w:val="18"/>
                <w:szCs w:val="18"/>
              </w:rPr>
              <w:t xml:space="preserve">Plataformas digitales</w:t>
            </w:r>
          </w:p>
        </w:tc>
        <w:tc>
          <w:tcPr>
            <w:shd w:fill="F9FAFB"/>
          </w:tcPr>
          <w:p>
            <w:pPr>
              <w:pStyle w:val="Compact"/>
            </w:pPr>
            <w:r>
              <w:rPr>
                <w:rFonts w:ascii="Verdana" w:hAnsi="Verdana" w:cs="Verdana" w:eastAsia="Verdana"/>
                <w:color w:val="222222"/>
                <w:sz w:val="18"/>
                <w:szCs w:val="18"/>
              </w:rPr>
              <w:t xml:space="preserve">Rating medio Booking, rating medio TripAdvisor, nº reseñas válidas</w:t>
            </w:r>
          </w:p>
        </w:tc>
      </w:tr>
      <w:tr>
        <w:tc>
          <w:tcPr/>
          <w:p>
            <w:pPr>
              <w:pStyle w:val="Compact"/>
            </w:pPr>
            <w:r>
              <w:rPr>
                <w:rFonts w:ascii="Verdana" w:hAnsi="Verdana" w:cs="Verdana" w:eastAsia="Verdana"/>
                <w:color w:val="222222"/>
                <w:sz w:val="18"/>
                <w:szCs w:val="18"/>
              </w:rPr>
              <w:t xml:space="preserve">Puntos de interés</w:t>
            </w:r>
          </w:p>
        </w:tc>
        <w:tc>
          <w:tcPr/>
          <w:p>
            <w:pPr>
              <w:pStyle w:val="Compact"/>
            </w:pPr>
            <w:r>
              <w:rPr>
                <w:rFonts w:ascii="Verdana" w:hAnsi="Verdana" w:cs="Verdana" w:eastAsia="Verdana"/>
                <w:color w:val="222222"/>
                <w:sz w:val="18"/>
                <w:szCs w:val="18"/>
              </w:rPr>
              <w:t xml:space="preserve">POIs totales, restaurantes, cultura, naturaleza</w:t>
            </w:r>
          </w:p>
        </w:tc>
      </w:tr>
      <w:tr>
        <w:tc>
          <w:tcPr>
            <w:shd w:fill="F9FAFB"/>
          </w:tcPr>
          <w:p>
            <w:pPr>
              <w:pStyle w:val="Compact"/>
            </w:pPr>
            <w:r>
              <w:rPr>
                <w:rFonts w:ascii="Verdana" w:hAnsi="Verdana" w:cs="Verdana" w:eastAsia="Verdana"/>
                <w:color w:val="222222"/>
                <w:sz w:val="18"/>
                <w:szCs w:val="18"/>
              </w:rPr>
              <w:t xml:space="preserve">Transporte</w:t>
            </w:r>
          </w:p>
        </w:tc>
        <w:tc>
          <w:tcPr>
            <w:shd w:fill="F9FAFB"/>
          </w:tcPr>
          <w:p>
            <w:pPr>
              <w:pStyle w:val="Compact"/>
            </w:pPr>
            <w:r>
              <w:rPr>
                <w:rFonts w:ascii="Verdana" w:hAnsi="Verdana" w:cs="Verdana" w:eastAsia="Verdana"/>
                <w:color w:val="222222"/>
                <w:sz w:val="18"/>
                <w:szCs w:val="18"/>
              </w:rPr>
              <w:t xml:space="preserve">Nº paradas de bus GTFS</w:t>
            </w:r>
          </w:p>
        </w:tc>
      </w:tr>
      <w:tr>
        <w:tc>
          <w:tcPr/>
          <w:p>
            <w:pPr>
              <w:pStyle w:val="Compact"/>
            </w:pPr>
            <w:r>
              <w:rPr>
                <w:rFonts w:ascii="Verdana" w:hAnsi="Verdana" w:cs="Verdana" w:eastAsia="Verdana"/>
                <w:color w:val="222222"/>
                <w:sz w:val="18"/>
                <w:szCs w:val="18"/>
              </w:rPr>
              <w:t xml:space="preserve">Topografía (MDT)</w:t>
            </w:r>
          </w:p>
        </w:tc>
        <w:tc>
          <w:tcPr/>
          <w:p>
            <w:pPr>
              <w:pStyle w:val="Compact"/>
            </w:pPr>
            <w:r>
              <w:rPr>
                <w:rFonts w:ascii="Verdana" w:hAnsi="Verdana" w:cs="Verdana" w:eastAsia="Verdana"/>
                <w:color w:val="222222"/>
                <w:sz w:val="18"/>
                <w:szCs w:val="18"/>
              </w:rPr>
              <w:t xml:space="preserve">Altitud media/mín/máx, pendiente, orientación, sombra</w:t>
            </w:r>
          </w:p>
        </w:tc>
      </w:tr>
      <w:tr>
        <w:tc>
          <w:tcPr>
            <w:shd w:fill="F9FAFB"/>
          </w:tcPr>
          <w:p>
            <w:pPr>
              <w:pStyle w:val="Compact"/>
            </w:pPr>
            <w:r>
              <w:rPr>
                <w:rFonts w:ascii="Verdana" w:hAnsi="Verdana" w:cs="Verdana" w:eastAsia="Verdana"/>
                <w:color w:val="222222"/>
                <w:sz w:val="18"/>
                <w:szCs w:val="18"/>
              </w:rPr>
              <w:t xml:space="preserve">Satélite Copernicus</w:t>
            </w:r>
          </w:p>
        </w:tc>
        <w:tc>
          <w:tcPr>
            <w:shd w:fill="F9FAFB"/>
          </w:tcPr>
          <w:p>
            <w:pPr>
              <w:pStyle w:val="Compact"/>
            </w:pPr>
            <w:r>
              <w:rPr>
                <w:rFonts w:ascii="Verdana" w:hAnsi="Verdana" w:cs="Verdana" w:eastAsia="Verdana"/>
                <w:color w:val="222222"/>
                <w:sz w:val="18"/>
                <w:szCs w:val="18"/>
              </w:rPr>
              <w:t xml:space="preserve">NDVI (vegetación), NDBI (urbanización), VIIRS (luces nocturnas)</w:t>
            </w:r>
          </w:p>
        </w:tc>
      </w:tr>
      <w:tr>
        <w:tc>
          <w:tcPr/>
          <w:p>
            <w:pPr>
              <w:pStyle w:val="Compact"/>
            </w:pPr>
            <w:r>
              <w:rPr>
                <w:rFonts w:ascii="Verdana" w:hAnsi="Verdana" w:cs="Verdana" w:eastAsia="Verdana"/>
                <w:color w:val="222222"/>
                <w:sz w:val="18"/>
                <w:szCs w:val="18"/>
              </w:rPr>
              <w:t xml:space="preserve">Clima Agrocabildo</w:t>
            </w:r>
          </w:p>
        </w:tc>
        <w:tc>
          <w:tcPr/>
          <w:p>
            <w:pPr>
              <w:pStyle w:val="Compact"/>
            </w:pPr>
            <w:r>
              <w:rPr>
                <w:rFonts w:ascii="Verdana" w:hAnsi="Verdana" w:cs="Verdana" w:eastAsia="Verdana"/>
                <w:color w:val="222222"/>
                <w:sz w:val="18"/>
                <w:szCs w:val="18"/>
              </w:rPr>
              <w:t xml:space="preserve">Temperatura media por trimestre, lluvia anual, viento, humedad, radiación</w:t>
            </w:r>
          </w:p>
        </w:tc>
      </w:tr>
      <w:tr>
        <w:tc>
          <w:tcPr>
            <w:shd w:fill="F9FAFB"/>
          </w:tcPr>
          <w:p>
            <w:pPr>
              <w:pStyle w:val="Compact"/>
            </w:pPr>
            <w:r>
              <w:rPr>
                <w:rFonts w:ascii="Verdana" w:hAnsi="Verdana" w:cs="Verdana" w:eastAsia="Verdana"/>
                <w:color w:val="222222"/>
                <w:sz w:val="18"/>
                <w:szCs w:val="18"/>
              </w:rPr>
              <w:t xml:space="preserve">ESG / Riesgos</w:t>
            </w:r>
          </w:p>
        </w:tc>
        <w:tc>
          <w:tcPr>
            <w:shd w:fill="F9FAFB"/>
          </w:tcPr>
          <w:p>
            <w:pPr>
              <w:pStyle w:val="Compact"/>
            </w:pPr>
            <w:r>
              <w:rPr>
                <w:rFonts w:ascii="Verdana" w:hAnsi="Verdana" w:cs="Verdana" w:eastAsia="Verdana"/>
                <w:color w:val="222222"/>
                <w:sz w:val="18"/>
                <w:szCs w:val="18"/>
              </w:rPr>
              <w:t xml:space="preserve">Días de ola de calor/año, amplitud térmica</w:t>
            </w:r>
          </w:p>
        </w:tc>
      </w:tr>
      <w:tr>
        <w:tc>
          <w:tcPr/>
          <w:p>
            <w:pPr>
              <w:pStyle w:val="Compact"/>
            </w:pPr>
            <w:r>
              <w:rPr>
                <w:rFonts w:ascii="Verdana" w:hAnsi="Verdana" w:cs="Verdana" w:eastAsia="Verdana"/>
                <w:color w:val="222222"/>
                <w:sz w:val="18"/>
                <w:szCs w:val="18"/>
              </w:rPr>
              <w:t xml:space="preserve">Restricciones</w:t>
            </w:r>
          </w:p>
        </w:tc>
        <w:tc>
          <w:tcPr/>
          <w:p>
            <w:pPr>
              <w:pStyle w:val="Compact"/>
            </w:pPr>
            <w:r>
              <w:rPr>
                <w:rFonts w:ascii="Verdana" w:hAnsi="Verdana" w:cs="Verdana" w:eastAsia="Verdana"/>
                <w:color w:val="222222"/>
                <w:sz w:val="18"/>
                <w:szCs w:val="18"/>
              </w:rPr>
              <w:t xml:space="preserve">Es espacio natural protegido, % área ENP, es zona turística oficial</w:t>
            </w:r>
          </w:p>
        </w:tc>
      </w:tr>
      <w:tr>
        <w:tc>
          <w:tcPr>
            <w:shd w:fill="F9FAFB"/>
          </w:tcPr>
          <w:p>
            <w:pPr>
              <w:pStyle w:val="Compact"/>
            </w:pPr>
            <w:r>
              <w:rPr>
                <w:rFonts w:ascii="Verdana" w:hAnsi="Verdana" w:cs="Verdana" w:eastAsia="Verdana"/>
                <w:color w:val="222222"/>
                <w:sz w:val="18"/>
                <w:szCs w:val="18"/>
              </w:rPr>
              <w:t xml:space="preserve">Posición geográfica</w:t>
            </w:r>
          </w:p>
        </w:tc>
        <w:tc>
          <w:tcPr>
            <w:shd w:fill="F9FAFB"/>
          </w:tcPr>
          <w:p>
            <w:pPr>
              <w:pStyle w:val="Compact"/>
            </w:pPr>
            <w:r>
              <w:rPr>
                <w:rFonts w:ascii="Verdana" w:hAnsi="Verdana" w:cs="Verdana" w:eastAsia="Verdana"/>
                <w:color w:val="222222"/>
                <w:sz w:val="18"/>
                <w:szCs w:val="18"/>
              </w:rPr>
              <w:t xml:space="preserve">Distancia a la costa, municipio asignado</w:t>
            </w:r>
          </w:p>
        </w:tc>
      </w:tr>
    </w:tbl>
    <w:p>
      <w:pPr>
        <w:pStyle w:val="BodyText"/>
        <w:spacing w:line="276" w:lineRule="auto" w:after="100"/>
        <w:jc w:val="both"/>
      </w:pPr>
      <w:r>
        <w:rPr>
          <w:rFonts w:ascii="Verdana" w:hAnsi="Verdana" w:cs="Verdana" w:eastAsia="Verdana"/>
          <w:color w:val="222222"/>
          <w:sz w:val="20"/>
          <w:szCs w:val="20"/>
        </w:rPr>
        <w:t xml:space="preserve">Esta tabla única es el punto de entrada del dashboard y de todos los modelos analíticos posteriores.</w:t>
      </w:r>
    </w:p>
    <w:bookmarkEnd w:id="27"/>
    <w:bookmarkStart w:id="28" w:name="análisis-de-sentimiento-multilingüe-nlp"/>
    <w:p>
      <w:pPr>
        <w:pStyle w:val="Heading2"/>
        <w:keepNext/>
        <w:spacing w:line="276" w:lineRule="auto" w:before="200" w:after="60"/>
      </w:pPr>
      <w:r>
        <w:rPr>
          <w:rFonts w:ascii="Verdana" w:hAnsi="Verdana" w:cs="Verdana" w:eastAsia="Verdana"/>
          <w:b/>
          <w:color w:val="2E6E9E"/>
          <w:sz w:val="22"/>
          <w:szCs w:val="22"/>
        </w:rPr>
        <w:t xml:space="preserve">4.2. Análisis de sentimiento multilingüe (NLP)</w:t>
      </w:r>
    </w:p>
    <w:p>
      <w:pPr>
        <w:pStyle w:val="FirstParagraph"/>
        <w:spacing w:line="276" w:lineRule="auto" w:after="100"/>
        <w:jc w:val="both"/>
      </w:pPr>
      <w:r>
        <w:rPr>
          <w:b/>
          <w:bCs/>
          <w:rFonts w:ascii="Verdana" w:hAnsi="Verdana" w:cs="Verdana" w:eastAsia="Verdana"/>
          <w:color w:val="222222"/>
          <w:sz w:val="20"/>
          <w:szCs w:val="20"/>
        </w:rPr>
        <w:t xml:space="preserve">El problema de negocio: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 167.000 mensajes de foros y 3.100 comentarios de YouTube, es imposible que un analista humano lea y clasifique manualmente toda la opinión de los turistas.</w:t>
      </w:r>
    </w:p>
    <w:p>
      <w:pPr>
        <w:pStyle w:val="BodyText"/>
        <w:spacing w:line="276" w:lineRule="auto" w:after="100"/>
        <w:jc w:val="both"/>
      </w:pPr>
      <w:r>
        <w:rPr>
          <w:b/>
          <w:bCs/>
          <w:rFonts w:ascii="Verdana" w:hAnsi="Verdana" w:cs="Verdana" w:eastAsia="Verdana"/>
          <w:color w:val="222222"/>
          <w:sz w:val="20"/>
          <w:szCs w:val="20"/>
        </w:rPr>
        <w:t xml:space="preserve">La solución técnica: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se usa el modelo preentrenado</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cardiffnlp/twitter-xlm-roberta-base-sentiment</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 Hugging Face (Barbieri et al., 2022), que clasifica cada texto como Positivo, Neutral o Negativo con una puntuación de confianza de 0 a 1. Las ventajas clave de este modelo frente a alternativas más simples:</w:t>
      </w:r>
    </w:p>
    <w:p>
      <w:pPr>
        <w:pStyle w:val="Compact"/>
        <w:numPr>
          <w:ilvl w:val="0"/>
          <w:numId w:val="1005"/>
        </w:numPr>
        <w:spacing w:line="276" w:lineRule="auto" w:after="100"/>
        <w:jc w:val="both"/>
      </w:pPr>
      <w:r>
        <w:rPr>
          <w:b/>
          <w:bCs/>
          <w:rFonts w:ascii="Verdana" w:hAnsi="Verdana" w:cs="Verdana" w:eastAsia="Verdana"/>
          <w:color w:val="222222"/>
          <w:sz w:val="20"/>
          <w:szCs w:val="20"/>
        </w:rPr>
        <w:t xml:space="preserve">Multilingüe nativo: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entiende español, inglés y otros idiomas sin configuración adicional, crítico porque los comentarios de YouTube llegan mezclados.</w:t>
      </w:r>
    </w:p>
    <w:p>
      <w:pPr>
        <w:pStyle w:val="Compact"/>
        <w:numPr>
          <w:ilvl w:val="0"/>
          <w:numId w:val="1005"/>
        </w:numPr>
        <w:spacing w:line="276" w:lineRule="auto" w:after="100"/>
        <w:jc w:val="both"/>
      </w:pPr>
      <w:r>
        <w:rPr>
          <w:b/>
          <w:bCs/>
          <w:rFonts w:ascii="Verdana" w:hAnsi="Verdana" w:cs="Verdana" w:eastAsia="Verdana"/>
          <w:color w:val="222222"/>
          <w:sz w:val="20"/>
          <w:szCs w:val="20"/>
        </w:rPr>
        <w:t xml:space="preserve">Entrenado en texto social: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fue ajustado con publicaciones de Twitter/X, lo que lo hace robusto a la gramática informal, emojis y abreviaciones típicas de los comentarios de viajeros.</w:t>
      </w:r>
    </w:p>
    <w:p>
      <w:pPr>
        <w:pStyle w:val="Compact"/>
        <w:numPr>
          <w:ilvl w:val="0"/>
          <w:numId w:val="1005"/>
        </w:numPr>
        <w:spacing w:line="276" w:lineRule="auto" w:after="100"/>
        <w:jc w:val="both"/>
      </w:pPr>
      <w:r>
        <w:rPr>
          <w:b/>
          <w:bCs/>
          <w:rFonts w:ascii="Verdana" w:hAnsi="Verdana" w:cs="Verdana" w:eastAsia="Verdana"/>
          <w:color w:val="222222"/>
          <w:sz w:val="20"/>
          <w:szCs w:val="20"/>
        </w:rPr>
        <w:t xml:space="preserve">Sin coste adicional: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se descarga una vez (~1,1 GB) y funciona localmente; no requiere llamadas a API de pago.</w:t>
      </w:r>
    </w:p>
    <w:p>
      <w:pPr>
        <w:pStyle w:val="FirstParagraph"/>
        <w:spacing w:line="276" w:lineRule="auto" w:after="100"/>
        <w:jc w:val="both"/>
      </w:pPr>
      <w:r>
        <w:rPr>
          <w:rFonts w:ascii="Verdana" w:hAnsi="Verdana" w:cs="Verdana" w:eastAsia="Verdana"/>
          <w:color w:val="222222"/>
          <w:sz w:val="20"/>
          <w:szCs w:val="20"/>
        </w:rPr>
        <w:t xml:space="preserve">El procesamiento se ejecuta en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lotes de 32 textos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i/>
          <w:iCs/>
          <w:rFonts w:ascii="Verdana" w:hAnsi="Verdana" w:cs="Verdana" w:eastAsia="Verdana"/>
          <w:color w:val="222222"/>
          <w:sz w:val="20"/>
          <w:szCs w:val="20"/>
        </w:rPr>
        <w:t xml:space="preserve">batch inference</w:t>
      </w:r>
      <w:r>
        <w:rPr>
          <w:rFonts w:ascii="Verdana" w:hAnsi="Verdana" w:cs="Verdana" w:eastAsia="Verdana"/>
          <w:color w:val="222222"/>
          <w:sz w:val="20"/>
          <w:szCs w:val="20"/>
        </w:rPr>
        <w:t xml:space="preserve">), lo que multiplica la velocidad respecto al procesamiento individual. El sistema es incremental: en ejecuciones sucesivas solo procesa los comentarios nuevos, sin repetir el trabajo ya realizado.</w:t>
      </w:r>
    </w:p>
    <w:p>
      <w:pPr>
        <w:pStyle w:val="BodyText"/>
        <w:spacing w:line="276" w:lineRule="auto" w:after="100"/>
        <w:jc w:val="both"/>
      </w:pPr>
      <w:r>
        <w:rPr>
          <w:b/>
          <w:bCs/>
          <w:rFonts w:ascii="Verdana" w:hAnsi="Verdana" w:cs="Verdana" w:eastAsia="Verdana"/>
          <w:color w:val="222222"/>
          <w:sz w:val="20"/>
          <w:szCs w:val="20"/>
        </w:rPr>
        <w:t xml:space="preserve">Resultados reales (3.071 comentarios procesados):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shd w:fill="1F497D"/>
          </w:tcPr>
          <w:p>
            <w:pPr>
              <w:pStyle w:val="Compact"/>
              <w:jc w:val="center"/>
            </w:pPr>
            <w:r>
              <w:rPr>
                <w:rFonts w:ascii="Verdana" w:hAnsi="Verdana" w:cs="Verdana" w:eastAsia="Verdana"/>
                <w:b/>
                <w:color w:val="FFFFFF"/>
                <w:sz w:val="19"/>
                <w:szCs w:val="19"/>
              </w:rPr>
              <w:t xml:space="preserve">Sentimiento</w:t>
            </w:r>
          </w:p>
        </w:tc>
        <w:tc>
          <w:tcPr>
            <w:shd w:fill="1F497D"/>
          </w:tcPr>
          <w:p>
            <w:pPr>
              <w:pStyle w:val="Compact"/>
              <w:jc w:val="center"/>
            </w:pPr>
            <w:r>
              <w:rPr>
                <w:rFonts w:ascii="Verdana" w:hAnsi="Verdana" w:cs="Verdana" w:eastAsia="Verdana"/>
                <w:b/>
                <w:color w:val="FFFFFF"/>
                <w:sz w:val="19"/>
                <w:szCs w:val="19"/>
              </w:rPr>
              <w:t xml:space="preserve">Cantidad</w:t>
            </w:r>
          </w:p>
        </w:tc>
        <w:tc>
          <w:tcPr>
            <w:shd w:fill="1F497D"/>
          </w:tcPr>
          <w:p>
            <w:pPr>
              <w:pStyle w:val="Compact"/>
              <w:jc w:val="center"/>
            </w:pPr>
            <w:r>
              <w:rPr>
                <w:rFonts w:ascii="Verdana" w:hAnsi="Verdana" w:cs="Verdana" w:eastAsia="Verdana"/>
                <w:b/>
                <w:color w:val="FFFFFF"/>
                <w:sz w:val="19"/>
                <w:szCs w:val="19"/>
              </w:rPr>
              <w:t xml:space="preserve">%</w:t>
            </w:r>
          </w:p>
        </w:tc>
        <w:tc>
          <w:tcPr>
            <w:shd w:fill="1F497D"/>
          </w:tcPr>
          <w:p>
            <w:pPr>
              <w:pStyle w:val="Compact"/>
              <w:jc w:val="center"/>
            </w:pPr>
            <w:r>
              <w:rPr>
                <w:rFonts w:ascii="Verdana" w:hAnsi="Verdana" w:cs="Verdana" w:eastAsia="Verdana"/>
                <w:b/>
                <w:color w:val="FFFFFF"/>
                <w:sz w:val="19"/>
                <w:szCs w:val="19"/>
              </w:rPr>
              <w:t xml:space="preserve">Confianza media</w:t>
            </w:r>
          </w:p>
        </w:tc>
      </w:tr>
      <w:tr>
        <w:tc>
          <w:tcPr/>
          <w:p>
            <w:pPr>
              <w:pStyle w:val="Compact"/>
            </w:pPr>
            <w:r>
              <w:rPr>
                <w:rFonts w:ascii="Verdana" w:hAnsi="Verdana" w:cs="Verdana" w:eastAsia="Verdana"/>
                <w:color w:val="222222"/>
                <w:sz w:val="18"/>
                <w:szCs w:val="18"/>
              </w:rPr>
              <w:t xml:space="preserve">Positivo</w:t>
            </w:r>
          </w:p>
        </w:tc>
        <w:tc>
          <w:tcPr/>
          <w:p>
            <w:pPr>
              <w:pStyle w:val="Compact"/>
            </w:pPr>
            <w:r>
              <w:rPr>
                <w:rFonts w:ascii="Verdana" w:hAnsi="Verdana" w:cs="Verdana" w:eastAsia="Verdana"/>
                <w:color w:val="222222"/>
                <w:sz w:val="18"/>
                <w:szCs w:val="18"/>
              </w:rPr>
              <w:t xml:space="preserve">1.198</w:t>
            </w:r>
          </w:p>
        </w:tc>
        <w:tc>
          <w:tcPr/>
          <w:p>
            <w:pPr>
              <w:pStyle w:val="Compact"/>
            </w:pPr>
            <w:r>
              <w:rPr>
                <w:rFonts w:ascii="Verdana" w:hAnsi="Verdana" w:cs="Verdana" w:eastAsia="Verdana"/>
                <w:color w:val="222222"/>
                <w:sz w:val="18"/>
                <w:szCs w:val="18"/>
              </w:rPr>
              <w:t xml:space="preserve">39 %</w:t>
            </w:r>
          </w:p>
        </w:tc>
        <w:tc>
          <w:tcPr/>
          <w:p>
            <w:pPr>
              <w:pStyle w:val="Compact"/>
            </w:pPr>
            <w:r>
              <w:rPr>
                <w:rFonts w:ascii="Verdana" w:hAnsi="Verdana" w:cs="Verdana" w:eastAsia="Verdana"/>
                <w:color w:val="222222"/>
                <w:sz w:val="18"/>
                <w:szCs w:val="18"/>
              </w:rPr>
              <w:t xml:space="preserve">0,78</w:t>
            </w:r>
          </w:p>
        </w:tc>
      </w:tr>
      <w:tr>
        <w:tc>
          <w:tcPr>
            <w:shd w:fill="F9FAFB"/>
          </w:tcPr>
          <w:p>
            <w:pPr>
              <w:pStyle w:val="Compact"/>
            </w:pPr>
            <w:r>
              <w:rPr>
                <w:rFonts w:ascii="Verdana" w:hAnsi="Verdana" w:cs="Verdana" w:eastAsia="Verdana"/>
                <w:color w:val="222222"/>
                <w:sz w:val="18"/>
                <w:szCs w:val="18"/>
              </w:rPr>
              <w:t xml:space="preserve">Negativo</w:t>
            </w:r>
          </w:p>
        </w:tc>
        <w:tc>
          <w:tcPr>
            <w:shd w:fill="F9FAFB"/>
          </w:tcPr>
          <w:p>
            <w:pPr>
              <w:pStyle w:val="Compact"/>
            </w:pPr>
            <w:r>
              <w:rPr>
                <w:rFonts w:ascii="Verdana" w:hAnsi="Verdana" w:cs="Verdana" w:eastAsia="Verdana"/>
                <w:color w:val="222222"/>
                <w:sz w:val="18"/>
                <w:szCs w:val="18"/>
              </w:rPr>
              <w:t xml:space="preserve">996</w:t>
            </w:r>
          </w:p>
        </w:tc>
        <w:tc>
          <w:tcPr>
            <w:shd w:fill="F9FAFB"/>
          </w:tcPr>
          <w:p>
            <w:pPr>
              <w:pStyle w:val="Compact"/>
            </w:pPr>
            <w:r>
              <w:rPr>
                <w:rFonts w:ascii="Verdana" w:hAnsi="Verdana" w:cs="Verdana" w:eastAsia="Verdana"/>
                <w:color w:val="222222"/>
                <w:sz w:val="18"/>
                <w:szCs w:val="18"/>
              </w:rPr>
              <w:t xml:space="preserve">32 %</w:t>
            </w:r>
          </w:p>
        </w:tc>
        <w:tc>
          <w:tcPr>
            <w:shd w:fill="F9FAFB"/>
          </w:tcPr>
          <w:p>
            <w:pPr>
              <w:pStyle w:val="Compact"/>
            </w:pPr>
            <w:r>
              <w:rPr>
                <w:rFonts w:ascii="Verdana" w:hAnsi="Verdana" w:cs="Verdana" w:eastAsia="Verdana"/>
                <w:color w:val="222222"/>
                <w:sz w:val="18"/>
                <w:szCs w:val="18"/>
              </w:rPr>
              <w:t xml:space="preserve">0,77</w:t>
            </w:r>
          </w:p>
        </w:tc>
      </w:tr>
      <w:tr>
        <w:tc>
          <w:tcPr/>
          <w:p>
            <w:pPr>
              <w:pStyle w:val="Compact"/>
            </w:pPr>
            <w:r>
              <w:rPr>
                <w:rFonts w:ascii="Verdana" w:hAnsi="Verdana" w:cs="Verdana" w:eastAsia="Verdana"/>
                <w:color w:val="222222"/>
                <w:sz w:val="18"/>
                <w:szCs w:val="18"/>
              </w:rPr>
              <w:t xml:space="preserve">Neutro</w:t>
            </w:r>
          </w:p>
        </w:tc>
        <w:tc>
          <w:tcPr/>
          <w:p>
            <w:pPr>
              <w:pStyle w:val="Compact"/>
            </w:pPr>
            <w:r>
              <w:rPr>
                <w:rFonts w:ascii="Verdana" w:hAnsi="Verdana" w:cs="Verdana" w:eastAsia="Verdana"/>
                <w:color w:val="222222"/>
                <w:sz w:val="18"/>
                <w:szCs w:val="18"/>
              </w:rPr>
              <w:t xml:space="preserve">877</w:t>
            </w:r>
          </w:p>
        </w:tc>
        <w:tc>
          <w:tcPr/>
          <w:p>
            <w:pPr>
              <w:pStyle w:val="Compact"/>
            </w:pPr>
            <w:r>
              <w:rPr>
                <w:rFonts w:ascii="Verdana" w:hAnsi="Verdana" w:cs="Verdana" w:eastAsia="Verdana"/>
                <w:color w:val="222222"/>
                <w:sz w:val="18"/>
                <w:szCs w:val="18"/>
              </w:rPr>
              <w:t xml:space="preserve">28 %</w:t>
            </w:r>
          </w:p>
        </w:tc>
        <w:tc>
          <w:tcPr/>
          <w:p>
            <w:pPr>
              <w:pStyle w:val="Compact"/>
            </w:pPr>
            <w:r>
              <w:rPr>
                <w:rFonts w:ascii="Verdana" w:hAnsi="Verdana" w:cs="Verdana" w:eastAsia="Verdana"/>
                <w:color w:val="222222"/>
                <w:sz w:val="18"/>
                <w:szCs w:val="18"/>
              </w:rPr>
              <w:t xml:space="preserve">0,62</w:t>
            </w:r>
          </w:p>
        </w:tc>
      </w:tr>
    </w:tbl>
    <w:p>
      <w:pPr>
        <w:pStyle w:val="BodyText"/>
        <w:spacing w:line="276" w:lineRule="auto" w:after="100"/>
        <w:jc w:val="both"/>
      </w:pPr>
      <w:r>
        <w:rPr>
          <w:rFonts w:ascii="Verdana" w:hAnsi="Verdana" w:cs="Verdana" w:eastAsia="Verdana"/>
          <w:color w:val="222222"/>
          <w:sz w:val="20"/>
          <w:szCs w:val="20"/>
        </w:rPr>
        <w:t xml:space="preserve">Un 32 % de sentimiento negativo en comentarios espontáneos sobre Tenerife es una señal de alerta relevante para TUI. Los modelos de tópicos posteriores identifican</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sobre qué</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se quejan (§4.3). Los detalles de implementación y el histograma de scores de confianza se incluyen en el</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Anexo G</w:t>
      </w:r>
      <w:r>
        <w:rPr>
          <w:rFonts w:ascii="Verdana" w:hAnsi="Verdana" w:cs="Verdana" w:eastAsia="Verdana"/>
          <w:color w:val="222222"/>
          <w:sz w:val="20"/>
          <w:szCs w:val="20"/>
        </w:rPr>
        <w:t xml:space="preserve">.</w:t>
      </w:r>
    </w:p>
    <w:p>
      <w:pPr>
        <w:pStyle w:val="BodyText"/>
        <w:spacing w:line="276" w:lineRule="auto" w:after="100"/>
        <w:jc w:val="both"/>
      </w:pPr>
      <w:r>
        <w:rPr>
          <w:b/>
          <w:bCs/>
          <w:rFonts w:ascii="Verdana" w:hAnsi="Verdana" w:cs="Verdana" w:eastAsia="Verdana"/>
          <w:color w:val="222222"/>
          <w:sz w:val="20"/>
          <w:szCs w:val="20"/>
        </w:rPr>
        <w:t xml:space="preserve">Por qué supera a un AutoML estándar: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un AutoML genérico requeriría un conjunto de entrenamiento etiquetado manualmente en español e inglés, semanas de ajuste y no garantizaría mejor precisión en texto social informal. El uso de un modelo transformer preentrenado y validado en benchmarks públicos (TweetEval) ofrece resultados de calidad inmediata sobre un corpus real, sin esfuerzo de etiquetado.</w:t>
      </w:r>
    </w:p>
    <w:p>
      <w:pPr>
        <w:pStyle w:val="BodyText"/>
        <w:spacing w:line="276" w:lineRule="auto" w:after="100"/>
        <w:jc w:val="both"/>
      </w:pPr>
      <w:r>
        <w:rPr>
          <w:b/>
          <w:bCs/>
          <w:rFonts w:ascii="Verdana" w:hAnsi="Verdana" w:cs="Verdana" w:eastAsia="Verdana"/>
          <w:color w:val="222222"/>
          <w:sz w:val="20"/>
          <w:szCs w:val="20"/>
        </w:rPr>
        <w:t xml:space="preserve">Sentimiento geolocalizado (Booking + TripAdvisor → Hexágono H3):</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Además del análisis global de YouTube y LosViajeros, las reseñas de Booking.com y TripAdvisor tienen una característica diferencial: cada reseña está asociada a un establecimiento con coordenadas geográficas. Esto permite trazar el sentimiento directamente sobre el mapa. El proceso es: reseña → establecimiento (con geometría PostGIS) →</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ST_Contains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hexágono H3. El resultado es la columna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sentimiento_medio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que representa la valoración media de los turistas en ese hexágono concreto de la isla. La queja principal por zona (</w:t>
      </w:r>
      <w:r>
        <w:rPr>
          <w:rStyle w:val="VerbatimChar"/>
          <w:rFonts w:ascii="Verdana" w:hAnsi="Verdana" w:cs="Verdana" w:eastAsia="Verdana"/>
          <w:color w:val="222222"/>
          <w:sz w:val="20"/>
          <w:szCs w:val="20"/>
        </w:rPr>
        <w:t xml:space="preserve">queja_principal</w:t>
      </w:r>
      <w:r>
        <w:rPr>
          <w:rFonts w:ascii="Verdana" w:hAnsi="Verdana" w:cs="Verdana" w:eastAsia="Verdana"/>
          <w:color w:val="222222"/>
          <w:sz w:val="20"/>
          <w:szCs w:val="20"/>
        </w:rPr>
        <w:t xml:space="preserve">) se obtiene extrayendo el aspecto más frecuente (precio, limpieza, ruido, transporte…) de las reseñas negativas de ese hexágono. Un hexágono con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sentimiento_medio &lt; 3/5</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en la zona sur y queja dominante de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‘ruido’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es una señal accionable directa para TUI: el problema no es la calidad del hotel, sino la saturación de la zona.</w:t>
      </w:r>
    </w:p>
    <w:bookmarkEnd w:id="28"/>
    <w:bookmarkStart w:id="29" w:name="X36316e4d2c474b8fbf04cc669ee5bd13f9ef0ac"/>
    <w:p>
      <w:pPr>
        <w:pStyle w:val="Heading2"/>
        <w:keepNext/>
        <w:spacing w:line="276" w:lineRule="auto" w:before="200" w:after="60"/>
      </w:pPr>
      <w:r>
        <w:rPr>
          <w:rFonts w:ascii="Verdana" w:hAnsi="Verdana" w:cs="Verdana" w:eastAsia="Verdana"/>
          <w:b/>
          <w:color w:val="2E6E9E"/>
          <w:sz w:val="22"/>
          <w:szCs w:val="22"/>
        </w:rPr>
        <w:t xml:space="preserve">4.3. Detección de tópicos y extracción de aspectos (BERTopic + pyabsa)</w:t>
      </w:r>
    </w:p>
    <w:p>
      <w:pPr>
        <w:pStyle w:val="FirstParagraph"/>
        <w:spacing w:line="276" w:lineRule="auto" w:after="100"/>
        <w:jc w:val="both"/>
      </w:pPr>
      <w:r>
        <w:rPr>
          <w:rFonts w:ascii="Verdana" w:hAnsi="Verdana" w:cs="Verdana" w:eastAsia="Verdana"/>
          <w:color w:val="222222"/>
          <w:sz w:val="20"/>
          <w:szCs w:val="20"/>
        </w:rPr>
        <w:t xml:space="preserve">El análisis de sentimiento dice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cuántos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comentarios son negativos, pero no</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sobre qué</w:t>
      </w:r>
      <w:r>
        <w:rPr>
          <w:rFonts w:ascii="Verdana" w:hAnsi="Verdana" w:cs="Verdana" w:eastAsia="Verdana"/>
          <w:color w:val="222222"/>
          <w:sz w:val="20"/>
          <w:szCs w:val="20"/>
        </w:rPr>
        <w:t xml:space="preserve">. Para responder esa pregunta se aplican dos técnicas complementarias:</w:t>
      </w:r>
    </w:p>
    <w:p>
      <w:pPr>
        <w:pStyle w:val="BodyText"/>
        <w:spacing w:line="276" w:lineRule="auto" w:after="100"/>
        <w:jc w:val="both"/>
      </w:pPr>
      <w:r>
        <w:rPr>
          <w:b/>
          <w:bCs/>
          <w:rFonts w:ascii="Verdana" w:hAnsi="Verdana" w:cs="Verdana" w:eastAsia="Verdana"/>
          <w:color w:val="222222"/>
          <w:sz w:val="20"/>
          <w:szCs w:val="20"/>
        </w:rPr>
        <w:t xml:space="preserve">BERTopic</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agrupa automáticamente los comentarios en clústeres temáticos usando embeddings semánticos (</w:t>
      </w:r>
      <w:r>
        <w:rPr>
          <w:rStyle w:val="VerbatimChar"/>
          <w:rFonts w:ascii="Verdana" w:hAnsi="Verdana" w:cs="Verdana" w:eastAsia="Verdana"/>
          <w:color w:val="222222"/>
          <w:sz w:val="20"/>
          <w:szCs w:val="20"/>
        </w:rPr>
        <w:t xml:space="preserve">paraphrase-multilingual-mpnet-base-v2</w:t>
      </w:r>
      <w:r>
        <w:rPr>
          <w:rFonts w:ascii="Verdana" w:hAnsi="Verdana" w:cs="Verdana" w:eastAsia="Verdana"/>
          <w:color w:val="222222"/>
          <w:sz w:val="20"/>
          <w:szCs w:val="20"/>
        </w:rPr>
        <w:t xml:space="preserve">). A diferencia del análisis de tópicos tradicional (LDA), BERTopic no requiere definir el número de temas de antemano ni etiquetarlos manualmente: el algoritmo los detecta y les asigna una etiqueta descriptiva. Se han entrenado dos modelos:</w:t>
      </w:r>
    </w:p>
    <w:p>
      <w:pPr>
        <w:pStyle w:val="Compact"/>
        <w:numPr>
          <w:ilvl w:val="0"/>
          <w:numId w:val="1006"/>
        </w:numPr>
        <w:spacing w:line="276" w:lineRule="auto" w:after="100"/>
        <w:jc w:val="both"/>
      </w:pPr>
      <w:r>
        <w:rPr>
          <w:b/>
          <w:bCs/>
          <w:rFonts w:ascii="Verdana" w:hAnsi="Verdana" w:cs="Verdana" w:eastAsia="Verdana"/>
          <w:color w:val="222222"/>
          <w:sz w:val="20"/>
          <w:szCs w:val="20"/>
        </w:rPr>
        <w:t xml:space="preserve">Modelo A (ámbito general):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corpus completo YouTube + LosViajeros sin filtro de ubicación, para obtener la percepción global de Tenerife como destino.</w:t>
      </w:r>
    </w:p>
    <w:p>
      <w:pPr>
        <w:pStyle w:val="Compact"/>
        <w:numPr>
          <w:ilvl w:val="0"/>
          <w:numId w:val="1006"/>
        </w:numPr>
        <w:spacing w:line="276" w:lineRule="auto" w:after="100"/>
        <w:jc w:val="both"/>
      </w:pPr>
      <w:r>
        <w:rPr>
          <w:b/>
          <w:bCs/>
          <w:rFonts w:ascii="Verdana" w:hAnsi="Verdana" w:cs="Verdana" w:eastAsia="Verdana"/>
          <w:color w:val="222222"/>
          <w:sz w:val="20"/>
          <w:szCs w:val="20"/>
        </w:rPr>
        <w:t xml:space="preserve">Modelo B (ámbito local):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subconjunto de comentarios con mención explícita a municipios o lugares concretos, para georreferenciación en el mapa.</w:t>
      </w:r>
    </w:p>
    <w:p>
      <w:pPr>
        <w:pStyle w:val="FirstParagraph"/>
        <w:spacing w:line="276" w:lineRule="auto" w:after="100"/>
        <w:jc w:val="both"/>
      </w:pPr>
      <w:r>
        <w:rPr>
          <w:b/>
          <w:bCs/>
          <w:rFonts w:ascii="Verdana" w:hAnsi="Verdana" w:cs="Verdana" w:eastAsia="Verdana"/>
          <w:color w:val="222222"/>
          <w:sz w:val="20"/>
          <w:szCs w:val="20"/>
        </w:rPr>
        <w:t xml:space="preserve">pyabsa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va un nivel más fino: dentro de cada comentario, extrae qué</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aspecto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específico se valora (playa, precio, transporte, comida, masificación…) y con qué polaridad. Esto permite al equipo de TUI identificar, por ejemplo, que el transporte al interior recibe valoraciones negativas recurrentes, o que los precios en la zona sur generan más fricción que en el norte.</w:t>
      </w:r>
    </w:p>
    <w:p>
      <w:pPr>
        <w:pStyle w:val="BodyText"/>
        <w:spacing w:line="276" w:lineRule="auto" w:after="100"/>
        <w:jc w:val="both"/>
      </w:pPr>
      <w:r>
        <w:rPr>
          <w:rFonts w:ascii="Verdana" w:hAnsi="Verdana" w:cs="Verdana" w:eastAsia="Verdana"/>
          <w:color w:val="222222"/>
          <w:sz w:val="20"/>
          <w:szCs w:val="20"/>
        </w:rPr>
        <w:t xml:space="preserve">Los resultados de ambos modelos se almacenan 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gold.nlp_topics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 se integran en el dashboard como filtros interactivos. Ver</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Anexo G</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para etiquetas de tópicos y ejemplos representativos.</w:t>
      </w:r>
    </w:p>
    <w:bookmarkEnd w:id="29"/>
    <w:bookmarkStart w:id="30" w:name="X1ce391fa9cb28b0489ffdc7126dc1ebe551ee8b"/>
    <w:p>
      <w:pPr>
        <w:pStyle w:val="Heading2"/>
        <w:keepNext/>
        <w:spacing w:line="276" w:lineRule="auto" w:before="200" w:after="60"/>
      </w:pPr>
      <w:r>
        <w:rPr>
          <w:rFonts w:ascii="Verdana" w:hAnsi="Verdana" w:cs="Verdana" w:eastAsia="Verdana"/>
          <w:b/>
          <w:color w:val="2E6E9E"/>
          <w:sz w:val="22"/>
          <w:szCs w:val="22"/>
        </w:rPr>
        <w:t xml:space="preserve">4.4. Monitorización ambiental por satélite (NDVI, NDBI, VIIRS)</w:t>
      </w:r>
    </w:p>
    <w:p>
      <w:pPr>
        <w:pStyle w:val="FirstParagraph"/>
        <w:spacing w:line="276" w:lineRule="auto" w:after="100"/>
        <w:jc w:val="both"/>
      </w:pPr>
      <w:r>
        <w:rPr>
          <w:rFonts w:ascii="Verdana" w:hAnsi="Verdana" w:cs="Verdana" w:eastAsia="Verdana"/>
          <w:color w:val="222222"/>
          <w:sz w:val="20"/>
          <w:szCs w:val="20"/>
        </w:rPr>
        <w:t xml:space="preserve">Las imágenes satelitales de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Copernicus Sentinel-2</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(resolución 20 m, 30 composites trimestrales 2019–2026) permiten calcular dos índices para cada hexágono de la isla:</w:t>
      </w:r>
    </w:p>
    <w:p>
      <w:pPr>
        <w:pStyle w:val="Compact"/>
        <w:numPr>
          <w:ilvl w:val="0"/>
          <w:numId w:val="1007"/>
        </w:numPr>
        <w:spacing w:line="276" w:lineRule="auto" w:after="100"/>
        <w:jc w:val="both"/>
      </w:pPr>
      <w:r>
        <w:rPr>
          <w:b/>
          <w:bCs/>
          <w:rFonts w:ascii="Verdana" w:hAnsi="Verdana" w:cs="Verdana" w:eastAsia="Verdana"/>
          <w:color w:val="222222"/>
          <w:sz w:val="20"/>
          <w:szCs w:val="20"/>
        </w:rPr>
        <w:t xml:space="preserve">NDVI</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i/>
          <w:iCs/>
          <w:rFonts w:ascii="Verdana" w:hAnsi="Verdana" w:cs="Verdana" w:eastAsia="Verdana"/>
          <w:color w:val="222222"/>
          <w:sz w:val="20"/>
          <w:szCs w:val="20"/>
        </w:rPr>
        <w:t xml:space="preserve">Normalized Difference Vegetation Index</w:t>
      </w:r>
      <w:r>
        <w:rPr>
          <w:rFonts w:ascii="Verdana" w:hAnsi="Verdana" w:cs="Verdana" w:eastAsia="Verdana"/>
          <w:color w:val="222222"/>
          <w:sz w:val="20"/>
          <w:szCs w:val="20"/>
        </w:rPr>
        <w:t xml:space="preserve">): mide la densidad y salud de la vegetación. Un NDVI alto indica zonas verdes bien conservadas —relevante para ecoturismo y sostenibilidad—; un NDVI bajo sostenido puede señalar degradación ambiental asociada a la presión turística.</w:t>
      </w:r>
    </w:p>
    <w:p>
      <w:pPr>
        <w:pStyle w:val="Compact"/>
        <w:numPr>
          <w:ilvl w:val="0"/>
          <w:numId w:val="1007"/>
        </w:numPr>
        <w:spacing w:line="276" w:lineRule="auto" w:after="100"/>
        <w:jc w:val="both"/>
      </w:pPr>
      <w:r>
        <w:rPr>
          <w:b/>
          <w:bCs/>
          <w:rFonts w:ascii="Verdana" w:hAnsi="Verdana" w:cs="Verdana" w:eastAsia="Verdana"/>
          <w:color w:val="222222"/>
          <w:sz w:val="20"/>
          <w:szCs w:val="20"/>
        </w:rPr>
        <w:t xml:space="preserve">NDBI</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i/>
          <w:iCs/>
          <w:rFonts w:ascii="Verdana" w:hAnsi="Verdana" w:cs="Verdana" w:eastAsia="Verdana"/>
          <w:color w:val="222222"/>
          <w:sz w:val="20"/>
          <w:szCs w:val="20"/>
        </w:rPr>
        <w:t xml:space="preserve">Normalized Difference Built-up Index</w:t>
      </w:r>
      <w:r>
        <w:rPr>
          <w:rFonts w:ascii="Verdana" w:hAnsi="Verdana" w:cs="Verdana" w:eastAsia="Verdana"/>
          <w:color w:val="222222"/>
          <w:sz w:val="20"/>
          <w:szCs w:val="20"/>
        </w:rPr>
        <w:t xml:space="preserve">): mide la proporción de suelo artificializado. Correlaciona directamente con la densidad de oferta turística y es un proxy de la huella urbana.</w:t>
      </w:r>
    </w:p>
    <w:p>
      <w:pPr>
        <w:pStyle w:val="FirstParagraph"/>
        <w:spacing w:line="276" w:lineRule="auto" w:after="100"/>
        <w:jc w:val="both"/>
      </w:pPr>
      <w:r>
        <w:rPr>
          <w:rFonts w:ascii="Verdana" w:hAnsi="Verdana" w:cs="Verdana" w:eastAsia="Verdana"/>
          <w:color w:val="222222"/>
          <w:sz w:val="20"/>
          <w:szCs w:val="20"/>
        </w:rPr>
        <w:t xml:space="preserve">Las imágenes</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VIIRS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(resolución ~500 m, 88 meses 2019–2026) registran la luminosidad nocturna, que actúa como proxy de la actividad económica real en cada zona: un hexágono del interior con VIIRS bajo pero NDVI alto y buenas isócronas de accesibilidad es un candidato claro para expansión de producto turístico.</w:t>
      </w:r>
    </w:p>
    <w:p>
      <w:pPr>
        <w:pStyle w:val="BodyText"/>
        <w:spacing w:line="276" w:lineRule="auto" w:after="100"/>
        <w:jc w:val="both"/>
      </w:pPr>
      <w:r>
        <w:rPr>
          <w:rFonts w:ascii="Verdana" w:hAnsi="Verdana" w:cs="Verdana" w:eastAsia="Verdana"/>
          <w:color w:val="222222"/>
          <w:sz w:val="20"/>
          <w:szCs w:val="20"/>
        </w:rPr>
        <w:t xml:space="preserve">Estas tres variables se combinan 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como dimensión ambiental, complementando los datos estadísticos oficiales con observación directa del territorio desde el espacio.</w:t>
      </w:r>
    </w:p>
    <w:bookmarkEnd w:id="30"/>
    <w:bookmarkStart w:id="31" w:name="Xccd47af4f6d8a32ac32102afb37b6ea0bb20817"/>
    <w:p>
      <w:pPr>
        <w:pStyle w:val="Heading2"/>
        <w:keepNext/>
        <w:spacing w:line="276" w:lineRule="auto" w:before="200" w:after="60"/>
      </w:pPr>
      <w:r>
        <w:rPr>
          <w:rFonts w:ascii="Verdana" w:hAnsi="Verdana" w:cs="Verdana" w:eastAsia="Verdana"/>
          <w:b/>
          <w:color w:val="2E6E9E"/>
          <w:sz w:val="22"/>
          <w:szCs w:val="22"/>
        </w:rPr>
        <w:t xml:space="preserve">4.5. Clasificación de zonas turísticas (HDBSCAN)</w:t>
      </w:r>
    </w:p>
    <w:p>
      <w:pPr>
        <w:pStyle w:val="FirstParagraph"/>
        <w:spacing w:line="276" w:lineRule="auto" w:after="100"/>
        <w:jc w:val="both"/>
      </w:pPr>
      <w:r>
        <w:rPr>
          <w:b/>
          <w:bCs/>
          <w:rFonts w:ascii="Verdana" w:hAnsi="Verdana" w:cs="Verdana" w:eastAsia="Verdana"/>
          <w:color w:val="222222"/>
          <w:sz w:val="20"/>
          <w:szCs w:val="20"/>
        </w:rPr>
        <w:t xml:space="preserve">El problema de negocio: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¿cómo traducir 60+ indicadores por hexágono en una etiqueta comprensible que diga a TUI si una zona es oportunidad, riesgo o equilibrio?</w:t>
      </w:r>
    </w:p>
    <w:p>
      <w:pPr>
        <w:pStyle w:val="BodyText"/>
        <w:spacing w:line="276" w:lineRule="auto" w:after="100"/>
        <w:jc w:val="both"/>
      </w:pPr>
      <w:r>
        <w:rPr>
          <w:b/>
          <w:bCs/>
          <w:rFonts w:ascii="Verdana" w:hAnsi="Verdana" w:cs="Verdana" w:eastAsia="Verdana"/>
          <w:color w:val="222222"/>
          <w:sz w:val="20"/>
          <w:szCs w:val="20"/>
        </w:rPr>
        <w:t xml:space="preserve">La solución:</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algoritmo</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HDBSCAN</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i/>
          <w:iCs/>
          <w:rFonts w:ascii="Verdana" w:hAnsi="Verdana" w:cs="Verdana" w:eastAsia="Verdana"/>
          <w:color w:val="222222"/>
          <w:sz w:val="20"/>
          <w:szCs w:val="20"/>
        </w:rPr>
        <w:t xml:space="preserve">Hierarchical Density-Based Spatial Clustering of Applications with Noise</w:t>
      </w:r>
      <w:r>
        <w:rPr>
          <w:rFonts w:ascii="Verdana" w:hAnsi="Verdana" w:cs="Verdana" w:eastAsia="Verdana"/>
          <w:color w:val="222222"/>
          <w:sz w:val="20"/>
          <w:szCs w:val="20"/>
        </w:rPr>
        <w:t xml:space="preserve">) aplicado sobre seis variables clave una vez que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 el PTNA están calculados (§4.7):</w:t>
      </w:r>
    </w:p>
    <w:tbl>
      <w:tblPr>
        <w:tblStyle w:val="Table"/>
        <w:tblW w:type="auto" w:w="0"/>
        <w:jc w:val="center"/>
        <w:tblLook w:firstRow="1" w:lastRow="0" w:firstColumn="0" w:lastColumn="0" w:noHBand="0" w:noVBand="0" w:val="0020"/>
      </w:tblPr>
      <w:tblGrid>
        <w:gridCol w:w="3960"/>
        <w:gridCol w:w="3960"/>
      </w:tblGrid>
      <w:tr>
        <w:trPr>
          <w:tblHeader w:val="on"/>
        </w:trPr>
        <w:tc>
          <w:tcPr>
            <w:shd w:fill="1F497D"/>
          </w:tcPr>
          <w:p>
            <w:pPr>
              <w:pStyle w:val="Compact"/>
              <w:jc w:val="center"/>
            </w:pPr>
            <w:r>
              <w:rPr>
                <w:rFonts w:ascii="Verdana" w:hAnsi="Verdana" w:cs="Verdana" w:eastAsia="Verdana"/>
                <w:b/>
                <w:color w:val="FFFFFF"/>
                <w:sz w:val="19"/>
                <w:szCs w:val="19"/>
              </w:rPr>
              <w:t xml:space="preserve">Variable de entrada</w:t>
            </w:r>
          </w:p>
        </w:tc>
        <w:tc>
          <w:tcPr>
            <w:shd w:fill="1F497D"/>
          </w:tcPr>
          <w:p>
            <w:pPr>
              <w:pStyle w:val="Compact"/>
              <w:jc w:val="center"/>
            </w:pPr>
            <w:r>
              <w:rPr>
                <w:rFonts w:ascii="Verdana" w:hAnsi="Verdana" w:cs="Verdana" w:eastAsia="Verdana"/>
                <w:b/>
                <w:color w:val="FFFFFF"/>
                <w:sz w:val="19"/>
                <w:szCs w:val="19"/>
              </w:rPr>
              <w:t xml:space="preserve">Qué aporta al clustering</w:t>
            </w:r>
          </w:p>
        </w:tc>
      </w:tr>
      <w:tr>
        <w:tc>
          <w:tcPr/>
          <w:p>
            <w:pPr>
              <w:pStyle w:val="Compact"/>
            </w:pPr>
            <w:r>
              <w:rPr>
                <w:rStyle w:val="VerbatimChar"/>
                <w:rFonts w:ascii="Verdana" w:hAnsi="Verdana" w:cs="Verdana" w:eastAsia="Verdana"/>
                <w:color w:val="222222"/>
                <w:sz w:val="18"/>
                <w:szCs w:val="18"/>
              </w:rPr>
              <w:t xml:space="preserve">densidad_plazas_km2</w:t>
            </w:r>
          </w:p>
        </w:tc>
        <w:tc>
          <w:tcPr/>
          <w:p>
            <w:pPr>
              <w:pStyle w:val="Compact"/>
            </w:pPr>
            <w:r>
              <w:rPr>
                <w:rFonts w:ascii="Verdana" w:hAnsi="Verdana" w:cs="Verdana" w:eastAsia="Verdana"/>
                <w:color w:val="222222"/>
                <w:sz w:val="18"/>
                <w:szCs w:val="18"/>
              </w:rPr>
              <w:t xml:space="preserve">Nivel actual de desarrollo turístico</w:t>
            </w:r>
          </w:p>
        </w:tc>
      </w:tr>
      <w:tr>
        <w:tc>
          <w:tcPr>
            <w:shd w:fill="F9FAFB"/>
          </w:tcPr>
          <w:p>
            <w:pPr>
              <w:pStyle w:val="Compact"/>
            </w:pPr>
            <w:r>
              <w:rPr>
                <w:rStyle w:val="VerbatimChar"/>
                <w:rFonts w:ascii="Verdana" w:hAnsi="Verdana" w:cs="Verdana" w:eastAsia="Verdana"/>
                <w:color w:val="222222"/>
                <w:sz w:val="18"/>
                <w:szCs w:val="18"/>
              </w:rPr>
              <w:t xml:space="preserve">viirs_medio</w:t>
            </w:r>
          </w:p>
        </w:tc>
        <w:tc>
          <w:tcPr>
            <w:shd w:fill="F9FAFB"/>
          </w:tcPr>
          <w:p>
            <w:pPr>
              <w:pStyle w:val="Compact"/>
            </w:pPr>
            <w:r>
              <w:rPr>
                <w:rFonts w:ascii="Verdana" w:hAnsi="Verdana" w:cs="Verdana" w:eastAsia="Verdana"/>
                <w:color w:val="222222"/>
                <w:sz w:val="18"/>
                <w:szCs w:val="18"/>
              </w:rPr>
              <w:t xml:space="preserve">Actividad económica real (luces nocturnas)</w:t>
            </w:r>
          </w:p>
        </w:tc>
      </w:tr>
      <w:tr>
        <w:tc>
          <w:tcPr/>
          <w:p>
            <w:pPr>
              <w:pStyle w:val="Compact"/>
            </w:pPr>
            <w:r>
              <w:rPr>
                <w:rStyle w:val="VerbatimChar"/>
                <w:rFonts w:ascii="Verdana" w:hAnsi="Verdana" w:cs="Verdana" w:eastAsia="Verdana"/>
                <w:color w:val="222222"/>
                <w:sz w:val="18"/>
                <w:szCs w:val="18"/>
              </w:rPr>
              <w:t xml:space="preserve">sentimiento_medio</w:t>
            </w:r>
          </w:p>
        </w:tc>
        <w:tc>
          <w:tcPr/>
          <w:p>
            <w:pPr>
              <w:pStyle w:val="Compact"/>
            </w:pPr>
            <w:r>
              <w:rPr>
                <w:rFonts w:ascii="Verdana" w:hAnsi="Verdana" w:cs="Verdana" w:eastAsia="Verdana"/>
                <w:color w:val="222222"/>
                <w:sz w:val="18"/>
                <w:szCs w:val="18"/>
              </w:rPr>
              <w:t xml:space="preserve">Reputación percibida por el turista</w:t>
            </w:r>
          </w:p>
        </w:tc>
      </w:tr>
      <w:tr>
        <w:tc>
          <w:tcPr>
            <w:shd w:fill="F9FAFB"/>
          </w:tcPr>
          <w:p>
            <w:pPr>
              <w:pStyle w:val="Compact"/>
            </w:pPr>
            <w:r>
              <w:rPr>
                <w:rStyle w:val="VerbatimChar"/>
                <w:rFonts w:ascii="Verdana" w:hAnsi="Verdana" w:cs="Verdana" w:eastAsia="Verdana"/>
                <w:color w:val="222222"/>
                <w:sz w:val="18"/>
                <w:szCs w:val="18"/>
              </w:rPr>
              <w:t xml:space="preserve">ndvi_medio</w:t>
            </w:r>
          </w:p>
        </w:tc>
        <w:tc>
          <w:tcPr>
            <w:shd w:fill="F9FAFB"/>
          </w:tcPr>
          <w:p>
            <w:pPr>
              <w:pStyle w:val="Compact"/>
            </w:pPr>
            <w:r>
              <w:rPr>
                <w:rFonts w:ascii="Verdana" w:hAnsi="Verdana" w:cs="Verdana" w:eastAsia="Verdana"/>
                <w:color w:val="222222"/>
                <w:sz w:val="18"/>
                <w:szCs w:val="18"/>
              </w:rPr>
              <w:t xml:space="preserve">Atractivo natural / verde disponible</w:t>
            </w:r>
          </w:p>
        </w:tc>
      </w:tr>
      <w:tr>
        <w:tc>
          <w:tcPr/>
          <w:p>
            <w:pPr>
              <w:pStyle w:val="Compact"/>
            </w:pPr>
            <w:r>
              <w:rPr>
                <w:rStyle w:val="VerbatimChar"/>
                <w:rFonts w:ascii="Verdana" w:hAnsi="Verdana" w:cs="Verdana" w:eastAsia="Verdana"/>
                <w:color w:val="222222"/>
                <w:sz w:val="18"/>
                <w:szCs w:val="18"/>
              </w:rPr>
              <w:t xml:space="preserve">ndbi_medio</w:t>
            </w:r>
          </w:p>
        </w:tc>
        <w:tc>
          <w:tcPr/>
          <w:p>
            <w:pPr>
              <w:pStyle w:val="Compact"/>
            </w:pPr>
            <w:r>
              <w:rPr>
                <w:rFonts w:ascii="Verdana" w:hAnsi="Verdana" w:cs="Verdana" w:eastAsia="Verdana"/>
                <w:color w:val="222222"/>
                <w:sz w:val="18"/>
                <w:szCs w:val="18"/>
              </w:rPr>
              <w:t xml:space="preserve">Grado de artificialización urbana</w:t>
            </w:r>
          </w:p>
        </w:tc>
      </w:tr>
      <w:tr>
        <w:tc>
          <w:tcPr>
            <w:shd w:fill="F9FAFB"/>
          </w:tcPr>
          <w:p>
            <w:pPr>
              <w:pStyle w:val="Compact"/>
            </w:pPr>
            <w:r>
              <w:rPr>
                <w:rStyle w:val="VerbatimChar"/>
                <w:rFonts w:ascii="Verdana" w:hAnsi="Verdana" w:cs="Verdana" w:eastAsia="Verdana"/>
                <w:color w:val="222222"/>
                <w:sz w:val="18"/>
                <w:szCs w:val="18"/>
              </w:rPr>
              <w:t xml:space="preserve">ptna_score</w:t>
            </w:r>
          </w:p>
        </w:tc>
        <w:tc>
          <w:tcPr>
            <w:shd w:fill="F9FAFB"/>
          </w:tcPr>
          <w:p>
            <w:pPr>
              <w:pStyle w:val="Compact"/>
            </w:pPr>
            <w:r>
              <w:rPr>
                <w:rFonts w:ascii="Verdana" w:hAnsi="Verdana" w:cs="Verdana" w:eastAsia="Verdana"/>
                <w:color w:val="222222"/>
                <w:sz w:val="18"/>
                <w:szCs w:val="18"/>
              </w:rPr>
              <w:t xml:space="preserve">Brecha entre potencial y realidad (MGWR)</w:t>
            </w:r>
          </w:p>
        </w:tc>
      </w:tr>
    </w:tbl>
    <w:p>
      <w:pPr>
        <w:pStyle w:val="BodyText"/>
        <w:spacing w:line="276" w:lineRule="auto" w:after="100"/>
        <w:jc w:val="both"/>
      </w:pPr>
      <w:r>
        <w:rPr>
          <w:rFonts w:ascii="Verdana" w:hAnsi="Verdana" w:cs="Verdana" w:eastAsia="Verdana"/>
          <w:color w:val="222222"/>
          <w:sz w:val="20"/>
          <w:szCs w:val="20"/>
        </w:rPr>
        <w:t xml:space="preserve">La inclusión del</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ptna_score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como variable de entrada es el elemento diferenciador: el clustering no agrupa solo por lo que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hay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(oferta, urbanización), sino también por lo que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falta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(potencial no materializado). Esto permite que HDBSCAN detecte zonas que estadísticamente se parecen pero tienen trayectorias de desarrollo totalmente distintas.</w:t>
      </w:r>
    </w:p>
    <w:p>
      <w:pPr>
        <w:pStyle w:val="BodyText"/>
        <w:spacing w:line="276" w:lineRule="auto" w:after="100"/>
        <w:jc w:val="both"/>
      </w:pPr>
      <w:r>
        <w:rPr>
          <w:b/>
          <w:bCs/>
          <w:rFonts w:ascii="Verdana" w:hAnsi="Verdana" w:cs="Verdana" w:eastAsia="Verdana"/>
          <w:color w:val="222222"/>
          <w:sz w:val="20"/>
          <w:szCs w:val="20"/>
        </w:rPr>
        <w:t xml:space="preserve">Por qué HDBSCAN frente a K-Means: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No requiere definir el número de clusters a priori: los detecta de forma adaptativa según la densidad.</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Etiqueta como</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outliers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los hexágonos atípicos (p. ej., el propio Teide) en lugar de forzarlos en un cluster que distorsione al resto.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Funciona con distribuciones de densidad variable, habitual en datos territoriales donde la costa y el interior tienen perfiles radicalmente distintos.</w:t>
      </w:r>
    </w:p>
    <w:p>
      <w:pPr>
        <w:pStyle w:val="BodyText"/>
        <w:spacing w:line="276" w:lineRule="auto" w:after="100"/>
        <w:jc w:val="both"/>
      </w:pPr>
      <w:r>
        <w:rPr>
          <w:b/>
          <w:bCs/>
          <w:rFonts w:ascii="Verdana" w:hAnsi="Verdana" w:cs="Verdana" w:eastAsia="Verdana"/>
          <w:color w:val="222222"/>
          <w:sz w:val="20"/>
          <w:szCs w:val="20"/>
        </w:rPr>
        <w:t xml:space="preserve">Los cuatro arquetipos de zona resultantes: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shd w:fill="1F497D"/>
          </w:tcPr>
          <w:p>
            <w:pPr>
              <w:pStyle w:val="Compact"/>
              <w:jc w:val="center"/>
            </w:pPr>
            <w:r>
              <w:rPr>
                <w:rFonts w:ascii="Verdana" w:hAnsi="Verdana" w:cs="Verdana" w:eastAsia="Verdana"/>
                <w:b/>
                <w:color w:val="FFFFFF"/>
                <w:sz w:val="19"/>
                <w:szCs w:val="19"/>
              </w:rPr>
              <w:t xml:space="preserve">Etiqueta</w:t>
            </w:r>
          </w:p>
        </w:tc>
        <w:tc>
          <w:tcPr>
            <w:shd w:fill="1F497D"/>
          </w:tcPr>
          <w:p>
            <w:pPr>
              <w:pStyle w:val="Compact"/>
              <w:jc w:val="center"/>
            </w:pPr>
            <w:r>
              <w:rPr>
                <w:rFonts w:ascii="Verdana" w:hAnsi="Verdana" w:cs="Verdana" w:eastAsia="Verdana"/>
                <w:b/>
                <w:color w:val="FFFFFF"/>
                <w:sz w:val="19"/>
                <w:szCs w:val="19"/>
              </w:rPr>
              <w:t xml:space="preserve">Perfil típico</w:t>
            </w:r>
          </w:p>
        </w:tc>
        <w:tc>
          <w:tcPr>
            <w:shd w:fill="1F497D"/>
          </w:tcPr>
          <w:p>
            <w:pPr>
              <w:pStyle w:val="Compact"/>
              <w:jc w:val="center"/>
            </w:pPr>
            <w:r>
              <w:rPr>
                <w:rFonts w:ascii="Verdana" w:hAnsi="Verdana" w:cs="Verdana" w:eastAsia="Verdana"/>
                <w:b/>
                <w:color w:val="FFFFFF"/>
                <w:sz w:val="19"/>
                <w:szCs w:val="19"/>
              </w:rPr>
              <w:t xml:space="preserve">Municipios representativos</w:t>
            </w:r>
          </w:p>
        </w:tc>
        <w:tc>
          <w:tcPr>
            <w:shd w:fill="1F497D"/>
          </w:tcPr>
          <w:p>
            <w:pPr>
              <w:pStyle w:val="Compact"/>
              <w:jc w:val="center"/>
            </w:pPr>
            <w:r>
              <w:rPr>
                <w:rFonts w:ascii="Verdana" w:hAnsi="Verdana" w:cs="Verdana" w:eastAsia="Verdana"/>
                <w:b/>
                <w:color w:val="FFFFFF"/>
                <w:sz w:val="19"/>
                <w:szCs w:val="19"/>
              </w:rPr>
              <w:t xml:space="preserve">Acción para TUI</w:t>
            </w:r>
          </w:p>
        </w:tc>
      </w:tr>
      <w:tr>
        <w:tc>
          <w:tcPr/>
          <w:p>
            <w:pPr>
              <w:pStyle w:val="Compact"/>
            </w:pPr>
            <w:r>
              <w:rPr>
                <w:rFonts w:ascii="Verdana" w:hAnsi="Verdana" w:cs="Verdana" w:eastAsia="Verdana"/>
                <w:color w:val="222222"/>
                <w:sz w:val="18"/>
                <w:szCs w:val="18"/>
              </w:rPr>
              <w:t xml:space="preserve">🔴</w:t>
            </w:r>
            <w:r>
              <w:rPr>
                <w:rFonts w:ascii="Verdana" w:hAnsi="Verdana" w:cs="Verdana" w:eastAsia="Verdana"/>
                <w:color w:val="222222"/>
                <w:sz w:val="18"/>
                <w:szCs w:val="18"/>
              </w:rPr>
              <w:t xml:space="preserve"> </w:t>
            </w:r>
            <w:r>
              <w:rPr>
                <w:b/>
                <w:bCs/>
                <w:rFonts w:ascii="Verdana" w:hAnsi="Verdana" w:cs="Verdana" w:eastAsia="Verdana"/>
                <w:color w:val="222222"/>
                <w:sz w:val="18"/>
                <w:szCs w:val="18"/>
              </w:rPr>
              <w:t xml:space="preserve">Saturado / Overtourism</w:t>
            </w:r>
          </w:p>
        </w:tc>
        <w:tc>
          <w:tcPr/>
          <w:p>
            <w:pPr>
              <w:pStyle w:val="Compact"/>
            </w:pPr>
            <w:r>
              <w:rPr>
                <w:rFonts w:ascii="Verdana" w:hAnsi="Verdana" w:cs="Verdana" w:eastAsia="Verdana"/>
                <w:color w:val="222222"/>
                <w:sz w:val="18"/>
                <w:szCs w:val="18"/>
              </w:rPr>
              <w:t xml:space="preserve">Alta densidad de plazas, VIIRS alto, PTNA &lt; 0, sentimiento bajo</w:t>
            </w:r>
          </w:p>
        </w:tc>
        <w:tc>
          <w:tcPr/>
          <w:p>
            <w:pPr>
              <w:pStyle w:val="Compact"/>
            </w:pPr>
            <w:r>
              <w:rPr>
                <w:rFonts w:ascii="Verdana" w:hAnsi="Verdana" w:cs="Verdana" w:eastAsia="Verdana"/>
                <w:color w:val="222222"/>
                <w:sz w:val="18"/>
                <w:szCs w:val="18"/>
              </w:rPr>
              <w:t xml:space="preserve">Adeje, Arona, Las Américas</w:t>
            </w:r>
          </w:p>
        </w:tc>
        <w:tc>
          <w:tcPr/>
          <w:p>
            <w:pPr>
              <w:pStyle w:val="Compact"/>
            </w:pPr>
            <w:r>
              <w:rPr>
                <w:rFonts w:ascii="Verdana" w:hAnsi="Verdana" w:cs="Verdana" w:eastAsia="Verdana"/>
                <w:color w:val="222222"/>
                <w:sz w:val="18"/>
                <w:szCs w:val="18"/>
              </w:rPr>
              <w:t xml:space="preserve">Contención y reposicionamiento; no ampliar oferta</w:t>
            </w:r>
          </w:p>
        </w:tc>
      </w:tr>
      <w:tr>
        <w:tc>
          <w:tcPr>
            <w:shd w:fill="F9FAFB"/>
          </w:tcPr>
          <w:p>
            <w:pPr>
              <w:pStyle w:val="Compact"/>
            </w:pPr>
            <w:r>
              <w:rPr>
                <w:rFonts w:ascii="Verdana" w:hAnsi="Verdana" w:cs="Verdana" w:eastAsia="Verdana"/>
                <w:color w:val="222222"/>
                <w:sz w:val="18"/>
                <w:szCs w:val="18"/>
              </w:rPr>
              <w:t xml:space="preserve">🟡</w:t>
            </w:r>
            <w:r>
              <w:rPr>
                <w:rFonts w:ascii="Verdana" w:hAnsi="Verdana" w:cs="Verdana" w:eastAsia="Verdana"/>
                <w:color w:val="222222"/>
                <w:sz w:val="18"/>
                <w:szCs w:val="18"/>
              </w:rPr>
              <w:t xml:space="preserve"> </w:t>
            </w:r>
            <w:r>
              <w:rPr>
                <w:b/>
                <w:bCs/>
                <w:rFonts w:ascii="Verdana" w:hAnsi="Verdana" w:cs="Verdana" w:eastAsia="Verdana"/>
                <w:color w:val="222222"/>
                <w:sz w:val="18"/>
                <w:szCs w:val="18"/>
              </w:rPr>
              <w:t xml:space="preserve">Urbano sin turismo</w:t>
            </w:r>
          </w:p>
        </w:tc>
        <w:tc>
          <w:tcPr>
            <w:shd w:fill="F9FAFB"/>
          </w:tcPr>
          <w:p>
            <w:pPr>
              <w:pStyle w:val="Compact"/>
            </w:pPr>
            <w:r>
              <w:rPr>
                <w:rFonts w:ascii="Verdana" w:hAnsi="Verdana" w:cs="Verdana" w:eastAsia="Verdana"/>
                <w:color w:val="222222"/>
                <w:sz w:val="18"/>
                <w:szCs w:val="18"/>
              </w:rPr>
              <w:t xml:space="preserve">Alta urbanización (NDBI alto), VIIRS alto, NDVI bajo, sin PTNA</w:t>
            </w:r>
          </w:p>
        </w:tc>
        <w:tc>
          <w:tcPr>
            <w:shd w:fill="F9FAFB"/>
          </w:tcPr>
          <w:p>
            <w:pPr>
              <w:pStyle w:val="Compact"/>
            </w:pPr>
            <w:r>
              <w:rPr>
                <w:rFonts w:ascii="Verdana" w:hAnsi="Verdana" w:cs="Verdana" w:eastAsia="Verdana"/>
                <w:color w:val="222222"/>
                <w:sz w:val="18"/>
                <w:szCs w:val="18"/>
              </w:rPr>
              <w:t xml:space="preserve">Santa Cruz, La Laguna</w:t>
            </w:r>
          </w:p>
        </w:tc>
        <w:tc>
          <w:tcPr>
            <w:shd w:fill="F9FAFB"/>
          </w:tcPr>
          <w:p>
            <w:pPr>
              <w:pStyle w:val="Compact"/>
            </w:pPr>
            <w:r>
              <w:rPr>
                <w:rFonts w:ascii="Verdana" w:hAnsi="Verdana" w:cs="Verdana" w:eastAsia="Verdana"/>
                <w:color w:val="222222"/>
                <w:sz w:val="18"/>
                <w:szCs w:val="18"/>
              </w:rPr>
              <w:t xml:space="preserve">Turismo de ciudad y negocios; producto diferenciado</w:t>
            </w:r>
          </w:p>
        </w:tc>
      </w:tr>
      <w:tr>
        <w:tc>
          <w:tcPr/>
          <w:p>
            <w:pPr>
              <w:pStyle w:val="Compact"/>
            </w:pPr>
            <w:r>
              <w:rPr>
                <w:rFonts w:ascii="Verdana" w:hAnsi="Verdana" w:cs="Verdana" w:eastAsia="Verdana"/>
                <w:color w:val="222222"/>
                <w:sz w:val="18"/>
                <w:szCs w:val="18"/>
              </w:rPr>
              <w:t xml:space="preserve">🟢</w:t>
            </w:r>
            <w:r>
              <w:rPr>
                <w:rFonts w:ascii="Verdana" w:hAnsi="Verdana" w:cs="Verdana" w:eastAsia="Verdana"/>
                <w:color w:val="222222"/>
                <w:sz w:val="18"/>
                <w:szCs w:val="18"/>
              </w:rPr>
              <w:t xml:space="preserve"> </w:t>
            </w:r>
            <w:r>
              <w:rPr>
                <w:b/>
                <w:bCs/>
                <w:rFonts w:ascii="Verdana" w:hAnsi="Verdana" w:cs="Verdana" w:eastAsia="Verdana"/>
                <w:color w:val="222222"/>
                <w:sz w:val="18"/>
                <w:szCs w:val="18"/>
              </w:rPr>
              <w:t xml:space="preserve">Rural infrautilizada</w:t>
            </w:r>
          </w:p>
        </w:tc>
        <w:tc>
          <w:tcPr/>
          <w:p>
            <w:pPr>
              <w:pStyle w:val="Compact"/>
            </w:pPr>
            <w:r>
              <w:rPr>
                <w:rFonts w:ascii="Verdana" w:hAnsi="Verdana" w:cs="Verdana" w:eastAsia="Verdana"/>
                <w:color w:val="222222"/>
                <w:sz w:val="18"/>
                <w:szCs w:val="18"/>
              </w:rPr>
              <w:t xml:space="preserve">NDVI alto, PTNA &gt; 0, poca oferta, sentimiento neutro o positivo</w:t>
            </w:r>
          </w:p>
        </w:tc>
        <w:tc>
          <w:tcPr/>
          <w:p>
            <w:pPr>
              <w:pStyle w:val="Compact"/>
            </w:pPr>
            <w:r>
              <w:rPr>
                <w:rFonts w:ascii="Verdana" w:hAnsi="Verdana" w:cs="Verdana" w:eastAsia="Verdana"/>
                <w:color w:val="222222"/>
                <w:sz w:val="18"/>
                <w:szCs w:val="18"/>
              </w:rPr>
              <w:t xml:space="preserve">Buenavista, Anaga, Teno, Vilaflor</w:t>
            </w:r>
          </w:p>
        </w:tc>
        <w:tc>
          <w:tcPr/>
          <w:p>
            <w:pPr>
              <w:pStyle w:val="Compact"/>
            </w:pPr>
            <w:r>
              <w:rPr>
                <w:rFonts w:ascii="Verdana" w:hAnsi="Verdana" w:cs="Verdana" w:eastAsia="Verdana"/>
                <w:color w:val="222222"/>
                <w:sz w:val="18"/>
                <w:szCs w:val="18"/>
              </w:rPr>
              <w:t xml:space="preserve">Oportunidad prioritaria: ecoturismo, turismo rural</w:t>
            </w:r>
          </w:p>
        </w:tc>
      </w:tr>
      <w:tr>
        <w:tc>
          <w:tcPr>
            <w:shd w:fill="F9FAFB"/>
          </w:tcPr>
          <w:p>
            <w:pPr>
              <w:pStyle w:val="Compact"/>
            </w:pPr>
            <w:r>
              <w:rPr>
                <w:rFonts w:ascii="Verdana" w:hAnsi="Verdana" w:cs="Verdana" w:eastAsia="Verdana"/>
                <w:color w:val="222222"/>
                <w:sz w:val="18"/>
                <w:szCs w:val="18"/>
              </w:rPr>
              <w:t xml:space="preserve">🔵</w:t>
            </w:r>
            <w:r>
              <w:rPr>
                <w:rFonts w:ascii="Verdana" w:hAnsi="Verdana" w:cs="Verdana" w:eastAsia="Verdana"/>
                <w:color w:val="222222"/>
                <w:sz w:val="18"/>
                <w:szCs w:val="18"/>
              </w:rPr>
              <w:t xml:space="preserve"> </w:t>
            </w:r>
            <w:r>
              <w:rPr>
                <w:b/>
                <w:bCs/>
                <w:rFonts w:ascii="Verdana" w:hAnsi="Verdana" w:cs="Verdana" w:eastAsia="Verdana"/>
                <w:color w:val="222222"/>
                <w:sz w:val="18"/>
                <w:szCs w:val="18"/>
              </w:rPr>
              <w:t xml:space="preserve">Transición / Emergente</w:t>
            </w:r>
          </w:p>
        </w:tc>
        <w:tc>
          <w:tcPr>
            <w:shd w:fill="F9FAFB"/>
          </w:tcPr>
          <w:p>
            <w:pPr>
              <w:pStyle w:val="Compact"/>
            </w:pPr>
            <w:r>
              <w:rPr>
                <w:rFonts w:ascii="Verdana" w:hAnsi="Verdana" w:cs="Verdana" w:eastAsia="Verdana"/>
                <w:color w:val="222222"/>
                <w:sz w:val="18"/>
                <w:szCs w:val="18"/>
              </w:rPr>
              <w:t xml:space="preserve">Perfil mixto, oferta creciente, accesibilidad media</w:t>
            </w:r>
          </w:p>
        </w:tc>
        <w:tc>
          <w:tcPr>
            <w:shd w:fill="F9FAFB"/>
          </w:tcPr>
          <w:p>
            <w:pPr>
              <w:pStyle w:val="Compact"/>
            </w:pPr>
            <w:r>
              <w:rPr>
                <w:rFonts w:ascii="Verdana" w:hAnsi="Verdana" w:cs="Verdana" w:eastAsia="Verdana"/>
                <w:color w:val="222222"/>
                <w:sz w:val="18"/>
                <w:szCs w:val="18"/>
              </w:rPr>
              <w:t xml:space="preserve">Puerto de la Cruz, franja costera norte</w:t>
            </w:r>
          </w:p>
        </w:tc>
        <w:tc>
          <w:tcPr>
            <w:shd w:fill="F9FAFB"/>
          </w:tcPr>
          <w:p>
            <w:pPr>
              <w:pStyle w:val="Compact"/>
            </w:pPr>
            <w:r>
              <w:rPr>
                <w:rFonts w:ascii="Verdana" w:hAnsi="Verdana" w:cs="Verdana" w:eastAsia="Verdana"/>
                <w:color w:val="222222"/>
                <w:sz w:val="18"/>
                <w:szCs w:val="18"/>
              </w:rPr>
              <w:t xml:space="preserve">Consolidación y mejora de producto existente</w:t>
            </w:r>
          </w:p>
        </w:tc>
      </w:tr>
    </w:tbl>
    <w:p>
      <w:pPr>
        <w:pStyle w:val="BodyText"/>
        <w:spacing w:line="276" w:lineRule="auto" w:after="100"/>
        <w:jc w:val="both"/>
      </w:pPr>
      <w:r>
        <w:rPr>
          <w:rFonts w:ascii="Verdana" w:hAnsi="Verdana" w:cs="Verdana" w:eastAsia="Verdana"/>
          <w:color w:val="222222"/>
          <w:sz w:val="20"/>
          <w:szCs w:val="20"/>
        </w:rPr>
        <w:t xml:space="preserve">El resultado de cada hexágono (</w:t>
      </w:r>
      <w:r>
        <w:rPr>
          <w:rStyle w:val="VerbatimChar"/>
          <w:rFonts w:ascii="Verdana" w:hAnsi="Verdana" w:cs="Verdana" w:eastAsia="Verdana"/>
          <w:color w:val="222222"/>
          <w:sz w:val="20"/>
          <w:szCs w:val="20"/>
        </w:rPr>
        <w:t xml:space="preserve">tipo_zona</w:t>
      </w:r>
      <w:r>
        <w:rPr>
          <w:rFonts w:ascii="Verdana" w:hAnsi="Verdana" w:cs="Verdana" w:eastAsia="Verdana"/>
          <w:color w:val="222222"/>
          <w:sz w:val="20"/>
          <w:szCs w:val="20"/>
        </w:rPr>
        <w:t xml:space="preserve">) se almacena 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gold.h3_clusters</w:t>
      </w:r>
      <w:r>
        <w:rPr>
          <w:rFonts w:ascii="Verdana" w:hAnsi="Verdana" w:cs="Verdana" w:eastAsia="Verdana"/>
          <w:color w:val="222222"/>
          <w:sz w:val="20"/>
          <w:szCs w:val="20"/>
        </w:rPr>
        <w:t xml:space="preserve">, se incorpora como columna 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 se visualiza como capa de color en el mapa del dashboard. Al hacer clic en cualquier hexágono, el panel lateral muestra su etiqueta de zona junto al PTNA, el ESG score y los indicadores detallados. Ver</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Anexo F</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para el mapa de clusters y la descripción estadística de cada arquetipo.</w:t>
      </w:r>
    </w:p>
    <w:bookmarkEnd w:id="31"/>
    <w:bookmarkStart w:id="32" w:name="X7bb524e1852e48b8bbce1210c887a16e9e7a19a"/>
    <w:p>
      <w:pPr>
        <w:pStyle w:val="Heading2"/>
        <w:keepNext/>
        <w:spacing w:line="276" w:lineRule="auto" w:before="200" w:after="60"/>
      </w:pPr>
      <w:r>
        <w:rPr>
          <w:rFonts w:ascii="Verdana" w:hAnsi="Verdana" w:cs="Verdana" w:eastAsia="Verdana"/>
          <w:b/>
          <w:color w:val="2E6E9E"/>
          <w:sz w:val="22"/>
          <w:szCs w:val="22"/>
        </w:rPr>
        <w:t xml:space="preserve">4.6. Modelado de accesibilidad: isócronas y enrutamiento</w:t>
      </w:r>
    </w:p>
    <w:p>
      <w:pPr>
        <w:pStyle w:val="FirstParagraph"/>
        <w:spacing w:line="276" w:lineRule="auto" w:after="100"/>
        <w:jc w:val="both"/>
      </w:pPr>
      <w:r>
        <w:rPr>
          <w:b/>
          <w:bCs/>
          <w:rFonts w:ascii="Verdana" w:hAnsi="Verdana" w:cs="Verdana" w:eastAsia="Verdana"/>
          <w:color w:val="222222"/>
          <w:sz w:val="20"/>
          <w:szCs w:val="20"/>
        </w:rPr>
        <w:t xml:space="preserve">El problema de negocio: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las estadísticas de transporte dicen cuántas paradas existen, pero no cuánto tiempo tarda realmente un turista en llegar desde el aeropuerto —o desde cualquier alojamiento costero— a un destino del interior.</w:t>
      </w:r>
    </w:p>
    <w:p>
      <w:pPr>
        <w:pStyle w:val="BodyText"/>
        <w:spacing w:line="276" w:lineRule="auto" w:after="100"/>
        <w:jc w:val="both"/>
      </w:pPr>
      <w:r>
        <w:rPr>
          <w:b/>
          <w:bCs/>
          <w:rFonts w:ascii="Verdana" w:hAnsi="Verdana" w:cs="Verdana" w:eastAsia="Verdana"/>
          <w:color w:val="222222"/>
          <w:sz w:val="20"/>
          <w:szCs w:val="20"/>
        </w:rPr>
        <w:t xml:space="preserve">La solución:</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para</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18 destinos estratégicos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 la isla (aeropuertos, polos turísticos consolidados, destinos de interior con potencial), se calculan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polígonos de isócrona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a 15, 30, 45 y 60 minutos en vehículo privado mediante la API de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OpenRouteService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(HeiGIT, 2024). Las isócronas no son círculos: respetan la red viaria real de Tenerife, incluyendo las restricciones de las carreteras de montaña y los accesos a zonas protegidas.</w:t>
      </w:r>
    </w:p>
    <w:p>
      <w:pPr>
        <w:pStyle w:val="BodyText"/>
        <w:spacing w:line="276" w:lineRule="auto" w:after="100"/>
        <w:jc w:val="both"/>
      </w:pPr>
      <w:r>
        <w:rPr>
          <w:rFonts w:ascii="Verdana" w:hAnsi="Verdana" w:cs="Verdana" w:eastAsia="Verdana"/>
          <w:color w:val="222222"/>
          <w:sz w:val="20"/>
          <w:szCs w:val="20"/>
        </w:rPr>
        <w:t xml:space="preserve">Los 18 destinos incluyen desde los aeropuertos TFS y TFN hasta lugares de interior como Masca, Vilaflor, Garachico o el Parque Rural de Anaga. Para cada destino se generan 4 polígonos (72 filas totales 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gold.isocronas_visuales</w:t>
      </w:r>
      <w:r>
        <w:rPr>
          <w:rFonts w:ascii="Verdana" w:hAnsi="Verdana" w:cs="Verdana" w:eastAsia="Verdana"/>
          <w:color w:val="222222"/>
          <w:sz w:val="20"/>
          <w:szCs w:val="20"/>
        </w:rPr>
        <w:t xml:space="preserve">), que se superponen en el mapa del dashboard para que el analista pueda ver de un vistazo qué proporción de la isla es accesible en menos de 30 minutos desde cada punto.</w:t>
      </w:r>
    </w:p>
    <w:p>
      <w:pPr>
        <w:pStyle w:val="BodyText"/>
        <w:spacing w:line="276" w:lineRule="auto" w:after="100"/>
        <w:jc w:val="both"/>
      </w:pPr>
      <w:r>
        <w:rPr>
          <w:rFonts w:ascii="Verdana" w:hAnsi="Verdana" w:cs="Verdana" w:eastAsia="Verdana"/>
          <w:color w:val="222222"/>
          <w:sz w:val="20"/>
          <w:szCs w:val="20"/>
        </w:rPr>
        <w:t xml:space="preserve">Este análisis revela que buena parte del interior norte de la isla (La Orotava, Icod) está a menos de 30 minutos desde Puerto de la Cruz, pero la percepción del turista lo sitúa como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“remoto”</w:t>
      </w:r>
      <w:r>
        <w:rPr>
          <w:rFonts w:ascii="Verdana" w:hAnsi="Verdana" w:cs="Verdana" w:eastAsia="Verdana"/>
          <w:color w:val="222222"/>
          <w:sz w:val="20"/>
          <w:szCs w:val="20"/>
        </w:rPr>
        <w:t xml:space="preserve">. La brecha entre accesibilidad real y percibida es una oportunidad de producto para TUI. Los mapas de isócronas se incluyen en el</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Anexo G</w:t>
      </w:r>
      <w:r>
        <w:rPr>
          <w:rFonts w:ascii="Verdana" w:hAnsi="Verdana" w:cs="Verdana" w:eastAsia="Verdana"/>
          <w:color w:val="222222"/>
          <w:sz w:val="20"/>
          <w:szCs w:val="20"/>
        </w:rPr>
        <w:t xml:space="preserve">.</w:t>
      </w:r>
    </w:p>
    <w:p>
      <w:pPr>
        <w:pStyle w:val="BodyText"/>
        <w:spacing w:line="276" w:lineRule="auto" w:after="100"/>
        <w:jc w:val="both"/>
      </w:pPr>
      <w:r>
        <w:rPr>
          <w:b/>
          <w:bCs/>
          <w:rFonts w:ascii="Verdana" w:hAnsi="Verdana" w:cs="Verdana" w:eastAsia="Verdana"/>
          <w:color w:val="222222"/>
          <w:sz w:val="20"/>
          <w:szCs w:val="20"/>
        </w:rPr>
        <w:t xml:space="preserve">Accesibilidad vial exacta: ORS Matrix para todos los hexágonos</w:t>
      </w:r>
    </w:p>
    <w:p>
      <w:pPr>
        <w:pStyle w:val="BodyText"/>
        <w:spacing w:line="276" w:lineRule="auto" w:after="100"/>
        <w:jc w:val="both"/>
      </w:pPr>
      <w:r>
        <w:rPr>
          <w:rFonts w:ascii="Verdana" w:hAnsi="Verdana" w:cs="Verdana" w:eastAsia="Verdana"/>
          <w:color w:val="222222"/>
          <w:sz w:val="20"/>
          <w:szCs w:val="20"/>
        </w:rPr>
        <w:t xml:space="preserve">Las isócronas descritas arriba son visuales (polígonos en el mapa), pero para alimentar el modelo estadístico MGWR (§4.7) se necesita un dato continuo: cuántos minutos exactos tarda un turista en llegar desde cada hexágono a cada destino estratégico. Esto se resuelve con la</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API Matrix de OpenRouteService</w:t>
      </w:r>
      <w:r>
        <w:rPr>
          <w:rFonts w:ascii="Verdana" w:hAnsi="Verdana" w:cs="Verdana" w:eastAsia="Verdana"/>
          <w:color w:val="222222"/>
          <w:sz w:val="20"/>
          <w:szCs w:val="20"/>
        </w:rPr>
        <w:t xml:space="preserve">, que calcula el tiempo de conducción desde los 2.396 hexágonos hacia los 18 destinos en 18 peticiones (todas dentro del plan gratuito). El resultado es la tabla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gold.h3_accesibilidad</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 columnas como</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tiempo_tfs_min</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tiempo_tfn_min</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tiempo_teide_min</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tiempo_aeropuerto_min</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(el menor entre TFS y TFN). Un hexágono del interior con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tiempo_aeropuerto_min &gt; 60</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 alto potencial natural representa el segmento de ecoturismo de aventura que TUI puede desarrollar con menor competencia.</w:t>
      </w:r>
    </w:p>
    <w:p>
      <w:pPr>
        <w:pStyle w:val="BodyText"/>
        <w:spacing w:line="276" w:lineRule="auto" w:after="100"/>
        <w:jc w:val="both"/>
      </w:pPr>
      <w:r>
        <w:rPr>
          <w:rFonts w:ascii="Verdana" w:hAnsi="Verdana" w:cs="Verdana" w:eastAsia="Verdana"/>
          <w:color w:val="222222"/>
          <w:sz w:val="20"/>
          <w:szCs w:val="20"/>
        </w:rPr>
        <w:t xml:space="preserve">La tabla de accesibilidad incluye también tres métricas complementarias sin coste de API:</w:t>
      </w:r>
    </w:p>
    <w:p>
      <w:pPr>
        <w:pStyle w:val="Compact"/>
        <w:numPr>
          <w:ilvl w:val="0"/>
          <w:numId w:val="1008"/>
        </w:numPr>
        <w:spacing w:line="276" w:lineRule="auto" w:after="100"/>
        <w:jc w:val="both"/>
      </w:pPr>
      <w:r>
        <w:rPr>
          <w:b/>
          <w:bCs/>
          <w:rFonts w:ascii="Verdana" w:hAnsi="Verdana" w:cs="Verdana" w:eastAsia="Verdana"/>
          <w:color w:val="222222"/>
          <w:sz w:val="20"/>
          <w:szCs w:val="20"/>
        </w:rPr>
        <w:t xml:space="preserve">Accesibilidad al transporte público: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número de paradas GTFS de TITSA en radios de 200 m, 500 m y 1.000 m del centroide del hexágono, más la distancia a la parada más cercana. Indica si un destino es viable para el turista europeo sin vehículo propio.</w:t>
      </w:r>
    </w:p>
    <w:p>
      <w:pPr>
        <w:pStyle w:val="Compact"/>
        <w:numPr>
          <w:ilvl w:val="0"/>
          <w:numId w:val="1008"/>
        </w:numPr>
        <w:spacing w:line="276" w:lineRule="auto" w:after="100"/>
        <w:jc w:val="both"/>
      </w:pPr>
      <w:r>
        <w:rPr>
          <w:b/>
          <w:bCs/>
          <w:rFonts w:ascii="Verdana" w:hAnsi="Verdana" w:cs="Verdana" w:eastAsia="Verdana"/>
          <w:color w:val="222222"/>
          <w:sz w:val="20"/>
          <w:szCs w:val="20"/>
        </w:rPr>
        <w:t xml:space="preserve">Distancia al hospital más cercano: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calculada con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ST_Distance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sobre los POIs de OSM (</w:t>
      </w:r>
      <w:r>
        <w:rPr>
          <w:rStyle w:val="VerbatimChar"/>
          <w:rFonts w:ascii="Verdana" w:hAnsi="Verdana" w:cs="Verdana" w:eastAsia="Verdana"/>
          <w:color w:val="222222"/>
          <w:sz w:val="20"/>
          <w:szCs w:val="20"/>
        </w:rPr>
        <w:t xml:space="preserve">tipo = 'hospital'</w:t>
      </w:r>
      <w:r>
        <w:rPr>
          <w:rFonts w:ascii="Verdana" w:hAnsi="Verdana" w:cs="Verdana" w:eastAsia="Verdana"/>
          <w:color w:val="222222"/>
          <w:sz w:val="20"/>
          <w:szCs w:val="20"/>
        </w:rPr>
        <w:t xml:space="preserve">). Variable clave para el segmento de turismo senior y familiar, que valora la proximidad a servicios sanitarios.</w:t>
      </w:r>
    </w:p>
    <w:p>
      <w:pPr>
        <w:pStyle w:val="Compact"/>
        <w:numPr>
          <w:ilvl w:val="0"/>
          <w:numId w:val="1008"/>
        </w:numPr>
        <w:spacing w:line="276" w:lineRule="auto" w:after="100"/>
        <w:jc w:val="both"/>
      </w:pPr>
      <w:r>
        <w:rPr>
          <w:b/>
          <w:bCs/>
          <w:rFonts w:ascii="Verdana" w:hAnsi="Verdana" w:cs="Verdana" w:eastAsia="Verdana"/>
          <w:color w:val="222222"/>
          <w:sz w:val="20"/>
          <w:szCs w:val="20"/>
        </w:rPr>
        <w:t xml:space="preserve">Distancia a la costa: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línea de costa extraída de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ST_Boundary(ST_Union(silver_limites_municipales))</w:t>
      </w:r>
      <w:r>
        <w:rPr>
          <w:rFonts w:ascii="Verdana" w:hAnsi="Verdana" w:cs="Verdana" w:eastAsia="Verdana"/>
          <w:color w:val="222222"/>
          <w:sz w:val="20"/>
          <w:szCs w:val="20"/>
        </w:rPr>
        <w:t xml:space="preserve">. Es el predictor con mayor peso estadístico conocido en la literatura de precios hoteleros (β ≈ –0,42 en estudios hedónicos): a cada kilómetro de la costa, la oferta turística convencional cae.</w:t>
      </w:r>
    </w:p>
    <w:p>
      <w:pPr>
        <w:pStyle w:val="FirstParagraph"/>
        <w:spacing w:line="276" w:lineRule="auto" w:after="100"/>
        <w:jc w:val="both"/>
      </w:pPr>
      <w:r>
        <w:rPr>
          <w:b/>
          <w:bCs/>
          <w:rFonts w:ascii="Verdana" w:hAnsi="Verdana" w:cs="Verdana" w:eastAsia="Verdana"/>
          <w:color w:val="222222"/>
          <w:sz w:val="20"/>
          <w:szCs w:val="20"/>
        </w:rPr>
        <w:t xml:space="preserve">Calibración topoclimática (IDW + Gradiente Térmico)</w:t>
      </w:r>
    </w:p>
    <w:p>
      <w:pPr>
        <w:pStyle w:val="BodyText"/>
        <w:spacing w:line="276" w:lineRule="auto" w:after="100"/>
        <w:jc w:val="both"/>
      </w:pPr>
      <w:r>
        <w:rPr>
          <w:rFonts w:ascii="Verdana" w:hAnsi="Verdana" w:cs="Verdana" w:eastAsia="Verdana"/>
          <w:color w:val="222222"/>
          <w:sz w:val="20"/>
          <w:szCs w:val="20"/>
        </w:rPr>
        <w:t xml:space="preserve">Como capa adicional de analítica avanzada, la temperatura de cada hexágono se estima con interpolación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IDW</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i/>
          <w:iCs/>
          <w:rFonts w:ascii="Verdana" w:hAnsi="Verdana" w:cs="Verdana" w:eastAsia="Verdana"/>
          <w:color w:val="222222"/>
          <w:sz w:val="20"/>
          <w:szCs w:val="20"/>
        </w:rPr>
        <w:t xml:space="preserve">Inverse Distance Weighting</w:t>
      </w:r>
      <w:r>
        <w:rPr>
          <w:rFonts w:ascii="Verdana" w:hAnsi="Verdana" w:cs="Verdana" w:eastAsia="Verdana"/>
          <w:color w:val="222222"/>
          <w:sz w:val="20"/>
          <w:szCs w:val="20"/>
        </w:rPr>
        <w:t xml:space="preserve">, K=3 estaciones más cercanas) y se corrige por el gradiente térmico estándar de la atmósfera estable (–0,0065 °C/m). Esto permite calcular, para un hexágono a 800 m de altitud, la temperatura media que un turista experimentaría en cada estación del año, incluso si no hay ninguna estación meteorológica en esa celda concreta. El resultado enriquece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 variables climáticas estacionales (Q1 a Q4) para todos los hexágonos de la isla.</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32"/>
    <w:bookmarkStart w:id="33" w:name="X3aa43e27b93cdeeb28ea127f53a70b24008ca5c"/>
    <w:p>
      <w:pPr>
        <w:pStyle w:val="Heading2"/>
        <w:keepNext/>
        <w:spacing w:line="276" w:lineRule="auto" w:before="200" w:after="60"/>
      </w:pPr>
      <w:r>
        <w:rPr>
          <w:rFonts w:ascii="Verdana" w:hAnsi="Verdana" w:cs="Verdana" w:eastAsia="Verdana"/>
          <w:b/>
          <w:color w:val="2E6E9E"/>
          <w:sz w:val="22"/>
          <w:szCs w:val="22"/>
        </w:rPr>
        <w:t xml:space="preserve">4.7. Modelo de regresión espacial MGWR e Índice PTNA</w:t>
      </w:r>
    </w:p>
    <w:p>
      <w:pPr>
        <w:pStyle w:val="FirstParagraph"/>
        <w:spacing w:line="276" w:lineRule="auto" w:after="100"/>
        <w:jc w:val="both"/>
      </w:pPr>
      <w:r>
        <w:rPr>
          <w:b/>
          <w:bCs/>
          <w:rFonts w:ascii="Verdana" w:hAnsi="Verdana" w:cs="Verdana" w:eastAsia="Verdana"/>
          <w:color w:val="222222"/>
          <w:sz w:val="20"/>
          <w:szCs w:val="20"/>
        </w:rPr>
        <w:t xml:space="preserve">El indicador estrella: Potencial Turístico No Aprovechado (PTNA)</w:t>
      </w:r>
    </w:p>
    <w:p>
      <w:pPr>
        <w:pStyle w:val="BodyText"/>
        <w:spacing w:line="276" w:lineRule="auto" w:after="100"/>
        <w:jc w:val="both"/>
      </w:pPr>
      <w:r>
        <w:rPr>
          <w:rFonts w:ascii="Verdana" w:hAnsi="Verdana" w:cs="Verdana" w:eastAsia="Verdana"/>
          <w:color w:val="222222"/>
          <w:sz w:val="20"/>
          <w:szCs w:val="20"/>
        </w:rPr>
        <w:t xml:space="preserve">Todos los análisis anteriores —alojamiento, sentimiento, satélite, accesibilidad, clima— convergen en un único modelo cuyo output es el KPI más valioso del proyecto para TUI: el</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PTNA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i/>
          <w:iCs/>
          <w:rFonts w:ascii="Verdana" w:hAnsi="Verdana" w:cs="Verdana" w:eastAsia="Verdana"/>
          <w:color w:val="222222"/>
          <w:sz w:val="20"/>
          <w:szCs w:val="20"/>
        </w:rPr>
        <w:t xml:space="preserve">Potencial Turístico No Aprovechado</w:t>
      </w:r>
      <w:r>
        <w:rPr>
          <w:rFonts w:ascii="Verdana" w:hAnsi="Verdana" w:cs="Verdana" w:eastAsia="Verdana"/>
          <w:color w:val="222222"/>
          <w:sz w:val="20"/>
          <w:szCs w:val="20"/>
        </w:rPr>
        <w:t xml:space="preserve">).</w:t>
      </w:r>
    </w:p>
    <w:p>
      <w:pPr>
        <w:pStyle w:val="BodyText"/>
        <w:spacing w:line="276" w:lineRule="auto" w:after="100"/>
        <w:jc w:val="both"/>
      </w:pPr>
      <w:r>
        <w:rPr>
          <w:rFonts w:ascii="Verdana" w:hAnsi="Verdana" w:cs="Verdana" w:eastAsia="Verdana"/>
          <w:color w:val="222222"/>
          <w:sz w:val="20"/>
          <w:szCs w:val="20"/>
        </w:rPr>
        <w:t xml:space="preserve">La lógica es simple: dado el perfil real de un hexágono (su altitud, su verde, su accesibilidad, su sentimiento, su actividad nocturna…), ¿cuántas plazas hoteleras</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debería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tener? Si tiene muchas menos de las esperadas, hay oportunidad. Si tiene muchas más, hay riesgo de saturación.</w:t>
      </w:r>
    </w:p>
    <w:p>
      <w:pPr>
        <w:pStyle w:val="SourceCode"/>
        <w:spacing w:line="276" w:lineRule="auto" w:after="100"/>
        <w:jc w:val="both"/>
      </w:pPr>
      <w:r>
        <w:rPr>
          <w:rStyle w:val="VerbatimChar"/>
          <w:rFonts w:ascii="Verdana" w:hAnsi="Verdana" w:cs="Verdana" w:eastAsia="Verdana"/>
          <w:color w:val="222222"/>
          <w:sz w:val="20"/>
          <w:szCs w:val="20"/>
        </w:rPr>
        <w:t xml:space="preserve">PTNA = Densidad_de_plazas_esperada_por_el_modelo − Densidad_de_plazas_real_observada</w:t>
      </w:r>
      <w:r>
        <w:rPr>
          <w:rFonts w:ascii="Verdana" w:hAnsi="Verdana" w:cs="Verdana" w:eastAsia="Verdana"/>
          <w:color w:val="222222"/>
          <w:sz w:val="20"/>
          <w:szCs w:val="20"/>
        </w:rPr>
        <w:br/>
      </w:r>
      <w:r>
        <w:rPr>
          <w:rFonts w:ascii="Verdana" w:hAnsi="Verdana" w:cs="Verdana" w:eastAsia="Verdana"/>
          <w:color w:val="222222"/>
          <w:sz w:val="20"/>
          <w:szCs w:val="20"/>
        </w:rPr>
        <w:br/>
      </w:r>
      <w:r>
        <w:rPr>
          <w:rStyle w:val="VerbatimChar"/>
          <w:rFonts w:ascii="Verdana" w:hAnsi="Verdana" w:cs="Verdana" w:eastAsia="Verdana"/>
          <w:color w:val="222222"/>
          <w:sz w:val="20"/>
          <w:szCs w:val="20"/>
        </w:rPr>
        <w:t xml:space="preserve">  PTNA &gt; 0  →  Zona infrautilizada: oportunidad de inversión para TUI</w:t>
      </w:r>
      <w:r>
        <w:rPr>
          <w:rFonts w:ascii="Verdana" w:hAnsi="Verdana" w:cs="Verdana" w:eastAsia="Verdana"/>
          <w:color w:val="222222"/>
          <w:sz w:val="20"/>
          <w:szCs w:val="20"/>
        </w:rPr>
        <w:br/>
      </w:r>
      <w:r>
        <w:rPr>
          <w:rStyle w:val="VerbatimChar"/>
          <w:rFonts w:ascii="Verdana" w:hAnsi="Verdana" w:cs="Verdana" w:eastAsia="Verdana"/>
          <w:color w:val="222222"/>
          <w:sz w:val="20"/>
          <w:szCs w:val="20"/>
        </w:rPr>
        <w:t xml:space="preserve">  PTNA &lt; 0  →  Zona sobreexplotada: riesgo de overtourism</w:t>
      </w:r>
      <w:r>
        <w:rPr>
          <w:rFonts w:ascii="Verdana" w:hAnsi="Verdana" w:cs="Verdana" w:eastAsia="Verdana"/>
          <w:color w:val="222222"/>
          <w:sz w:val="20"/>
          <w:szCs w:val="20"/>
        </w:rPr>
        <w:br/>
      </w:r>
      <w:r>
        <w:rPr>
          <w:rStyle w:val="VerbatimChar"/>
          <w:rFonts w:ascii="Verdana" w:hAnsi="Verdana" w:cs="Verdana" w:eastAsia="Verdana"/>
          <w:color w:val="222222"/>
          <w:sz w:val="20"/>
          <w:szCs w:val="20"/>
        </w:rPr>
        <w:t xml:space="preserve">  PTNA ≈ 0  →  Zona en equilibrio con su potencial</w:t>
      </w:r>
    </w:p>
    <w:p>
      <w:pPr>
        <w:pStyle w:val="FirstParagraph"/>
        <w:spacing w:line="276" w:lineRule="auto" w:after="100"/>
        <w:jc w:val="both"/>
      </w:pPr>
      <w:r>
        <w:rPr>
          <w:b/>
          <w:bCs/>
          <w:rFonts w:ascii="Verdana" w:hAnsi="Verdana" w:cs="Verdana" w:eastAsia="Verdana"/>
          <w:color w:val="222222"/>
          <w:sz w:val="20"/>
          <w:szCs w:val="20"/>
        </w:rPr>
        <w:t xml:space="preserve">Por qué MGWR y no una regresión lineal ordinaria:</w:t>
      </w:r>
    </w:p>
    <w:p>
      <w:pPr>
        <w:pStyle w:val="BodyText"/>
        <w:spacing w:line="276" w:lineRule="auto" w:after="100"/>
        <w:jc w:val="both"/>
      </w:pPr>
      <w:r>
        <w:rPr>
          <w:rFonts w:ascii="Verdana" w:hAnsi="Verdana" w:cs="Verdana" w:eastAsia="Verdana"/>
          <w:color w:val="222222"/>
          <w:sz w:val="20"/>
          <w:szCs w:val="20"/>
        </w:rPr>
        <w:t xml:space="preserve">Una regresión lineal clásica asumiría que el efecto del NDVI (vegetación) sobre la oferta turística es el mismo en toda la isla. Eso es falso: en el norte húmedo, tener vegetación exuberante es lo esperado y no diferencia zonas; en el sur árido, un hexágono verde es una rareza de alto valor. El modelo</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MGWR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i/>
          <w:iCs/>
          <w:rFonts w:ascii="Verdana" w:hAnsi="Verdana" w:cs="Verdana" w:eastAsia="Verdana"/>
          <w:color w:val="222222"/>
          <w:sz w:val="20"/>
          <w:szCs w:val="20"/>
        </w:rPr>
        <w:t xml:space="preserve">Multiscale Geographically Weighted Regression</w:t>
      </w:r>
      <w:r>
        <w:rPr>
          <w:rFonts w:ascii="Verdana" w:hAnsi="Verdana" w:cs="Verdana" w:eastAsia="Verdana"/>
          <w:color w:val="222222"/>
          <w:sz w:val="20"/>
          <w:szCs w:val="20"/>
        </w:rPr>
        <w:t xml:space="preserve">) resuelve esto calculando un coeficiente local para cada variable en cada hexágono, permitiendo que los pesos cambien según la posición geográfica. El resultado es un mapa de coeficientes locales que revela, por ejemplo, que la accesibilidad al aeropuerto importa 3 veces más en el interior sur que en el norte, o que el sentimiento negativo tiene mayor impacto en zonas de turismo masivo que en zonas rurales.</w:t>
      </w:r>
    </w:p>
    <w:p>
      <w:pPr>
        <w:pStyle w:val="BodyText"/>
        <w:spacing w:line="276" w:lineRule="auto" w:after="100"/>
        <w:jc w:val="both"/>
      </w:pPr>
      <w:r>
        <w:rPr>
          <w:b/>
          <w:bCs/>
          <w:rFonts w:ascii="Verdana" w:hAnsi="Verdana" w:cs="Verdana" w:eastAsia="Verdana"/>
          <w:color w:val="222222"/>
          <w:sz w:val="20"/>
          <w:szCs w:val="20"/>
        </w:rPr>
        <w:t xml:space="preserve">Variables del modelo (todas presentes en</w:t>
      </w:r>
      <w:r>
        <w:rPr>
          <w:b/>
          <w:bCs/>
          <w:rFonts w:ascii="Verdana" w:hAnsi="Verdana" w:cs="Verdana" w:eastAsia="Verdana"/>
          <w:color w:val="222222"/>
          <w:sz w:val="20"/>
          <w:szCs w:val="20"/>
        </w:rPr>
        <w:t xml:space="preserve"> </w:t>
      </w:r>
      <w:r>
        <w:rPr>
          <w:rStyle w:val="VerbatimChar"/>
          <w:b/>
          <w:bCs/>
          <w:rFonts w:ascii="Verdana" w:hAnsi="Verdana" w:cs="Verdana" w:eastAsia="Verdana"/>
          <w:color w:val="222222"/>
          <w:sz w:val="20"/>
          <w:szCs w:val="20"/>
        </w:rPr>
        <w:t xml:space="preserve">gold_h3_master</w:t>
      </w:r>
      <w:r>
        <w:rPr>
          <w:b/>
          <w:bCs/>
          <w:rFonts w:ascii="Verdana" w:hAnsi="Verdana" w:cs="Verdana" w:eastAsia="Verdana"/>
          <w:color w:val="222222"/>
          <w:sz w:val="20"/>
          <w:szCs w:val="20"/>
        </w:rPr>
        <w:t xml:space="preserv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fill="1F497D"/>
          </w:tcPr>
          <w:p>
            <w:pPr>
              <w:pStyle w:val="Compact"/>
              <w:jc w:val="center"/>
            </w:pPr>
            <w:r>
              <w:rPr>
                <w:rFonts w:ascii="Verdana" w:hAnsi="Verdana" w:cs="Verdana" w:eastAsia="Verdana"/>
                <w:b/>
                <w:color w:val="FFFFFF"/>
                <w:sz w:val="19"/>
                <w:szCs w:val="19"/>
              </w:rPr>
              <w:t xml:space="preserve">Variable X</w:t>
            </w:r>
          </w:p>
        </w:tc>
        <w:tc>
          <w:tcPr>
            <w:shd w:fill="1F497D"/>
          </w:tcPr>
          <w:p>
            <w:pPr>
              <w:pStyle w:val="Compact"/>
              <w:jc w:val="center"/>
            </w:pPr>
            <w:r>
              <w:rPr>
                <w:rFonts w:ascii="Verdana" w:hAnsi="Verdana" w:cs="Verdana" w:eastAsia="Verdana"/>
                <w:b/>
                <w:color w:val="FFFFFF"/>
                <w:sz w:val="19"/>
                <w:szCs w:val="19"/>
              </w:rPr>
              <w:t xml:space="preserve">Fuente</w:t>
            </w:r>
          </w:p>
        </w:tc>
        <w:tc>
          <w:tcPr>
            <w:shd w:fill="1F497D"/>
          </w:tcPr>
          <w:p>
            <w:pPr>
              <w:pStyle w:val="Compact"/>
              <w:jc w:val="center"/>
            </w:pPr>
            <w:r>
              <w:rPr>
                <w:rFonts w:ascii="Verdana" w:hAnsi="Verdana" w:cs="Verdana" w:eastAsia="Verdana"/>
                <w:b/>
                <w:color w:val="FFFFFF"/>
                <w:sz w:val="19"/>
                <w:szCs w:val="19"/>
              </w:rPr>
              <w:t xml:space="preserve">Interpretación</w:t>
            </w:r>
          </w:p>
        </w:tc>
      </w:tr>
      <w:tr>
        <w:tc>
          <w:tcPr/>
          <w:p>
            <w:pPr>
              <w:pStyle w:val="Compact"/>
            </w:pPr>
            <w:r>
              <w:rPr>
                <w:rStyle w:val="VerbatimChar"/>
                <w:rFonts w:ascii="Verdana" w:hAnsi="Verdana" w:cs="Verdana" w:eastAsia="Verdana"/>
                <w:color w:val="222222"/>
                <w:sz w:val="18"/>
                <w:szCs w:val="18"/>
              </w:rPr>
              <w:t xml:space="preserve">ndvi_medio</w:t>
            </w:r>
          </w:p>
        </w:tc>
        <w:tc>
          <w:tcPr/>
          <w:p>
            <w:pPr>
              <w:pStyle w:val="Compact"/>
            </w:pPr>
            <w:r>
              <w:rPr>
                <w:rFonts w:ascii="Verdana" w:hAnsi="Verdana" w:cs="Verdana" w:eastAsia="Verdana"/>
                <w:color w:val="222222"/>
                <w:sz w:val="18"/>
                <w:szCs w:val="18"/>
              </w:rPr>
              <w:t xml:space="preserve">Copernicus Sentinel-2</w:t>
            </w:r>
          </w:p>
        </w:tc>
        <w:tc>
          <w:tcPr/>
          <w:p>
            <w:pPr>
              <w:pStyle w:val="Compact"/>
            </w:pPr>
            <w:r>
              <w:rPr>
                <w:rFonts w:ascii="Verdana" w:hAnsi="Verdana" w:cs="Verdana" w:eastAsia="Verdana"/>
                <w:color w:val="222222"/>
                <w:sz w:val="18"/>
                <w:szCs w:val="18"/>
              </w:rPr>
              <w:t xml:space="preserve">Atractivo natural / vegetación</w:t>
            </w:r>
          </w:p>
        </w:tc>
      </w:tr>
      <w:tr>
        <w:tc>
          <w:tcPr>
            <w:shd w:fill="F9FAFB"/>
          </w:tcPr>
          <w:p>
            <w:pPr>
              <w:pStyle w:val="Compact"/>
            </w:pPr>
            <w:r>
              <w:rPr>
                <w:rStyle w:val="VerbatimChar"/>
                <w:rFonts w:ascii="Verdana" w:hAnsi="Verdana" w:cs="Verdana" w:eastAsia="Verdana"/>
                <w:color w:val="222222"/>
                <w:sz w:val="18"/>
                <w:szCs w:val="18"/>
              </w:rPr>
              <w:t xml:space="preserve">ndbi_medio</w:t>
            </w:r>
          </w:p>
        </w:tc>
        <w:tc>
          <w:tcPr>
            <w:shd w:fill="F9FAFB"/>
          </w:tcPr>
          <w:p>
            <w:pPr>
              <w:pStyle w:val="Compact"/>
            </w:pPr>
            <w:r>
              <w:rPr>
                <w:rFonts w:ascii="Verdana" w:hAnsi="Verdana" w:cs="Verdana" w:eastAsia="Verdana"/>
                <w:color w:val="222222"/>
                <w:sz w:val="18"/>
                <w:szCs w:val="18"/>
              </w:rPr>
              <w:t xml:space="preserve">Copernicus Sentinel-2</w:t>
            </w:r>
          </w:p>
        </w:tc>
        <w:tc>
          <w:tcPr>
            <w:shd w:fill="F9FAFB"/>
          </w:tcPr>
          <w:p>
            <w:pPr>
              <w:pStyle w:val="Compact"/>
            </w:pPr>
            <w:r>
              <w:rPr>
                <w:rFonts w:ascii="Verdana" w:hAnsi="Verdana" w:cs="Verdana" w:eastAsia="Verdana"/>
                <w:color w:val="222222"/>
                <w:sz w:val="18"/>
                <w:szCs w:val="18"/>
              </w:rPr>
              <w:t xml:space="preserve">Grado de urbanización</w:t>
            </w:r>
          </w:p>
        </w:tc>
      </w:tr>
      <w:tr>
        <w:tc>
          <w:tcPr/>
          <w:p>
            <w:pPr>
              <w:pStyle w:val="Compact"/>
            </w:pPr>
            <w:r>
              <w:rPr>
                <w:rStyle w:val="VerbatimChar"/>
                <w:rFonts w:ascii="Verdana" w:hAnsi="Verdana" w:cs="Verdana" w:eastAsia="Verdana"/>
                <w:color w:val="222222"/>
                <w:sz w:val="18"/>
                <w:szCs w:val="18"/>
              </w:rPr>
              <w:t xml:space="preserve">viirs_medio</w:t>
            </w:r>
          </w:p>
        </w:tc>
        <w:tc>
          <w:tcPr/>
          <w:p>
            <w:pPr>
              <w:pStyle w:val="Compact"/>
            </w:pPr>
            <w:r>
              <w:rPr>
                <w:rFonts w:ascii="Verdana" w:hAnsi="Verdana" w:cs="Verdana" w:eastAsia="Verdana"/>
                <w:color w:val="222222"/>
                <w:sz w:val="18"/>
                <w:szCs w:val="18"/>
              </w:rPr>
              <w:t xml:space="preserve">VIIRS (luces nocturnas)</w:t>
            </w:r>
          </w:p>
        </w:tc>
        <w:tc>
          <w:tcPr/>
          <w:p>
            <w:pPr>
              <w:pStyle w:val="Compact"/>
            </w:pPr>
            <w:r>
              <w:rPr>
                <w:rFonts w:ascii="Verdana" w:hAnsi="Verdana" w:cs="Verdana" w:eastAsia="Verdana"/>
                <w:color w:val="222222"/>
                <w:sz w:val="18"/>
                <w:szCs w:val="18"/>
              </w:rPr>
              <w:t xml:space="preserve">Actividad económica actual</w:t>
            </w:r>
          </w:p>
        </w:tc>
      </w:tr>
      <w:tr>
        <w:tc>
          <w:tcPr>
            <w:shd w:fill="F9FAFB"/>
          </w:tcPr>
          <w:p>
            <w:pPr>
              <w:pStyle w:val="Compact"/>
            </w:pPr>
            <w:r>
              <w:rPr>
                <w:rStyle w:val="VerbatimChar"/>
                <w:rFonts w:ascii="Verdana" w:hAnsi="Verdana" w:cs="Verdana" w:eastAsia="Verdana"/>
                <w:color w:val="222222"/>
                <w:sz w:val="18"/>
                <w:szCs w:val="18"/>
              </w:rPr>
              <w:t xml:space="preserve">elevation_mean</w:t>
            </w:r>
          </w:p>
        </w:tc>
        <w:tc>
          <w:tcPr>
            <w:shd w:fill="F9FAFB"/>
          </w:tcPr>
          <w:p>
            <w:pPr>
              <w:pStyle w:val="Compact"/>
            </w:pPr>
            <w:r>
              <w:rPr>
                <w:rFonts w:ascii="Verdana" w:hAnsi="Verdana" w:cs="Verdana" w:eastAsia="Verdana"/>
                <w:color w:val="222222"/>
                <w:sz w:val="18"/>
                <w:szCs w:val="18"/>
              </w:rPr>
              <w:t xml:space="preserve">MDT Tenerife</w:t>
            </w:r>
          </w:p>
        </w:tc>
        <w:tc>
          <w:tcPr>
            <w:shd w:fill="F9FAFB"/>
          </w:tcPr>
          <w:p>
            <w:pPr>
              <w:pStyle w:val="Compact"/>
            </w:pPr>
            <w:r>
              <w:rPr>
                <w:rFonts w:ascii="Verdana" w:hAnsi="Verdana" w:cs="Verdana" w:eastAsia="Verdana"/>
                <w:color w:val="222222"/>
                <w:sz w:val="18"/>
                <w:szCs w:val="18"/>
              </w:rPr>
              <w:t xml:space="preserve">Altitud (barrera de acceso)</w:t>
            </w:r>
          </w:p>
        </w:tc>
      </w:tr>
      <w:tr>
        <w:tc>
          <w:tcPr/>
          <w:p>
            <w:pPr>
              <w:pStyle w:val="Compact"/>
            </w:pPr>
            <w:r>
              <w:rPr>
                <w:rStyle w:val="VerbatimChar"/>
                <w:rFonts w:ascii="Verdana" w:hAnsi="Verdana" w:cs="Verdana" w:eastAsia="Verdana"/>
                <w:color w:val="222222"/>
                <w:sz w:val="18"/>
                <w:szCs w:val="18"/>
              </w:rPr>
              <w:t xml:space="preserve">slope_mean</w:t>
            </w:r>
          </w:p>
        </w:tc>
        <w:tc>
          <w:tcPr/>
          <w:p>
            <w:pPr>
              <w:pStyle w:val="Compact"/>
            </w:pPr>
            <w:r>
              <w:rPr>
                <w:rFonts w:ascii="Verdana" w:hAnsi="Verdana" w:cs="Verdana" w:eastAsia="Verdana"/>
                <w:color w:val="222222"/>
                <w:sz w:val="18"/>
                <w:szCs w:val="18"/>
              </w:rPr>
              <w:t xml:space="preserve">MDT Tenerife</w:t>
            </w:r>
          </w:p>
        </w:tc>
        <w:tc>
          <w:tcPr/>
          <w:p>
            <w:pPr>
              <w:pStyle w:val="Compact"/>
            </w:pPr>
            <w:r>
              <w:rPr>
                <w:rFonts w:ascii="Verdana" w:hAnsi="Verdana" w:cs="Verdana" w:eastAsia="Verdana"/>
                <w:color w:val="222222"/>
                <w:sz w:val="18"/>
                <w:szCs w:val="18"/>
              </w:rPr>
              <w:t xml:space="preserve">Pendiente (dificultad constructiva)</w:t>
            </w:r>
          </w:p>
        </w:tc>
      </w:tr>
      <w:tr>
        <w:tc>
          <w:tcPr>
            <w:shd w:fill="F9FAFB"/>
          </w:tcPr>
          <w:p>
            <w:pPr>
              <w:pStyle w:val="Compact"/>
            </w:pPr>
            <w:r>
              <w:rPr>
                <w:rStyle w:val="VerbatimChar"/>
                <w:rFonts w:ascii="Verdana" w:hAnsi="Verdana" w:cs="Verdana" w:eastAsia="Verdana"/>
                <w:color w:val="222222"/>
                <w:sz w:val="18"/>
                <w:szCs w:val="18"/>
              </w:rPr>
              <w:t xml:space="preserve">sentimiento_medio</w:t>
            </w:r>
          </w:p>
        </w:tc>
        <w:tc>
          <w:tcPr>
            <w:shd w:fill="F9FAFB"/>
          </w:tcPr>
          <w:p>
            <w:pPr>
              <w:pStyle w:val="Compact"/>
            </w:pPr>
            <w:r>
              <w:rPr>
                <w:rFonts w:ascii="Verdana" w:hAnsi="Verdana" w:cs="Verdana" w:eastAsia="Verdana"/>
                <w:color w:val="222222"/>
                <w:sz w:val="18"/>
                <w:szCs w:val="18"/>
              </w:rPr>
              <w:t xml:space="preserve">NLP Booking + TripAdvisor</w:t>
            </w:r>
          </w:p>
        </w:tc>
        <w:tc>
          <w:tcPr>
            <w:shd w:fill="F9FAFB"/>
          </w:tcPr>
          <w:p>
            <w:pPr>
              <w:pStyle w:val="Compact"/>
            </w:pPr>
            <w:r>
              <w:rPr>
                <w:rFonts w:ascii="Verdana" w:hAnsi="Verdana" w:cs="Verdana" w:eastAsia="Verdana"/>
                <w:color w:val="222222"/>
                <w:sz w:val="18"/>
                <w:szCs w:val="18"/>
              </w:rPr>
              <w:t xml:space="preserve">Reputación percibida por zona</w:t>
            </w:r>
          </w:p>
        </w:tc>
      </w:tr>
      <w:tr>
        <w:tc>
          <w:tcPr/>
          <w:p>
            <w:pPr>
              <w:pStyle w:val="Compact"/>
            </w:pPr>
            <w:r>
              <w:rPr>
                <w:rStyle w:val="VerbatimChar"/>
                <w:rFonts w:ascii="Verdana" w:hAnsi="Verdana" w:cs="Verdana" w:eastAsia="Verdana"/>
                <w:color w:val="222222"/>
                <w:sz w:val="18"/>
                <w:szCs w:val="18"/>
              </w:rPr>
              <w:t xml:space="preserve">tiempo_aeropuerto_min</w:t>
            </w:r>
          </w:p>
        </w:tc>
        <w:tc>
          <w:tcPr/>
          <w:p>
            <w:pPr>
              <w:pStyle w:val="Compact"/>
            </w:pPr>
            <w:r>
              <w:rPr>
                <w:rFonts w:ascii="Verdana" w:hAnsi="Verdana" w:cs="Verdana" w:eastAsia="Verdana"/>
                <w:color w:val="222222"/>
                <w:sz w:val="18"/>
                <w:szCs w:val="18"/>
              </w:rPr>
              <w:t xml:space="preserve">ORS Matrix</w:t>
            </w:r>
          </w:p>
        </w:tc>
        <w:tc>
          <w:tcPr/>
          <w:p>
            <w:pPr>
              <w:pStyle w:val="Compact"/>
            </w:pPr>
            <w:r>
              <w:rPr>
                <w:rFonts w:ascii="Verdana" w:hAnsi="Verdana" w:cs="Verdana" w:eastAsia="Verdana"/>
                <w:color w:val="222222"/>
                <w:sz w:val="18"/>
                <w:szCs w:val="18"/>
              </w:rPr>
              <w:t xml:space="preserve">Accesibilidad desde el punto de entrada</w:t>
            </w:r>
          </w:p>
        </w:tc>
      </w:tr>
      <w:tr>
        <w:tc>
          <w:tcPr>
            <w:shd w:fill="F9FAFB"/>
          </w:tcPr>
          <w:p>
            <w:pPr>
              <w:pStyle w:val="Compact"/>
            </w:pPr>
            <w:r>
              <w:rPr>
                <w:rStyle w:val="VerbatimChar"/>
                <w:rFonts w:ascii="Verdana" w:hAnsi="Verdana" w:cs="Verdana" w:eastAsia="Verdana"/>
                <w:color w:val="222222"/>
                <w:sz w:val="18"/>
                <w:szCs w:val="18"/>
              </w:rPr>
              <w:t xml:space="preserve">dist_parada_cercana_m</w:t>
            </w:r>
          </w:p>
        </w:tc>
        <w:tc>
          <w:tcPr>
            <w:shd w:fill="F9FAFB"/>
          </w:tcPr>
          <w:p>
            <w:pPr>
              <w:pStyle w:val="Compact"/>
            </w:pPr>
            <w:r>
              <w:rPr>
                <w:rFonts w:ascii="Verdana" w:hAnsi="Verdana" w:cs="Verdana" w:eastAsia="Verdana"/>
                <w:color w:val="222222"/>
                <w:sz w:val="18"/>
                <w:szCs w:val="18"/>
              </w:rPr>
              <w:t xml:space="preserve">GTFS TITSA</w:t>
            </w:r>
          </w:p>
        </w:tc>
        <w:tc>
          <w:tcPr>
            <w:shd w:fill="F9FAFB"/>
          </w:tcPr>
          <w:p>
            <w:pPr>
              <w:pStyle w:val="Compact"/>
            </w:pPr>
            <w:r>
              <w:rPr>
                <w:rFonts w:ascii="Verdana" w:hAnsi="Verdana" w:cs="Verdana" w:eastAsia="Verdana"/>
                <w:color w:val="222222"/>
                <w:sz w:val="18"/>
                <w:szCs w:val="18"/>
              </w:rPr>
              <w:t xml:space="preserve">Accesibilidad sin coche</w:t>
            </w:r>
          </w:p>
        </w:tc>
      </w:tr>
      <w:tr>
        <w:tc>
          <w:tcPr/>
          <w:p>
            <w:pPr>
              <w:pStyle w:val="Compact"/>
            </w:pPr>
            <w:r>
              <w:rPr>
                <w:rStyle w:val="VerbatimChar"/>
                <w:rFonts w:ascii="Verdana" w:hAnsi="Verdana" w:cs="Verdana" w:eastAsia="Verdana"/>
                <w:color w:val="222222"/>
                <w:sz w:val="18"/>
                <w:szCs w:val="18"/>
              </w:rPr>
              <w:t xml:space="preserve">n_pois_total</w:t>
            </w:r>
          </w:p>
        </w:tc>
        <w:tc>
          <w:tcPr/>
          <w:p>
            <w:pPr>
              <w:pStyle w:val="Compact"/>
            </w:pPr>
            <w:r>
              <w:rPr>
                <w:rFonts w:ascii="Verdana" w:hAnsi="Verdana" w:cs="Verdana" w:eastAsia="Verdana"/>
                <w:color w:val="222222"/>
                <w:sz w:val="18"/>
                <w:szCs w:val="18"/>
              </w:rPr>
              <w:t xml:space="preserve">OSM + IDECanarias</w:t>
            </w:r>
          </w:p>
        </w:tc>
        <w:tc>
          <w:tcPr/>
          <w:p>
            <w:pPr>
              <w:pStyle w:val="Compact"/>
            </w:pPr>
            <w:r>
              <w:rPr>
                <w:rFonts w:ascii="Verdana" w:hAnsi="Verdana" w:cs="Verdana" w:eastAsia="Verdana"/>
                <w:color w:val="222222"/>
                <w:sz w:val="18"/>
                <w:szCs w:val="18"/>
              </w:rPr>
              <w:t xml:space="preserve">Riqueza de oferta complementaria</w:t>
            </w:r>
          </w:p>
        </w:tc>
      </w:tr>
      <w:tr>
        <w:tc>
          <w:tcPr>
            <w:shd w:fill="F9FAFB"/>
          </w:tcPr>
          <w:p>
            <w:pPr>
              <w:pStyle w:val="Compact"/>
            </w:pPr>
            <w:r>
              <w:rPr>
                <w:rStyle w:val="VerbatimChar"/>
                <w:rFonts w:ascii="Verdana" w:hAnsi="Verdana" w:cs="Verdana" w:eastAsia="Verdana"/>
                <w:color w:val="222222"/>
                <w:sz w:val="18"/>
                <w:szCs w:val="18"/>
              </w:rPr>
              <w:t xml:space="preserve">dist_costa_metros</w:t>
            </w:r>
          </w:p>
        </w:tc>
        <w:tc>
          <w:tcPr>
            <w:shd w:fill="F9FAFB"/>
          </w:tcPr>
          <w:p>
            <w:pPr>
              <w:pStyle w:val="Compact"/>
            </w:pPr>
            <w:r>
              <w:rPr>
                <w:rFonts w:ascii="Verdana" w:hAnsi="Verdana" w:cs="Verdana" w:eastAsia="Verdana"/>
                <w:color w:val="222222"/>
                <w:sz w:val="18"/>
                <w:szCs w:val="18"/>
              </w:rPr>
              <w:t xml:space="preserve">PostGIS + límites municipales</w:t>
            </w:r>
          </w:p>
        </w:tc>
        <w:tc>
          <w:tcPr>
            <w:shd w:fill="F9FAFB"/>
          </w:tcPr>
          <w:p>
            <w:pPr>
              <w:pStyle w:val="Compact"/>
            </w:pPr>
            <w:r>
              <w:rPr>
                <w:rFonts w:ascii="Verdana" w:hAnsi="Verdana" w:cs="Verdana" w:eastAsia="Verdana"/>
                <w:color w:val="222222"/>
                <w:sz w:val="18"/>
                <w:szCs w:val="18"/>
              </w:rPr>
              <w:t xml:space="preserve">Prima de valor litoral</w:t>
            </w:r>
          </w:p>
        </w:tc>
      </w:tr>
    </w:tbl>
    <w:p>
      <w:pPr>
        <w:pStyle w:val="BodyText"/>
        <w:spacing w:line="276" w:lineRule="auto" w:after="100"/>
        <w:jc w:val="both"/>
      </w:pPr>
      <w:r>
        <w:rPr>
          <w:b/>
          <w:bCs/>
          <w:rFonts w:ascii="Verdana" w:hAnsi="Verdana" w:cs="Verdana" w:eastAsia="Verdana"/>
          <w:color w:val="222222"/>
          <w:sz w:val="20"/>
          <w:szCs w:val="20"/>
        </w:rPr>
        <w:t xml:space="preserve">Variable 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densidad de plazas hoteleras por km² (</w:t>
      </w:r>
      <w:r>
        <w:rPr>
          <w:rStyle w:val="VerbatimChar"/>
          <w:rFonts w:ascii="Verdana" w:hAnsi="Verdana" w:cs="Verdana" w:eastAsia="Verdana"/>
          <w:color w:val="222222"/>
          <w:sz w:val="20"/>
          <w:szCs w:val="20"/>
        </w:rPr>
        <w:t xml:space="preserve">n_plazas_registro / area_km2</w:t>
      </w:r>
      <w:r>
        <w:rPr>
          <w:rFonts w:ascii="Verdana" w:hAnsi="Verdana" w:cs="Verdana" w:eastAsia="Verdana"/>
          <w:color w:val="222222"/>
          <w:sz w:val="20"/>
          <w:szCs w:val="20"/>
        </w:rPr>
        <w:t xml:space="preserve">), procedente del registro oficial de establecimientos.</w:t>
      </w:r>
    </w:p>
    <w:p>
      <w:pPr>
        <w:pStyle w:val="BodyText"/>
        <w:spacing w:line="276" w:lineRule="auto" w:after="100"/>
        <w:jc w:val="both"/>
      </w:pPr>
      <w:r>
        <w:rPr>
          <w:b/>
          <w:bCs/>
          <w:rFonts w:ascii="Verdana" w:hAnsi="Verdana" w:cs="Verdana" w:eastAsia="Verdana"/>
          <w:color w:val="222222"/>
          <w:sz w:val="20"/>
          <w:szCs w:val="20"/>
        </w:rPr>
        <w:t xml:space="preserve">Índice ESG Territorial:</w:t>
      </w:r>
    </w:p>
    <w:p>
      <w:pPr>
        <w:pStyle w:val="BodyText"/>
        <w:spacing w:line="276" w:lineRule="auto" w:after="100"/>
        <w:jc w:val="both"/>
      </w:pPr>
      <w:r>
        <w:rPr>
          <w:rFonts w:ascii="Verdana" w:hAnsi="Verdana" w:cs="Verdana" w:eastAsia="Verdana"/>
          <w:color w:val="222222"/>
          <w:sz w:val="20"/>
          <w:szCs w:val="20"/>
        </w:rPr>
        <w:t xml:space="preserve">Complementando el PTNA, se calcula un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score de sostenibilidad</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(0–100) que evalúa cada hexágono en tres dimensiones:</w:t>
      </w:r>
    </w:p>
    <w:p>
      <w:pPr>
        <w:pStyle w:val="Compact"/>
        <w:numPr>
          <w:ilvl w:val="0"/>
          <w:numId w:val="1009"/>
        </w:numPr>
        <w:spacing w:line="276" w:lineRule="auto" w:after="100"/>
        <w:jc w:val="both"/>
      </w:pPr>
      <w:r>
        <w:rPr>
          <w:b/>
          <w:bCs/>
          <w:rFonts w:ascii="Verdana" w:hAnsi="Verdana" w:cs="Verdana" w:eastAsia="Verdana"/>
          <w:color w:val="222222"/>
          <w:sz w:val="20"/>
          <w:szCs w:val="20"/>
        </w:rPr>
        <w:t xml:space="preserve">[E] Medioambiental (40%):</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NDVI alto (+), luminosidad nocturna VIIRS baja (+), % área protegida ENP moderado (+)</w:t>
      </w:r>
    </w:p>
    <w:p>
      <w:pPr>
        <w:pStyle w:val="Compact"/>
        <w:numPr>
          <w:ilvl w:val="0"/>
          <w:numId w:val="1009"/>
        </w:numPr>
        <w:spacing w:line="276" w:lineRule="auto" w:after="100"/>
        <w:jc w:val="both"/>
      </w:pPr>
      <w:r>
        <w:rPr>
          <w:b/>
          <w:bCs/>
          <w:rFonts w:ascii="Verdana" w:hAnsi="Verdana" w:cs="Verdana" w:eastAsia="Verdana"/>
          <w:color w:val="222222"/>
          <w:sz w:val="20"/>
          <w:szCs w:val="20"/>
        </w:rPr>
        <w:t xml:space="preserve">[S] Social (40%):</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baja densidad de plazas (+), alta conectividad de transporte público (+), bajo sentimiento de saturación/ruido (+)</w:t>
      </w:r>
    </w:p>
    <w:p>
      <w:pPr>
        <w:pStyle w:val="Compact"/>
        <w:numPr>
          <w:ilvl w:val="0"/>
          <w:numId w:val="1009"/>
        </w:numPr>
        <w:spacing w:line="276" w:lineRule="auto" w:after="100"/>
        <w:jc w:val="both"/>
      </w:pPr>
      <w:r>
        <w:rPr>
          <w:b/>
          <w:bCs/>
          <w:rFonts w:ascii="Verdana" w:hAnsi="Verdana" w:cs="Verdana" w:eastAsia="Verdana"/>
          <w:color w:val="222222"/>
          <w:sz w:val="20"/>
          <w:szCs w:val="20"/>
        </w:rPr>
        <w:t xml:space="preserve">[G] Gobernanza (20%):</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ratio de alojamiento reglado (hoteles) vs. no reglado (viviendas vacacionales) alto (+)</w:t>
      </w:r>
    </w:p>
    <w:p>
      <w:pPr>
        <w:pStyle w:val="FirstParagraph"/>
        <w:spacing w:line="276" w:lineRule="auto" w:after="100"/>
        <w:jc w:val="both"/>
      </w:pPr>
      <w:r>
        <w:rPr>
          <w:rFonts w:ascii="Verdana" w:hAnsi="Verdana" w:cs="Verdana" w:eastAsia="Verdana"/>
          <w:color w:val="222222"/>
          <w:sz w:val="20"/>
          <w:szCs w:val="20"/>
        </w:rPr>
        <w:t xml:space="preserve">Un hexágono con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PTNA &gt; 0 y ESG_score &gt; 80</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es el «santo grial» de la inversión para TUI: zona con potencial de desarrollo y perfil sostenible, alineada con la estrategia de turismo regenerativo de Canarias (RegNext, 2025). Los resultados del modelo MGWR y el mapa de PTNA/ESG se incluyen en el</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Anexo F</w:t>
      </w:r>
      <w:r>
        <w:rPr>
          <w:rFonts w:ascii="Verdana" w:hAnsi="Verdana" w:cs="Verdana" w:eastAsia="Verdana"/>
          <w:color w:val="222222"/>
          <w:sz w:val="20"/>
          <w:szCs w:val="20"/>
        </w:rPr>
        <w:t xml:space="preserve">.</w:t>
      </w:r>
    </w:p>
    <w:bookmarkEnd w:id="33"/>
    <w:bookmarkStart w:id="34" w:name="Xe729713e0b5c0787fd41e0dc8185772493f507d"/>
    <w:p>
      <w:pPr>
        <w:pStyle w:val="Heading2"/>
        <w:keepNext/>
        <w:spacing w:line="276" w:lineRule="auto" w:before="200" w:after="60"/>
      </w:pPr>
      <w:r>
        <w:rPr>
          <w:rFonts w:ascii="Verdana" w:hAnsi="Verdana" w:cs="Verdana" w:eastAsia="Verdana"/>
          <w:b/>
          <w:color w:val="2E6E9E"/>
          <w:sz w:val="22"/>
          <w:szCs w:val="22"/>
        </w:rPr>
        <w:t xml:space="preserve">4.8. Evaluación comparativa de modelos: bondades, debilidades y métricas</w:t>
      </w:r>
    </w:p>
    <w:p>
      <w:pPr>
        <w:pStyle w:val="FirstParagraph"/>
        <w:spacing w:line="276" w:lineRule="auto" w:after="100"/>
        <w:jc w:val="both"/>
      </w:pPr>
      <w:r>
        <w:rPr>
          <w:rFonts w:ascii="Verdana" w:hAnsi="Verdana" w:cs="Verdana" w:eastAsia="Verdana"/>
          <w:color w:val="222222"/>
          <w:sz w:val="20"/>
          <w:szCs w:val="20"/>
        </w:rPr>
        <w:t xml:space="preserve">En coherencia con los estándares metodológicos de modelización del Máster, la selección de cada algoritmo se ha realizado mediante un análisis riguroso de alternativas, evaluando sus bondades operativas, debilidades inherentes y rendimiento cuantitativo:</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fill="1F497D"/>
          </w:tcPr>
          <w:p>
            <w:pPr>
              <w:pStyle w:val="Compact"/>
              <w:jc w:val="center"/>
            </w:pPr>
            <w:r>
              <w:rPr>
                <w:rFonts w:ascii="Verdana" w:hAnsi="Verdana" w:cs="Verdana" w:eastAsia="Verdana"/>
                <w:b/>
                <w:color w:val="FFFFFF"/>
                <w:sz w:val="19"/>
                <w:szCs w:val="19"/>
              </w:rPr>
              <w:t xml:space="preserve">Técnica / Algoritmo</w:t>
            </w:r>
          </w:p>
        </w:tc>
        <w:tc>
          <w:tcPr>
            <w:shd w:fill="1F497D"/>
          </w:tcPr>
          <w:p>
            <w:pPr>
              <w:pStyle w:val="Compact"/>
              <w:jc w:val="center"/>
            </w:pPr>
            <w:r>
              <w:rPr>
                <w:rFonts w:ascii="Verdana" w:hAnsi="Verdana" w:cs="Verdana" w:eastAsia="Verdana"/>
                <w:b/>
                <w:color w:val="FFFFFF"/>
                <w:sz w:val="19"/>
                <w:szCs w:val="19"/>
              </w:rPr>
              <w:t xml:space="preserve">Tarea de Negocio</w:t>
            </w:r>
          </w:p>
        </w:tc>
        <w:tc>
          <w:tcPr>
            <w:shd w:fill="1F497D"/>
          </w:tcPr>
          <w:p>
            <w:pPr>
              <w:pStyle w:val="Compact"/>
              <w:jc w:val="center"/>
            </w:pPr>
            <w:r>
              <w:rPr>
                <w:rFonts w:ascii="Verdana" w:hAnsi="Verdana" w:cs="Verdana" w:eastAsia="Verdana"/>
                <w:b/>
                <w:color w:val="FFFFFF"/>
                <w:sz w:val="19"/>
                <w:szCs w:val="19"/>
              </w:rPr>
              <w:t xml:space="preserve">Métricas Obtenidas</w:t>
            </w:r>
          </w:p>
        </w:tc>
        <w:tc>
          <w:tcPr>
            <w:shd w:fill="1F497D"/>
          </w:tcPr>
          <w:p>
            <w:pPr>
              <w:pStyle w:val="Compact"/>
              <w:jc w:val="center"/>
            </w:pPr>
            <w:r>
              <w:rPr>
                <w:rFonts w:ascii="Verdana" w:hAnsi="Verdana" w:cs="Verdana" w:eastAsia="Verdana"/>
                <w:b/>
                <w:color w:val="FFFFFF"/>
                <w:sz w:val="19"/>
                <w:szCs w:val="19"/>
              </w:rPr>
              <w:t xml:space="preserve">Bondades Principales</w:t>
            </w:r>
          </w:p>
        </w:tc>
        <w:tc>
          <w:tcPr>
            <w:shd w:fill="1F497D"/>
          </w:tcPr>
          <w:p>
            <w:pPr>
              <w:pStyle w:val="Compact"/>
              <w:jc w:val="center"/>
            </w:pPr>
            <w:r>
              <w:rPr>
                <w:rFonts w:ascii="Verdana" w:hAnsi="Verdana" w:cs="Verdana" w:eastAsia="Verdana"/>
                <w:b/>
                <w:color w:val="FFFFFF"/>
                <w:sz w:val="19"/>
                <w:szCs w:val="19"/>
              </w:rPr>
              <w:t xml:space="preserve">Debilidades / Riesgos Mitigados</w:t>
            </w:r>
          </w:p>
        </w:tc>
        <w:tc>
          <w:tcPr>
            <w:shd w:fill="1F497D"/>
          </w:tcPr>
          <w:p>
            <w:pPr>
              <w:pStyle w:val="Compact"/>
              <w:jc w:val="center"/>
            </w:pPr>
            <w:r>
              <w:rPr>
                <w:rFonts w:ascii="Verdana" w:hAnsi="Verdana" w:cs="Verdana" w:eastAsia="Verdana"/>
                <w:b/>
                <w:color w:val="FFFFFF"/>
                <w:sz w:val="19"/>
                <w:szCs w:val="19"/>
              </w:rPr>
              <w:t xml:space="preserve">Alternativa Descartada y Justificación</w:t>
            </w:r>
          </w:p>
        </w:tc>
      </w:tr>
      <w:tr>
        <w:tc>
          <w:tcPr/>
          <w:p>
            <w:pPr>
              <w:pStyle w:val="Compact"/>
            </w:pPr>
            <w:r>
              <w:rPr>
                <w:b/>
                <w:bCs/>
                <w:rFonts w:ascii="Verdana" w:hAnsi="Verdana" w:cs="Verdana" w:eastAsia="Verdana"/>
                <w:color w:val="222222"/>
                <w:sz w:val="18"/>
                <w:szCs w:val="18"/>
              </w:rPr>
              <w:t xml:space="preserve">XLM-RoBERTa + mDeBERTa</w:t>
            </w:r>
          </w:p>
        </w:tc>
        <w:tc>
          <w:tcPr/>
          <w:p>
            <w:pPr>
              <w:pStyle w:val="Compact"/>
            </w:pPr>
            <w:r>
              <w:rPr>
                <w:rFonts w:ascii="Verdana" w:hAnsi="Verdana" w:cs="Verdana" w:eastAsia="Verdana"/>
                <w:color w:val="222222"/>
                <w:sz w:val="18"/>
                <w:szCs w:val="18"/>
              </w:rPr>
              <w:t xml:space="preserve">Clasificación de polaridad y filtrado temático</w:t>
            </w:r>
          </w:p>
        </w:tc>
        <w:tc>
          <w:tcPr/>
          <w:p>
            <w:pPr>
              <w:pStyle w:val="Compact"/>
            </w:pPr>
            <w:r>
              <w:rPr>
                <w:rFonts w:ascii="Verdana" w:hAnsi="Verdana" w:cs="Verdana" w:eastAsia="Verdana"/>
                <w:color w:val="222222"/>
                <w:sz w:val="18"/>
                <w:szCs w:val="18"/>
              </w:rPr>
              <w:t xml:space="preserve">Macro-F1 = 0,82; Exactitud = 84,3 %</w:t>
            </w:r>
          </w:p>
        </w:tc>
        <w:tc>
          <w:tcPr/>
          <w:p>
            <w:pPr>
              <w:pStyle w:val="Compact"/>
            </w:pPr>
            <w:r>
              <w:rPr>
                <w:rFonts w:ascii="Verdana" w:hAnsi="Verdana" w:cs="Verdana" w:eastAsia="Verdana"/>
                <w:color w:val="222222"/>
                <w:sz w:val="18"/>
                <w:szCs w:val="18"/>
              </w:rPr>
              <w:t xml:space="preserve">Comprensión multilingüe nativa (ES/EN) y robustez ante jerga informal de redes sociales.</w:t>
            </w:r>
          </w:p>
        </w:tc>
        <w:tc>
          <w:tcPr/>
          <w:p>
            <w:pPr>
              <w:pStyle w:val="Compact"/>
            </w:pPr>
            <w:r>
              <w:rPr>
                <w:rFonts w:ascii="Verdana" w:hAnsi="Verdana" w:cs="Verdana" w:eastAsia="Verdana"/>
                <w:color w:val="222222"/>
                <w:sz w:val="18"/>
                <w:szCs w:val="18"/>
              </w:rPr>
              <w:t xml:space="preserve">Alto coste de cómputo en inferencia (mitigado mediante procesamiento por lotes de 32 textos).</w:t>
            </w:r>
          </w:p>
        </w:tc>
        <w:tc>
          <w:tcPr/>
          <w:p>
            <w:pPr>
              <w:pStyle w:val="Compact"/>
            </w:pPr>
            <w:r>
              <w:rPr>
                <w:i/>
                <w:iCs/>
                <w:rFonts w:ascii="Verdana" w:hAnsi="Verdana" w:cs="Verdana" w:eastAsia="Verdana"/>
                <w:color w:val="222222"/>
                <w:sz w:val="18"/>
                <w:szCs w:val="18"/>
              </w:rPr>
              <w:t xml:space="preserve">VADER / TextBlob:</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descartados por ser léxicos estáticos incapaces de capturar contexto semántico.</w:t>
            </w:r>
          </w:p>
        </w:tc>
      </w:tr>
      <w:tr>
        <w:tc>
          <w:tcPr>
            <w:shd w:fill="F9FAFB"/>
          </w:tcPr>
          <w:p>
            <w:pPr>
              <w:pStyle w:val="Compact"/>
            </w:pPr>
            <w:r>
              <w:rPr>
                <w:b/>
                <w:bCs/>
                <w:rFonts w:ascii="Verdana" w:hAnsi="Verdana" w:cs="Verdana" w:eastAsia="Verdana"/>
                <w:color w:val="222222"/>
                <w:sz w:val="18"/>
                <w:szCs w:val="18"/>
              </w:rPr>
              <w:t xml:space="preserve">BERTopic (c-TF-IDF)</w:t>
            </w:r>
          </w:p>
        </w:tc>
        <w:tc>
          <w:tcPr>
            <w:shd w:fill="F9FAFB"/>
          </w:tcPr>
          <w:p>
            <w:pPr>
              <w:pStyle w:val="Compact"/>
            </w:pPr>
            <w:r>
              <w:rPr>
                <w:rFonts w:ascii="Verdana" w:hAnsi="Verdana" w:cs="Verdana" w:eastAsia="Verdana"/>
                <w:color w:val="222222"/>
                <w:sz w:val="18"/>
                <w:szCs w:val="18"/>
              </w:rPr>
              <w:t xml:space="preserve">Modelado no supervisado de tópicos turísticos</w:t>
            </w:r>
          </w:p>
        </w:tc>
        <w:tc>
          <w:tcPr>
            <w:shd w:fill="F9FAFB"/>
          </w:tcPr>
          <w:p>
            <w:pPr>
              <w:pStyle w:val="Compact"/>
            </w:pPr>
            <w:r>
              <w:rPr>
                <w:rFonts w:ascii="Verdana" w:hAnsi="Verdana" w:cs="Verdana" w:eastAsia="Verdana"/>
                <w:color w:val="222222"/>
                <w:sz w:val="18"/>
                <w:szCs w:val="18"/>
              </w:rPr>
              <w:t xml:space="preserve">Coherencia semántica</w:t>
            </w:r>
            <w:r>
              <w:rPr>
                <w:rFonts w:ascii="Verdana" w:hAnsi="Verdana" w:cs="Verdana" w:eastAsia="Verdana"/>
                <w:color w:val="222222"/>
                <w:sz w:val="18"/>
                <w:szCs w:val="18"/>
              </w:rPr>
              <w:t xml:space="preserve"> </w:t>
            </w:r>
            <m:oMath>
              <m:sSub>
                <m:e>
                  <m:r>
                    <m:t>C</m:t>
                  </m:r>
                </m:e>
                <m:sub>
                  <m:r>
                    <m:t>v</m:t>
                  </m:r>
                </m:sub>
              </m:sSub>
              <m:r>
                <m:rPr>
                  <m:sty m:val="p"/>
                </m:rPr>
                <m:t>=</m:t>
              </m:r>
              <m:r>
                <m:t>0</m:t>
              </m:r>
              <m:r>
                <m:rPr>
                  <m:sty m:val="p"/>
                </m:rPr>
                <m:t>,</m:t>
              </m:r>
              <m:r>
                <m:t>61</m:t>
              </m:r>
            </m:oMath>
            <w:r>
              <w:rPr>
                <w:rFonts w:ascii="Verdana" w:hAnsi="Verdana" w:cs="Verdana" w:eastAsia="Verdana"/>
                <w:color w:val="222222"/>
                <w:sz w:val="18"/>
                <w:szCs w:val="18"/>
              </w:rPr>
              <w:t xml:space="preserve">; 14 tópicos globales</w:t>
            </w:r>
          </w:p>
        </w:tc>
        <w:tc>
          <w:tcPr>
            <w:shd w:fill="F9FAFB"/>
          </w:tcPr>
          <w:p>
            <w:pPr>
              <w:pStyle w:val="Compact"/>
            </w:pPr>
            <w:r>
              <w:rPr>
                <w:rFonts w:ascii="Verdana" w:hAnsi="Verdana" w:cs="Verdana" w:eastAsia="Verdana"/>
                <w:color w:val="222222"/>
                <w:sz w:val="18"/>
                <w:szCs w:val="18"/>
              </w:rPr>
              <w:t xml:space="preserve">Embeddings neuronales densos; no requiere fijar el vocabulario a priori.</w:t>
            </w:r>
          </w:p>
        </w:tc>
        <w:tc>
          <w:tcPr>
            <w:shd w:fill="F9FAFB"/>
          </w:tcPr>
          <w:p>
            <w:pPr>
              <w:pStyle w:val="Compact"/>
            </w:pPr>
            <w:r>
              <w:rPr>
                <w:rFonts w:ascii="Verdana" w:hAnsi="Verdana" w:cs="Verdana" w:eastAsia="Verdana"/>
                <w:color w:val="222222"/>
                <w:sz w:val="18"/>
                <w:szCs w:val="18"/>
              </w:rPr>
              <w:t xml:space="preserve">Inestabilidad en colecciones de texto muy cortas (mitigado uniendo hilos contextuales).</w:t>
            </w:r>
          </w:p>
        </w:tc>
        <w:tc>
          <w:tcPr>
            <w:shd w:fill="F9FAFB"/>
          </w:tcPr>
          <w:p>
            <w:pPr>
              <w:pStyle w:val="Compact"/>
            </w:pPr>
            <w:r>
              <w:rPr>
                <w:i/>
                <w:iCs/>
                <w:rFonts w:ascii="Verdana" w:hAnsi="Verdana" w:cs="Verdana" w:eastAsia="Verdana"/>
                <w:color w:val="222222"/>
                <w:sz w:val="18"/>
                <w:szCs w:val="18"/>
              </w:rPr>
              <w:t xml:space="preserve">LDA (Latent Dirichlet Allocation):</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descartado por su bajo rendimiento sobre textos cortos e informales.</w:t>
            </w:r>
          </w:p>
        </w:tc>
      </w:tr>
      <w:tr>
        <w:tc>
          <w:tcPr/>
          <w:p>
            <w:pPr>
              <w:pStyle w:val="Compact"/>
            </w:pPr>
            <w:r>
              <w:rPr>
                <w:b/>
                <w:bCs/>
                <w:rFonts w:ascii="Verdana" w:hAnsi="Verdana" w:cs="Verdana" w:eastAsia="Verdana"/>
                <w:color w:val="222222"/>
                <w:sz w:val="18"/>
                <w:szCs w:val="18"/>
              </w:rPr>
              <w:t xml:space="preserve">HDBSCAN</w:t>
            </w:r>
          </w:p>
        </w:tc>
        <w:tc>
          <w:tcPr/>
          <w:p>
            <w:pPr>
              <w:pStyle w:val="Compact"/>
            </w:pPr>
            <w:r>
              <w:rPr>
                <w:rFonts w:ascii="Verdana" w:hAnsi="Verdana" w:cs="Verdana" w:eastAsia="Verdana"/>
                <w:color w:val="222222"/>
                <w:sz w:val="18"/>
                <w:szCs w:val="18"/>
              </w:rPr>
              <w:t xml:space="preserve">Detección de clusters y tipologías de zonas</w:t>
            </w:r>
          </w:p>
        </w:tc>
        <w:tc>
          <w:tcPr/>
          <w:p>
            <w:pPr>
              <w:pStyle w:val="Compact"/>
            </w:pPr>
            <w:r>
              <w:rPr>
                <w:rFonts w:ascii="Verdana" w:hAnsi="Verdana" w:cs="Verdana" w:eastAsia="Verdana"/>
                <w:color w:val="222222"/>
                <w:sz w:val="18"/>
                <w:szCs w:val="18"/>
              </w:rPr>
              <w:t xml:space="preserve">DBCV = 0,43; Silhouette espacial = 0,58</w:t>
            </w:r>
          </w:p>
        </w:tc>
        <w:tc>
          <w:tcPr/>
          <w:p>
            <w:pPr>
              <w:pStyle w:val="Compact"/>
            </w:pPr>
            <w:r>
              <w:rPr>
                <w:rFonts w:ascii="Verdana" w:hAnsi="Verdana" w:cs="Verdana" w:eastAsia="Verdana"/>
                <w:color w:val="222222"/>
                <w:sz w:val="18"/>
                <w:szCs w:val="18"/>
              </w:rPr>
              <w:t xml:space="preserve">No asume formas esféricas; descubre densidad variable a lo largo de corredores; aísla ruido.</w:t>
            </w:r>
          </w:p>
        </w:tc>
        <w:tc>
          <w:tcPr/>
          <w:p>
            <w:pPr>
              <w:pStyle w:val="Compact"/>
            </w:pPr>
            <w:r>
              <w:rPr>
                <w:rFonts w:ascii="Verdana" w:hAnsi="Verdana" w:cs="Verdana" w:eastAsia="Verdana"/>
                <w:color w:val="222222"/>
                <w:sz w:val="18"/>
                <w:szCs w:val="18"/>
              </w:rPr>
              <w:t xml:space="preserve">Sensibilidad a los hiperparámetros</w:t>
            </w:r>
            <w:r>
              <w:rPr>
                <w:rFonts w:ascii="Verdana" w:hAnsi="Verdana" w:cs="Verdana" w:eastAsia="Verdana"/>
                <w:color w:val="222222"/>
                <w:sz w:val="18"/>
                <w:szCs w:val="18"/>
              </w:rPr>
              <w:t xml:space="preserve"> </w:t>
            </w:r>
            <w:r>
              <w:rPr>
                <w:rStyle w:val="VerbatimChar"/>
                <w:rFonts w:ascii="Verdana" w:hAnsi="Verdana" w:cs="Verdana" w:eastAsia="Verdana"/>
                <w:color w:val="222222"/>
                <w:sz w:val="18"/>
                <w:szCs w:val="18"/>
              </w:rPr>
              <w:t xml:space="preserve">min_cluster_size</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y</w:t>
            </w:r>
            <w:r>
              <w:rPr>
                <w:rFonts w:ascii="Verdana" w:hAnsi="Verdana" w:cs="Verdana" w:eastAsia="Verdana"/>
                <w:color w:val="222222"/>
                <w:sz w:val="18"/>
                <w:szCs w:val="18"/>
              </w:rPr>
              <w:t xml:space="preserve"> </w:t>
            </w:r>
            <w:r>
              <w:rPr>
                <w:rStyle w:val="VerbatimChar"/>
                <w:rFonts w:ascii="Verdana" w:hAnsi="Verdana" w:cs="Verdana" w:eastAsia="Verdana"/>
                <w:color w:val="222222"/>
                <w:sz w:val="18"/>
                <w:szCs w:val="18"/>
              </w:rPr>
              <w:t xml:space="preserve">min_samples</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(calibrados vía grid search).</w:t>
            </w:r>
          </w:p>
        </w:tc>
        <w:tc>
          <w:tcPr/>
          <w:p>
            <w:pPr>
              <w:pStyle w:val="Compact"/>
            </w:pPr>
            <w:r>
              <w:rPr>
                <w:i/>
                <w:iCs/>
                <w:rFonts w:ascii="Verdana" w:hAnsi="Verdana" w:cs="Verdana" w:eastAsia="Verdana"/>
                <w:color w:val="222222"/>
                <w:sz w:val="18"/>
                <w:szCs w:val="18"/>
              </w:rPr>
              <w:t xml:space="preserve">K-Means:</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descartado porque fuerza a asignar cada celda a un grupo y asume clústeres esféricos homogéneos.</w:t>
            </w:r>
          </w:p>
        </w:tc>
      </w:tr>
      <w:tr>
        <w:tc>
          <w:tcPr>
            <w:shd w:fill="F9FAFB"/>
          </w:tcPr>
          <w:p>
            <w:pPr>
              <w:pStyle w:val="Compact"/>
            </w:pPr>
            <w:r>
              <w:rPr>
                <w:b/>
                <w:bCs/>
                <w:rFonts w:ascii="Verdana" w:hAnsi="Verdana" w:cs="Verdana" w:eastAsia="Verdana"/>
                <w:color w:val="222222"/>
                <w:sz w:val="18"/>
                <w:szCs w:val="18"/>
              </w:rPr>
              <w:t xml:space="preserve">MGWR</w:t>
            </w:r>
          </w:p>
        </w:tc>
        <w:tc>
          <w:tcPr>
            <w:shd w:fill="F9FAFB"/>
          </w:tcPr>
          <w:p>
            <w:pPr>
              <w:pStyle w:val="Compact"/>
            </w:pPr>
            <w:r>
              <w:rPr>
                <w:rFonts w:ascii="Verdana" w:hAnsi="Verdana" w:cs="Verdana" w:eastAsia="Verdana"/>
                <w:color w:val="222222"/>
                <w:sz w:val="18"/>
                <w:szCs w:val="18"/>
              </w:rPr>
              <w:t xml:space="preserve">Modelado de determinantes espaciales y PTNA</w:t>
            </w:r>
          </w:p>
        </w:tc>
        <w:tc>
          <w:tcPr>
            <w:shd w:fill="F9FAFB"/>
          </w:tcPr>
          <w:p>
            <w:pPr>
              <w:pStyle w:val="Compact"/>
            </w:pPr>
            <m:oMath>
              <m:sSup>
                <m:e>
                  <m:r>
                    <m:t>R</m:t>
                  </m:r>
                </m:e>
                <m:sup>
                  <m:r>
                    <m:t>2</m:t>
                  </m:r>
                </m:sup>
              </m:sSup>
            </m:oMath>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local = 0,78 (frente a</w:t>
            </w:r>
            <w:r>
              <w:rPr>
                <w:rFonts w:ascii="Verdana" w:hAnsi="Verdana" w:cs="Verdana" w:eastAsia="Verdana"/>
                <w:color w:val="222222"/>
                <w:sz w:val="18"/>
                <w:szCs w:val="18"/>
              </w:rPr>
              <w:t xml:space="preserve"> </w:t>
            </w:r>
            <m:oMath>
              <m:sSup>
                <m:e>
                  <m:r>
                    <m:t>R</m:t>
                  </m:r>
                </m:e>
                <m:sup>
                  <m:r>
                    <m:t>2</m:t>
                  </m:r>
                </m:sup>
              </m:sSup>
              <m:r>
                <m:rPr>
                  <m:sty m:val="p"/>
                </m:rPr>
                <m:t>=</m:t>
              </m:r>
              <m:r>
                <m:t>0</m:t>
              </m:r>
              <m:r>
                <m:rPr>
                  <m:sty m:val="p"/>
                </m:rPr>
                <m:t>,</m:t>
              </m:r>
              <m:r>
                <m:t>42</m:t>
              </m:r>
            </m:oMath>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de OLS global);</w:t>
            </w:r>
            <w:r>
              <w:rPr>
                <w:rFonts w:ascii="Verdana" w:hAnsi="Verdana" w:cs="Verdana" w:eastAsia="Verdana"/>
                <w:color w:val="222222"/>
                <w:sz w:val="18"/>
                <w:szCs w:val="18"/>
              </w:rPr>
              <w:t xml:space="preserve"> </w:t>
            </w:r>
            <m:oMath>
              <m:r>
                <m:rPr>
                  <m:sty m:val="p"/>
                </m:rPr>
                <m:t>Δ</m:t>
              </m:r>
              <m:r>
                <m:rPr>
                  <m:nor/>
                  <m:sty m:val="p"/>
                </m:rPr>
                <m:t>AICc</m:t>
              </m:r>
              <m:r>
                <m:rPr>
                  <m:sty m:val="p"/>
                </m:rPr>
                <m:t>=</m:t>
              </m:r>
              <m:r>
                <m:rPr>
                  <m:sty m:val="p"/>
                </m:rPr>
                <m:t>−</m:t>
              </m:r>
              <m:r>
                <m:t>142</m:t>
              </m:r>
            </m:oMath>
          </w:p>
        </w:tc>
        <w:tc>
          <w:tcPr>
            <w:shd w:fill="F9FAFB"/>
          </w:tcPr>
          <w:p>
            <w:pPr>
              <w:pStyle w:val="Compact"/>
            </w:pPr>
            <w:r>
              <w:rPr>
                <w:rFonts w:ascii="Verdana" w:hAnsi="Verdana" w:cs="Verdana" w:eastAsia="Verdana"/>
                <w:color w:val="222222"/>
                <w:sz w:val="18"/>
                <w:szCs w:val="18"/>
              </w:rPr>
              <w:t xml:space="preserve">Resuelve la no-estacionariedad espacial; permite que cada factor opere a su propia escala geográfica.</w:t>
            </w:r>
          </w:p>
        </w:tc>
        <w:tc>
          <w:tcPr>
            <w:shd w:fill="F9FAFB"/>
          </w:tcPr>
          <w:p>
            <w:pPr>
              <w:pStyle w:val="Compact"/>
            </w:pPr>
            <w:r>
              <w:rPr>
                <w:rFonts w:ascii="Verdana" w:hAnsi="Verdana" w:cs="Verdana" w:eastAsia="Verdana"/>
                <w:color w:val="222222"/>
                <w:sz w:val="18"/>
                <w:szCs w:val="18"/>
              </w:rPr>
              <w:t xml:space="preserve">Complejidad computacional</w:t>
            </w:r>
            <w:r>
              <w:rPr>
                <w:rFonts w:ascii="Verdana" w:hAnsi="Verdana" w:cs="Verdana" w:eastAsia="Verdana"/>
                <w:color w:val="222222"/>
                <w:sz w:val="18"/>
                <w:szCs w:val="18"/>
              </w:rPr>
              <w:t xml:space="preserve"> </w:t>
            </w:r>
            <m:oMath>
              <m:r>
                <m:t>O</m:t>
              </m:r>
              <m:r>
                <m:rPr>
                  <m:sty m:val="p"/>
                </m:rPr>
                <m:t>(</m:t>
              </m:r>
              <m:sSup>
                <m:e>
                  <m:r>
                    <m:t>N</m:t>
                  </m:r>
                </m:e>
                <m:sup>
                  <m:r>
                    <m:t>2</m:t>
                  </m:r>
                </m:sup>
              </m:sSup>
              <m:r>
                <m:rPr>
                  <m:sty m:val="p"/>
                </m:rPr>
                <m:t>)</m:t>
              </m:r>
            </m:oMath>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y riesgo de colinealidad local (mitigado filtrando VIF &lt; 5).</w:t>
            </w:r>
          </w:p>
        </w:tc>
        <w:tc>
          <w:tcPr>
            <w:shd w:fill="F9FAFB"/>
          </w:tcPr>
          <w:p>
            <w:pPr>
              <w:pStyle w:val="Compact"/>
            </w:pPr>
            <w:r>
              <w:rPr>
                <w:i/>
                <w:iCs/>
                <w:rFonts w:ascii="Verdana" w:hAnsi="Verdana" w:cs="Verdana" w:eastAsia="Verdana"/>
                <w:color w:val="222222"/>
                <w:sz w:val="18"/>
                <w:szCs w:val="18"/>
              </w:rPr>
              <w:t xml:space="preserve">Regresión OLS global / AutoML plano:</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descartados por asumir erróneamente homogeneidad espacial en toda la isla.</w:t>
            </w:r>
          </w:p>
        </w:tc>
      </w:tr>
    </w:tbl>
    <w:p>
      <w:pPr>
        <w:spacing w:line="276" w:lineRule="auto" w:after="100"/>
        <w:jc w:val="both"/>
      </w:pPr>
      <w:r>
        <w:rPr>
          <w:rFonts w:ascii="Verdana" w:hAnsi="Verdana" w:cs="Verdana" w:eastAsia="Verdana"/>
          <w:color w:val="222222"/>
          <w:sz w:val="20"/>
          <w:szCs w:val="20"/>
        </w:rPr>
        <w:pict>
          <v:rect style="width:0;height:1.5pt" o:hralign="center" o:hrstd="t" o:hr="t"/>
        </w:pict>
      </w:r>
    </w:p>
    <w:bookmarkEnd w:id="34"/>
    <w:bookmarkEnd w:id="35"/>
    <w:bookmarkStart w:id="39" w:name="X7addda2731adbcc18ea631747f292bfb719a428"/>
    <w:p>
      <w:pPr>
        <w:pStyle w:val="Heading1"/>
        <w:keepNext/>
        <w:spacing w:line="276" w:lineRule="auto" w:before="280" w:after="80"/>
      </w:pPr>
      <w:r>
        <w:rPr>
          <w:rFonts w:ascii="Verdana" w:hAnsi="Verdana" w:cs="Verdana" w:eastAsia="Verdana"/>
          <w:b/>
          <w:color w:val="1F497D"/>
          <w:sz w:val="24"/>
          <w:szCs w:val="24"/>
        </w:rPr>
        <w:t xml:space="preserve">5. Integración de inteligencia artificial generativa (LLM)</w:t>
      </w:r>
    </w:p>
    <w:bookmarkStart w:id="36" w:name="Xfe4b381afdec70665a653f1746b8c2ae0fac5a4"/>
    <w:p>
      <w:pPr>
        <w:pStyle w:val="Heading2"/>
        <w:keepNext/>
        <w:spacing w:line="276" w:lineRule="auto" w:before="200" w:after="60"/>
      </w:pPr>
      <w:r>
        <w:rPr>
          <w:rFonts w:ascii="Verdana" w:hAnsi="Verdana" w:cs="Verdana" w:eastAsia="Verdana"/>
          <w:b/>
          <w:color w:val="2E6E9E"/>
          <w:sz w:val="22"/>
          <w:szCs w:val="22"/>
        </w:rPr>
        <w:t xml:space="preserve">5.1. De los datos al lenguaje: por qué un LLM en el pipeline</w:t>
      </w:r>
    </w:p>
    <w:p>
      <w:pPr>
        <w:pStyle w:val="FirstParagraph"/>
        <w:spacing w:line="276" w:lineRule="auto" w:after="100"/>
        <w:jc w:val="both"/>
      </w:pPr>
      <w:r>
        <w:rPr>
          <w:rFonts w:ascii="Verdana" w:hAnsi="Verdana" w:cs="Verdana" w:eastAsia="Verdana"/>
          <w:color w:val="222222"/>
          <w:sz w:val="20"/>
          <w:szCs w:val="20"/>
        </w:rPr>
        <w:t xml:space="preserve">Los análisis de las secciones anteriores producen tablas, rankings y mapas. Pero un directivo de TUI que consulta el dashboard a las 8 de la mañana no necesita leer una tabla de 70 columnas: necesita que alguien le diga, en tres párrafos, qué está pasando y qué puede hacer. Esa es la función del módulo LLM.</w:t>
      </w:r>
    </w:p>
    <w:p>
      <w:pPr>
        <w:pStyle w:val="BodyText"/>
        <w:spacing w:line="276" w:lineRule="auto" w:after="100"/>
        <w:jc w:val="both"/>
      </w:pPr>
      <w:r>
        <w:rPr>
          <w:b/>
          <w:bCs/>
          <w:rFonts w:ascii="Verdana" w:hAnsi="Verdana" w:cs="Verdana" w:eastAsia="Verdana"/>
          <w:color w:val="222222"/>
          <w:sz w:val="20"/>
          <w:szCs w:val="20"/>
        </w:rPr>
        <w:t xml:space="preserve">Groq</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se eligió frente a Azure OpenAI (requiere aprovisionar un recurso de pago propio) y frente a Ollama local (depende de que la VM esté encendida y tenga suficiente GPU) porque ofrece acceso gratuito a modelos de alto rendimiento vía API sin fricción de infraestructura. El modelo activo es</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openai/gpt-oss-120b</w:t>
      </w:r>
      <w:r>
        <w:rPr>
          <w:rFonts w:ascii="Verdana" w:hAnsi="Verdana" w:cs="Verdana" w:eastAsia="Verdana"/>
          <w:color w:val="222222"/>
          <w:sz w:val="20"/>
          <w:szCs w:val="20"/>
        </w:rPr>
        <w:t xml:space="preserve">, verificado contra la lista real de modelos disponibles en Groq antes de su integración.</w:t>
      </w:r>
    </w:p>
    <w:bookmarkEnd w:id="36"/>
    <w:bookmarkStart w:id="37" w:name="casos-de-uso-implementados"/>
    <w:p>
      <w:pPr>
        <w:pStyle w:val="Heading2"/>
        <w:keepNext/>
        <w:spacing w:line="276" w:lineRule="auto" w:before="200" w:after="60"/>
      </w:pPr>
      <w:r>
        <w:rPr>
          <w:rFonts w:ascii="Verdana" w:hAnsi="Verdana" w:cs="Verdana" w:eastAsia="Verdana"/>
          <w:b/>
          <w:color w:val="2E6E9E"/>
          <w:sz w:val="22"/>
          <w:szCs w:val="22"/>
        </w:rPr>
        <w:t xml:space="preserve">5.2. Casos de uso implementados</w:t>
      </w:r>
    </w:p>
    <w:p>
      <w:pPr>
        <w:pStyle w:val="FirstParagraph"/>
        <w:spacing w:line="276" w:lineRule="auto" w:after="100"/>
        <w:jc w:val="both"/>
      </w:pPr>
      <w:r>
        <w:rPr>
          <w:rFonts w:ascii="Verdana" w:hAnsi="Verdana" w:cs="Verdana" w:eastAsia="Verdana"/>
          <w:color w:val="222222"/>
          <w:sz w:val="20"/>
          <w:szCs w:val="20"/>
        </w:rPr>
        <w:t xml:space="preserve">Se han implementado dos generadores de informes narrativos:</w:t>
      </w:r>
    </w:p>
    <w:p>
      <w:pPr>
        <w:pStyle w:val="BodyText"/>
        <w:spacing w:line="276" w:lineRule="auto" w:after="100"/>
        <w:jc w:val="both"/>
      </w:pPr>
      <w:r>
        <w:rPr>
          <w:b/>
          <w:bCs/>
          <w:rFonts w:ascii="Verdana" w:hAnsi="Verdana" w:cs="Verdana" w:eastAsia="Verdana"/>
          <w:color w:val="222222"/>
          <w:sz w:val="20"/>
          <w:szCs w:val="20"/>
        </w:rPr>
        <w:t xml:space="preserve">Informe ejecutivo global (</w:t>
      </w:r>
      <w:r>
        <w:rPr>
          <w:rStyle w:val="VerbatimChar"/>
          <w:b/>
          <w:bCs/>
          <w:rFonts w:ascii="Verdana" w:hAnsi="Verdana" w:cs="Verdana" w:eastAsia="Verdana"/>
          <w:color w:val="222222"/>
          <w:sz w:val="20"/>
          <w:szCs w:val="20"/>
        </w:rPr>
        <w:t xml:space="preserve">report_generator.py</w:t>
      </w:r>
      <w:r>
        <w:rPr>
          <w:b/>
          <w:bCs/>
          <w:rFonts w:ascii="Verdana" w:hAnsi="Verdana" w:cs="Verdana" w:eastAsia="Verdana"/>
          <w:color w:val="222222"/>
          <w:sz w:val="20"/>
          <w:szCs w:val="20"/>
        </w:rPr>
        <w:t xml:space="preserve">):</w:t>
      </w:r>
    </w:p>
    <w:p>
      <w:pPr>
        <w:pStyle w:val="BodyText"/>
        <w:spacing w:line="276" w:lineRule="auto" w:after="100"/>
        <w:jc w:val="both"/>
      </w:pPr>
      <w:r>
        <w:rPr>
          <w:rFonts w:ascii="Verdana" w:hAnsi="Verdana" w:cs="Verdana" w:eastAsia="Verdana"/>
          <w:color w:val="222222"/>
          <w:sz w:val="20"/>
          <w:szCs w:val="20"/>
        </w:rPr>
        <w:t xml:space="preserve">El script extrae de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gold.nlp_topics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los tópicos más frecuentes detectados por BERTopic en YouTube (desde 2022) y LosViajeros, construye un prompt estructurado donde el LLM actúa como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“analista senior de turismo de TUI”</w:t>
      </w:r>
      <w:r>
        <w:rPr>
          <w:rFonts w:ascii="Verdana" w:hAnsi="Verdana" w:cs="Verdana" w:eastAsia="Verdana"/>
          <w:color w:val="222222"/>
          <w:sz w:val="20"/>
          <w:szCs w:val="20"/>
        </w:rPr>
        <w:t xml:space="preserve">, y genera automáticamente un informe de tres párrafos que resume: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1. La percepción general de Tenerife como destino turístico.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2. Los principales problemas mencionados por los visitantes.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3. Las oportunidades de mejora para TUI.</w:t>
      </w:r>
    </w:p>
    <w:p>
      <w:pPr>
        <w:pStyle w:val="BodyText"/>
        <w:spacing w:line="276" w:lineRule="auto" w:after="100"/>
        <w:jc w:val="both"/>
      </w:pPr>
      <w:r>
        <w:rPr>
          <w:rFonts w:ascii="Verdana" w:hAnsi="Verdana" w:cs="Verdana" w:eastAsia="Verdana"/>
          <w:color w:val="222222"/>
          <w:sz w:val="20"/>
          <w:szCs w:val="20"/>
        </w:rPr>
        <w:t xml:space="preserve">El informe resultante se guarda 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gold.nlp_informe_global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 se muestra en el dashboard con la fecha de generación y el número de comentarios analizados.</w:t>
      </w:r>
    </w:p>
    <w:p>
      <w:pPr>
        <w:pStyle w:val="BodyText"/>
        <w:spacing w:line="276" w:lineRule="auto" w:after="100"/>
        <w:jc w:val="both"/>
      </w:pPr>
      <w:r>
        <w:rPr>
          <w:b/>
          <w:bCs/>
          <w:rFonts w:ascii="Verdana" w:hAnsi="Verdana" w:cs="Verdana" w:eastAsia="Verdana"/>
          <w:color w:val="222222"/>
          <w:sz w:val="20"/>
          <w:szCs w:val="20"/>
        </w:rPr>
        <w:t xml:space="preserve">Informe de alojamiento por zona (</w:t>
      </w:r>
      <w:r>
        <w:rPr>
          <w:rStyle w:val="VerbatimChar"/>
          <w:b/>
          <w:bCs/>
          <w:rFonts w:ascii="Verdana" w:hAnsi="Verdana" w:cs="Verdana" w:eastAsia="Verdana"/>
          <w:color w:val="222222"/>
          <w:sz w:val="20"/>
          <w:szCs w:val="20"/>
        </w:rPr>
        <w:t xml:space="preserve">report_generator_alojamiento.py</w:t>
      </w:r>
      <w:r>
        <w:rPr>
          <w:b/>
          <w:bCs/>
          <w:rFonts w:ascii="Verdana" w:hAnsi="Verdana" w:cs="Verdana" w:eastAsia="Verdana"/>
          <w:color w:val="222222"/>
          <w:sz w:val="20"/>
          <w:szCs w:val="20"/>
        </w:rPr>
        <w:t xml:space="preserve">):</w:t>
      </w:r>
    </w:p>
    <w:p>
      <w:pPr>
        <w:pStyle w:val="BodyText"/>
        <w:spacing w:line="276" w:lineRule="auto" w:after="100"/>
        <w:jc w:val="both"/>
      </w:pPr>
      <w:r>
        <w:rPr>
          <w:rFonts w:ascii="Verdana" w:hAnsi="Verdana" w:cs="Verdana" w:eastAsia="Verdana"/>
          <w:color w:val="222222"/>
          <w:sz w:val="20"/>
          <w:szCs w:val="20"/>
        </w:rPr>
        <w:t xml:space="preserve">Cuando el usuario selecciona un municipio o hexágono en el mapa del dashboard, este módulo extrae los indicadores de alojamiento de esa zona —plazas, ocupación, ratings, comparativa con la media de la isla— y genera un párrafo ejecutivo contextualizado. El usuario obtiene un mini-informe de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“estado de la zona”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sin necesidad de interpretar números.</w:t>
      </w:r>
    </w:p>
    <w:bookmarkEnd w:id="37"/>
    <w:bookmarkStart w:id="38" w:name="control-de-calidad-del-texto-generado"/>
    <w:p>
      <w:pPr>
        <w:pStyle w:val="Heading2"/>
        <w:keepNext/>
        <w:spacing w:line="276" w:lineRule="auto" w:before="200" w:after="60"/>
      </w:pPr>
      <w:r>
        <w:rPr>
          <w:rFonts w:ascii="Verdana" w:hAnsi="Verdana" w:cs="Verdana" w:eastAsia="Verdana"/>
          <w:b/>
          <w:color w:val="2E6E9E"/>
          <w:sz w:val="22"/>
          <w:szCs w:val="22"/>
        </w:rPr>
        <w:t xml:space="preserve">5.3. Control de calidad del texto generado</w:t>
      </w:r>
    </w:p>
    <w:p>
      <w:pPr>
        <w:pStyle w:val="FirstParagraph"/>
        <w:spacing w:line="276" w:lineRule="auto" w:after="100"/>
        <w:jc w:val="both"/>
      </w:pPr>
      <w:r>
        <w:rPr>
          <w:rFonts w:ascii="Verdana" w:hAnsi="Verdana" w:cs="Verdana" w:eastAsia="Verdana"/>
          <w:color w:val="222222"/>
          <w:sz w:val="20"/>
          <w:szCs w:val="20"/>
        </w:rPr>
        <w:t xml:space="preserve">La calidad del texto generado por el LLM depende directamente de la calidad del prompt y del dato que se le proporciona. Las medidas implementadas son:</w:t>
      </w:r>
    </w:p>
    <w:p>
      <w:pPr>
        <w:pStyle w:val="Compact"/>
        <w:numPr>
          <w:ilvl w:val="0"/>
          <w:numId w:val="1010"/>
        </w:numPr>
        <w:spacing w:line="276" w:lineRule="auto" w:after="100"/>
        <w:jc w:val="both"/>
      </w:pPr>
      <w:r>
        <w:rPr>
          <w:b/>
          <w:bCs/>
          <w:rFonts w:ascii="Verdana" w:hAnsi="Verdana" w:cs="Verdana" w:eastAsia="Verdana"/>
          <w:color w:val="222222"/>
          <w:sz w:val="20"/>
          <w:szCs w:val="20"/>
        </w:rPr>
        <w:t xml:space="preserve">Prompt estructurado con rol definido: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el sistema indica al modelo que es un analista de turismo, qué formato debe usar y qué longitud de respuesta se espera.</w:t>
      </w:r>
    </w:p>
    <w:p>
      <w:pPr>
        <w:pStyle w:val="Compact"/>
        <w:numPr>
          <w:ilvl w:val="0"/>
          <w:numId w:val="1010"/>
        </w:numPr>
        <w:spacing w:line="276" w:lineRule="auto" w:after="100"/>
        <w:jc w:val="both"/>
      </w:pPr>
      <w:r>
        <w:rPr>
          <w:b/>
          <w:bCs/>
          <w:rFonts w:ascii="Verdana" w:hAnsi="Verdana" w:cs="Verdana" w:eastAsia="Verdana"/>
          <w:color w:val="222222"/>
          <w:sz w:val="20"/>
          <w:szCs w:val="20"/>
        </w:rPr>
        <w:t xml:space="preserve">Filtro temporal: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solo se incluyen comentarios de YouTube desde enero de 2022, eliminando opiniones previas al COVID-19 que ya no reflejan la situación actual.</w:t>
      </w:r>
    </w:p>
    <w:p>
      <w:pPr>
        <w:pStyle w:val="Compact"/>
        <w:numPr>
          <w:ilvl w:val="0"/>
          <w:numId w:val="1010"/>
        </w:numPr>
        <w:spacing w:line="276" w:lineRule="auto" w:after="100"/>
        <w:jc w:val="both"/>
      </w:pPr>
      <w:r>
        <w:rPr>
          <w:b/>
          <w:bCs/>
          <w:rFonts w:ascii="Verdana" w:hAnsi="Verdana" w:cs="Verdana" w:eastAsia="Verdana"/>
          <w:color w:val="222222"/>
          <w:sz w:val="20"/>
          <w:szCs w:val="20"/>
        </w:rPr>
        <w:t xml:space="preserve">Limpieza previa del corpus: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URLs, textos vacíos y comentarios con menos de 3 caracteres útiles se descartan antes de llegar al LLM.</w:t>
      </w:r>
    </w:p>
    <w:p>
      <w:pPr>
        <w:pStyle w:val="Compact"/>
        <w:numPr>
          <w:ilvl w:val="0"/>
          <w:numId w:val="1010"/>
        </w:numPr>
        <w:spacing w:line="276" w:lineRule="auto" w:after="100"/>
        <w:jc w:val="both"/>
      </w:pPr>
      <w:r>
        <w:rPr>
          <w:b/>
          <w:bCs/>
          <w:rFonts w:ascii="Verdana" w:hAnsi="Verdana" w:cs="Verdana" w:eastAsia="Verdana"/>
          <w:color w:val="222222"/>
          <w:sz w:val="20"/>
          <w:szCs w:val="20"/>
        </w:rPr>
        <w:t xml:space="preserve">Registro del modelo usado: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cada informe guarda el nombre del modelo LLM que lo generó, garantizando trazabilidad y facilitando la comparación si se cambia de modelo en el futuro.</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38"/>
    <w:bookmarkEnd w:id="39"/>
    <w:bookmarkStart w:id="45" w:name="X68e4e23ec99e54f8d2eb2d6b7af2666cdd64ac1"/>
    <w:p>
      <w:pPr>
        <w:pStyle w:val="Heading1"/>
        <w:keepNext/>
        <w:spacing w:line="276" w:lineRule="auto" w:before="280" w:after="80"/>
      </w:pPr>
      <w:r>
        <w:rPr>
          <w:rFonts w:ascii="Verdana" w:hAnsi="Verdana" w:cs="Verdana" w:eastAsia="Verdana"/>
          <w:b/>
          <w:color w:val="1F497D"/>
          <w:sz w:val="24"/>
          <w:szCs w:val="24"/>
        </w:rPr>
        <w:t xml:space="preserve">6. Productivización: tablero visual y simulador de decisiones</w:t>
      </w:r>
    </w:p>
    <w:bookmarkStart w:id="40" w:name="por-qué-streamlit"/>
    <w:p>
      <w:pPr>
        <w:pStyle w:val="Heading2"/>
        <w:keepNext/>
        <w:spacing w:line="276" w:lineRule="auto" w:before="200" w:after="60"/>
      </w:pPr>
      <w:r>
        <w:rPr>
          <w:rFonts w:ascii="Verdana" w:hAnsi="Verdana" w:cs="Verdana" w:eastAsia="Verdana"/>
          <w:b/>
          <w:color w:val="2E6E9E"/>
          <w:sz w:val="22"/>
          <w:szCs w:val="22"/>
        </w:rPr>
        <w:t xml:space="preserve">6.1. Por qué Streamlit</w:t>
      </w:r>
    </w:p>
    <w:p>
      <w:pPr>
        <w:pStyle w:val="FirstParagraph"/>
        <w:spacing w:line="276" w:lineRule="auto" w:after="100"/>
        <w:jc w:val="both"/>
      </w:pPr>
      <w:r>
        <w:rPr>
          <w:rFonts w:ascii="Verdana" w:hAnsi="Verdana" w:cs="Verdana" w:eastAsia="Verdana"/>
          <w:color w:val="222222"/>
          <w:sz w:val="20"/>
          <w:szCs w:val="20"/>
        </w:rPr>
        <w:t xml:space="preserve">El dashboard se construye con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Streamlit</w:t>
      </w:r>
      <w:r>
        <w:rPr>
          <w:rFonts w:ascii="Verdana" w:hAnsi="Verdana" w:cs="Verdana" w:eastAsia="Verdana"/>
          <w:color w:val="222222"/>
          <w:sz w:val="20"/>
          <w:szCs w:val="20"/>
        </w:rPr>
        <w:t xml:space="preserve">, una librería Python que permite convertir scripts de análisis en aplicaciones web interactivas sin necesidad de desarrollo frontend especializado. Las razones de esta elección:</w:t>
      </w:r>
    </w:p>
    <w:p>
      <w:pPr>
        <w:pStyle w:val="Compact"/>
        <w:numPr>
          <w:ilvl w:val="0"/>
          <w:numId w:val="1011"/>
        </w:numPr>
        <w:spacing w:line="276" w:lineRule="auto" w:after="100"/>
        <w:jc w:val="both"/>
      </w:pPr>
      <w:r>
        <w:rPr>
          <w:b/>
          <w:bCs/>
          <w:rFonts w:ascii="Verdana" w:hAnsi="Verdana" w:cs="Verdana" w:eastAsia="Verdana"/>
          <w:color w:val="222222"/>
          <w:sz w:val="20"/>
          <w:szCs w:val="20"/>
        </w:rPr>
        <w:t xml:space="preserve">Despliegue nativo en la VM Azure: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la misma máquina virtual que ejecuta Airflow y dbt puede servir el dashboard vía HTTP, sin infraestructura adicional.</w:t>
      </w:r>
    </w:p>
    <w:p>
      <w:pPr>
        <w:pStyle w:val="Compact"/>
        <w:numPr>
          <w:ilvl w:val="0"/>
          <w:numId w:val="1011"/>
        </w:numPr>
        <w:spacing w:line="276" w:lineRule="auto" w:after="100"/>
        <w:jc w:val="both"/>
      </w:pPr>
      <w:r>
        <w:rPr>
          <w:b/>
          <w:bCs/>
          <w:rFonts w:ascii="Verdana" w:hAnsi="Verdana" w:cs="Verdana" w:eastAsia="Verdana"/>
          <w:color w:val="222222"/>
          <w:sz w:val="20"/>
          <w:szCs w:val="20"/>
        </w:rPr>
        <w:t xml:space="preserve">Integración directa con PostgreSQL: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se conecta 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y las tablas Gold con una sola línea de conexión SQLAlchemy.</w:t>
      </w:r>
    </w:p>
    <w:p>
      <w:pPr>
        <w:pStyle w:val="Compact"/>
        <w:numPr>
          <w:ilvl w:val="0"/>
          <w:numId w:val="1011"/>
        </w:numPr>
        <w:spacing w:line="276" w:lineRule="auto" w:after="100"/>
        <w:jc w:val="both"/>
      </w:pPr>
      <w:r>
        <w:rPr>
          <w:b/>
          <w:bCs/>
          <w:rFonts w:ascii="Verdana" w:hAnsi="Verdana" w:cs="Verdana" w:eastAsia="Verdana"/>
          <w:color w:val="222222"/>
          <w:sz w:val="20"/>
          <w:szCs w:val="20"/>
        </w:rPr>
        <w:t xml:space="preserve">Interactividad sin JavaScript:</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filtros, selectores de KPI y controles del simulador se implementan en Python puro, accesibles para el equipo de desarrollo sin curva de aprendizaje adicional.</w:t>
      </w:r>
    </w:p>
    <w:p>
      <w:pPr>
        <w:pStyle w:val="Compact"/>
        <w:numPr>
          <w:ilvl w:val="0"/>
          <w:numId w:val="1011"/>
        </w:numPr>
        <w:spacing w:line="276" w:lineRule="auto" w:after="100"/>
        <w:jc w:val="both"/>
      </w:pPr>
      <w:r>
        <w:rPr>
          <w:b/>
          <w:bCs/>
          <w:rFonts w:ascii="Verdana" w:hAnsi="Verdana" w:cs="Verdana" w:eastAsia="Verdana"/>
          <w:color w:val="222222"/>
          <w:sz w:val="20"/>
          <w:szCs w:val="20"/>
        </w:rPr>
        <w:t xml:space="preserve">Actualización en tiempo real: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cada vez que un DAG de Airflow actualiza las tablas Gold, el dashboard refleja los nuevos datos sin necesidad de redespliegue.</w:t>
      </w:r>
    </w:p>
    <w:bookmarkEnd w:id="40"/>
    <w:bookmarkStart w:id="41" w:name="arquitectura-del-dashboard-por-capas"/>
    <w:p>
      <w:pPr>
        <w:pStyle w:val="Heading2"/>
        <w:keepNext/>
        <w:spacing w:line="276" w:lineRule="auto" w:before="200" w:after="60"/>
      </w:pPr>
      <w:r>
        <w:rPr>
          <w:rFonts w:ascii="Verdana" w:hAnsi="Verdana" w:cs="Verdana" w:eastAsia="Verdana"/>
          <w:b/>
          <w:color w:val="2E6E9E"/>
          <w:sz w:val="22"/>
          <w:szCs w:val="22"/>
        </w:rPr>
        <w:t xml:space="preserve">6.2. Arquitectura del dashboard por capas</w:t>
      </w:r>
    </w:p>
    <w:p>
      <w:pPr>
        <w:pStyle w:val="FirstParagraph"/>
        <w:spacing w:line="276" w:lineRule="auto" w:after="100"/>
        <w:jc w:val="both"/>
      </w:pPr>
      <w:r>
        <w:rPr>
          <w:rFonts w:ascii="Verdana" w:hAnsi="Verdana" w:cs="Verdana" w:eastAsia="Verdana"/>
          <w:color w:val="222222"/>
          <w:sz w:val="20"/>
          <w:szCs w:val="20"/>
        </w:rPr>
        <w:t xml:space="preserve">El dashboard se organiza en cuatro capas funcionales accesibles desde la barra lateral de navegación:</w:t>
      </w:r>
    </w:p>
    <w:p>
      <w:pPr>
        <w:pStyle w:val="BodyText"/>
        <w:spacing w:line="276" w:lineRule="auto" w:after="100"/>
        <w:jc w:val="both"/>
      </w:pPr>
      <w:r>
        <w:rPr>
          <w:b/>
          <w:bCs/>
          <w:rFonts w:ascii="Verdana" w:hAnsi="Verdana" w:cs="Verdana" w:eastAsia="Verdana"/>
          <w:color w:val="222222"/>
          <w:sz w:val="20"/>
          <w:szCs w:val="20"/>
        </w:rPr>
        <w:t xml:space="preserve">Capa 1 — Mapa interactivo de KPIs territoriales (incluye PTNA y ESG):</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Vista principal de la aplicación. Muestra la rejilla H3 de Tenerife coloreada según el indicador seleccionado por el usuario. El selector incluye todos los indicadores de</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pero destaca cuatro vistas preconfiguradas para TUI:</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fill="1F497D"/>
          </w:tcPr>
          <w:p>
            <w:pPr>
              <w:pStyle w:val="Compact"/>
              <w:jc w:val="center"/>
            </w:pPr>
            <w:r>
              <w:rPr>
                <w:rFonts w:ascii="Verdana" w:hAnsi="Verdana" w:cs="Verdana" w:eastAsia="Verdana"/>
                <w:b/>
                <w:color w:val="FFFFFF"/>
                <w:sz w:val="19"/>
                <w:szCs w:val="19"/>
              </w:rPr>
              <w:t xml:space="preserve">Vista preconfigurada</w:t>
            </w:r>
          </w:p>
        </w:tc>
        <w:tc>
          <w:tcPr>
            <w:shd w:fill="1F497D"/>
          </w:tcPr>
          <w:p>
            <w:pPr>
              <w:pStyle w:val="Compact"/>
              <w:jc w:val="center"/>
            </w:pPr>
            <w:r>
              <w:rPr>
                <w:rFonts w:ascii="Verdana" w:hAnsi="Verdana" w:cs="Verdana" w:eastAsia="Verdana"/>
                <w:b/>
                <w:color w:val="FFFFFF"/>
                <w:sz w:val="19"/>
                <w:szCs w:val="19"/>
              </w:rPr>
              <w:t xml:space="preserve">KPI mostrado</w:t>
            </w:r>
          </w:p>
        </w:tc>
        <w:tc>
          <w:tcPr>
            <w:shd w:fill="1F497D"/>
          </w:tcPr>
          <w:p>
            <w:pPr>
              <w:pStyle w:val="Compact"/>
              <w:jc w:val="center"/>
            </w:pPr>
            <w:r>
              <w:rPr>
                <w:rFonts w:ascii="Verdana" w:hAnsi="Verdana" w:cs="Verdana" w:eastAsia="Verdana"/>
                <w:b/>
                <w:color w:val="FFFFFF"/>
                <w:sz w:val="19"/>
                <w:szCs w:val="19"/>
              </w:rPr>
              <w:t xml:space="preserve">Paleta de color</w:t>
            </w:r>
          </w:p>
        </w:tc>
      </w:tr>
      <w:tr>
        <w:tc>
          <w:tcPr/>
          <w:p>
            <w:pPr>
              <w:pStyle w:val="Compact"/>
            </w:pPr>
            <w:r>
              <w:rPr>
                <w:b/>
                <w:bCs/>
                <w:rFonts w:ascii="Verdana" w:hAnsi="Verdana" w:cs="Verdana" w:eastAsia="Verdana"/>
                <w:color w:val="222222"/>
                <w:sz w:val="18"/>
                <w:szCs w:val="18"/>
              </w:rPr>
              <w:t xml:space="preserve">Mapa de Oportunidades</w:t>
            </w:r>
          </w:p>
        </w:tc>
        <w:tc>
          <w:tcPr/>
          <w:p>
            <w:pPr>
              <w:pStyle w:val="Compact"/>
            </w:pPr>
            <w:r>
              <w:rPr>
                <w:rStyle w:val="VerbatimChar"/>
                <w:rFonts w:ascii="Verdana" w:hAnsi="Verdana" w:cs="Verdana" w:eastAsia="Verdana"/>
                <w:color w:val="222222"/>
                <w:sz w:val="18"/>
                <w:szCs w:val="18"/>
              </w:rPr>
              <w:t xml:space="preserve">ptna_score</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(PTNA)</w:t>
            </w:r>
          </w:p>
        </w:tc>
        <w:tc>
          <w:tcPr/>
          <w:p>
            <w:pPr>
              <w:pStyle w:val="Compact"/>
            </w:pPr>
            <w:r>
              <w:rPr>
                <w:rFonts w:ascii="Verdana" w:hAnsi="Verdana" w:cs="Verdana" w:eastAsia="Verdana"/>
                <w:color w:val="222222"/>
                <w:sz w:val="18"/>
                <w:szCs w:val="18"/>
              </w:rPr>
              <w:t xml:space="preserve">Verde = oportunidad / Rojo = saturación</w:t>
            </w:r>
          </w:p>
        </w:tc>
      </w:tr>
      <w:tr>
        <w:tc>
          <w:tcPr>
            <w:shd w:fill="F9FAFB"/>
          </w:tcPr>
          <w:p>
            <w:pPr>
              <w:pStyle w:val="Compact"/>
            </w:pPr>
            <w:r>
              <w:rPr>
                <w:b/>
                <w:bCs/>
                <w:rFonts w:ascii="Verdana" w:hAnsi="Verdana" w:cs="Verdana" w:eastAsia="Verdana"/>
                <w:color w:val="222222"/>
                <w:sz w:val="18"/>
                <w:szCs w:val="18"/>
              </w:rPr>
              <w:t xml:space="preserve">Mapa de Sostenibilidad</w:t>
            </w:r>
          </w:p>
        </w:tc>
        <w:tc>
          <w:tcPr>
            <w:shd w:fill="F9FAFB"/>
          </w:tcPr>
          <w:p>
            <w:pPr>
              <w:pStyle w:val="Compact"/>
            </w:pPr>
            <w:r>
              <w:rPr>
                <w:rStyle w:val="VerbatimChar"/>
                <w:rFonts w:ascii="Verdana" w:hAnsi="Verdana" w:cs="Verdana" w:eastAsia="Verdana"/>
                <w:color w:val="222222"/>
                <w:sz w:val="18"/>
                <w:szCs w:val="18"/>
              </w:rPr>
              <w:t xml:space="preserve">esg_score</w:t>
            </w:r>
          </w:p>
        </w:tc>
        <w:tc>
          <w:tcPr>
            <w:shd w:fill="F9FAFB"/>
          </w:tcPr>
          <w:p>
            <w:pPr>
              <w:pStyle w:val="Compact"/>
            </w:pPr>
            <w:r>
              <w:rPr>
                <w:rFonts w:ascii="Verdana" w:hAnsi="Verdana" w:cs="Verdana" w:eastAsia="Verdana"/>
                <w:color w:val="222222"/>
                <w:sz w:val="18"/>
                <w:szCs w:val="18"/>
              </w:rPr>
              <w:t xml:space="preserve">Gradiente azul-verde</w:t>
            </w:r>
          </w:p>
        </w:tc>
      </w:tr>
      <w:tr>
        <w:tc>
          <w:tcPr/>
          <w:p>
            <w:pPr>
              <w:pStyle w:val="Compact"/>
            </w:pPr>
            <w:r>
              <w:rPr>
                <w:b/>
                <w:bCs/>
                <w:rFonts w:ascii="Verdana" w:hAnsi="Verdana" w:cs="Verdana" w:eastAsia="Verdana"/>
                <w:color w:val="222222"/>
                <w:sz w:val="18"/>
                <w:szCs w:val="18"/>
              </w:rPr>
              <w:t xml:space="preserve">Mapa de Percepción</w:t>
            </w:r>
          </w:p>
        </w:tc>
        <w:tc>
          <w:tcPr/>
          <w:p>
            <w:pPr>
              <w:pStyle w:val="Compact"/>
            </w:pPr>
            <w:r>
              <w:rPr>
                <w:rStyle w:val="VerbatimChar"/>
                <w:rFonts w:ascii="Verdana" w:hAnsi="Verdana" w:cs="Verdana" w:eastAsia="Verdana"/>
                <w:color w:val="222222"/>
                <w:sz w:val="18"/>
                <w:szCs w:val="18"/>
              </w:rPr>
              <w:t xml:space="preserve">sentimiento_medio</w:t>
            </w:r>
          </w:p>
        </w:tc>
        <w:tc>
          <w:tcPr/>
          <w:p>
            <w:pPr>
              <w:pStyle w:val="Compact"/>
            </w:pPr>
            <w:r>
              <w:rPr>
                <w:rFonts w:ascii="Verdana" w:hAnsi="Verdana" w:cs="Verdana" w:eastAsia="Verdana"/>
                <w:color w:val="222222"/>
                <w:sz w:val="18"/>
                <w:szCs w:val="18"/>
              </w:rPr>
              <w:t xml:space="preserve">Amarillo-verde-rojo</w:t>
            </w:r>
          </w:p>
        </w:tc>
      </w:tr>
      <w:tr>
        <w:tc>
          <w:tcPr>
            <w:shd w:fill="F9FAFB"/>
          </w:tcPr>
          <w:p>
            <w:pPr>
              <w:pStyle w:val="Compact"/>
            </w:pPr>
            <w:r>
              <w:rPr>
                <w:b/>
                <w:bCs/>
                <w:rFonts w:ascii="Verdana" w:hAnsi="Verdana" w:cs="Verdana" w:eastAsia="Verdana"/>
                <w:color w:val="222222"/>
                <w:sz w:val="18"/>
                <w:szCs w:val="18"/>
              </w:rPr>
              <w:t xml:space="preserve">Mapa de Oferta</w:t>
            </w:r>
          </w:p>
        </w:tc>
        <w:tc>
          <w:tcPr>
            <w:shd w:fill="F9FAFB"/>
          </w:tcPr>
          <w:p>
            <w:pPr>
              <w:pStyle w:val="Compact"/>
            </w:pPr>
            <w:r>
              <w:rPr>
                <w:rStyle w:val="VerbatimChar"/>
                <w:rFonts w:ascii="Verdana" w:hAnsi="Verdana" w:cs="Verdana" w:eastAsia="Verdana"/>
                <w:color w:val="222222"/>
                <w:sz w:val="18"/>
                <w:szCs w:val="18"/>
              </w:rPr>
              <w:t xml:space="preserve">n_plazas_registro</w:t>
            </w:r>
          </w:p>
        </w:tc>
        <w:tc>
          <w:tcPr>
            <w:shd w:fill="F9FAFB"/>
          </w:tcPr>
          <w:p>
            <w:pPr>
              <w:pStyle w:val="Compact"/>
            </w:pPr>
            <w:r>
              <w:rPr>
                <w:rFonts w:ascii="Verdana" w:hAnsi="Verdana" w:cs="Verdana" w:eastAsia="Verdana"/>
                <w:color w:val="222222"/>
                <w:sz w:val="18"/>
                <w:szCs w:val="18"/>
              </w:rPr>
              <w:t xml:space="preserve">Escala de densidad</w:t>
            </w:r>
          </w:p>
        </w:tc>
      </w:tr>
    </w:tbl>
    <w:p>
      <w:pPr>
        <w:pStyle w:val="BodyText"/>
        <w:spacing w:line="276" w:lineRule="auto" w:after="100"/>
        <w:jc w:val="both"/>
      </w:pPr>
      <w:r>
        <w:rPr>
          <w:rFonts w:ascii="Verdana" w:hAnsi="Verdana" w:cs="Verdana" w:eastAsia="Verdana"/>
          <w:color w:val="222222"/>
          <w:sz w:val="20"/>
          <w:szCs w:val="20"/>
        </w:rPr>
        <w:t xml:space="preserve">Al hacer clic en un hexágono, el panel lateral muestra todos los indicadores del</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para esa celda, el perfil del cluster HDBSCAN al que pertenece, y si está disponible, el informe narrativo generado por el LLM.</w:t>
      </w:r>
    </w:p>
    <w:p>
      <w:pPr>
        <w:pStyle w:val="BodyText"/>
        <w:spacing w:line="276" w:lineRule="auto" w:after="100"/>
        <w:jc w:val="both"/>
      </w:pPr>
      <w:r>
        <w:rPr>
          <w:b/>
          <w:bCs/>
          <w:rFonts w:ascii="Verdana" w:hAnsi="Verdana" w:cs="Verdana" w:eastAsia="Verdana"/>
          <w:color w:val="222222"/>
          <w:sz w:val="20"/>
          <w:szCs w:val="20"/>
        </w:rPr>
        <w:t xml:space="preserve">Capa 2 — Panel analítico de indicadores oficiales: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Gráficas de serie temporal de los indicadores ISTAC (pernoctaciones, viajeros, tasa de ocupación) para el municipio o zona seleccionada. Permite comparar la evolución histórica de 2009 a 2026 y detectar estacionalidad o tendencias de crecimiento.</w:t>
      </w:r>
    </w:p>
    <w:p>
      <w:pPr>
        <w:pStyle w:val="BodyText"/>
        <w:spacing w:line="276" w:lineRule="auto" w:after="100"/>
        <w:jc w:val="both"/>
      </w:pPr>
      <w:r>
        <w:rPr>
          <w:b/>
          <w:bCs/>
          <w:rFonts w:ascii="Verdana" w:hAnsi="Verdana" w:cs="Verdana" w:eastAsia="Verdana"/>
          <w:color w:val="222222"/>
          <w:sz w:val="20"/>
          <w:szCs w:val="20"/>
        </w:rPr>
        <w:t xml:space="preserve">Capa 3 — Módulo de isócronas y accesibilidad:</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Mapa superpuesto con los polígonos de isócrona de los 18 destinos estratégicos. El usuario selecciona el destino de origen y el umbral temporal (15/30/45/60 min) y el mapa responde visualmente mostrando el área de cobertura real en la red viaria de Tenerife.</w:t>
      </w:r>
    </w:p>
    <w:p>
      <w:pPr>
        <w:pStyle w:val="BodyText"/>
        <w:spacing w:line="276" w:lineRule="auto" w:after="100"/>
        <w:jc w:val="both"/>
      </w:pPr>
      <w:r>
        <w:rPr>
          <w:b/>
          <w:bCs/>
          <w:rFonts w:ascii="Verdana" w:hAnsi="Verdana" w:cs="Verdana" w:eastAsia="Verdana"/>
          <w:color w:val="222222"/>
          <w:sz w:val="20"/>
          <w:szCs w:val="20"/>
        </w:rPr>
        <w:t xml:space="preserve">Capa 4 — Asistente IA: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Muestra el último informe narrativo generado por el módulo LLM (§5), con opción de regenerarlo bajo demanda. El usuario puede filtrar por ámbito geográfico (general, municipal) y ver el corpus de tópicos que sirvió de base para el informe.</w:t>
      </w:r>
    </w:p>
    <w:bookmarkEnd w:id="41"/>
    <w:bookmarkStart w:id="42" w:name="X7d6f38676d36d37ff9d2c93fa870dff60c029de"/>
    <w:p>
      <w:pPr>
        <w:pStyle w:val="Heading2"/>
        <w:keepNext/>
        <w:spacing w:line="276" w:lineRule="auto" w:before="200" w:after="60"/>
      </w:pPr>
      <w:r>
        <w:rPr>
          <w:rFonts w:ascii="Verdana" w:hAnsi="Verdana" w:cs="Verdana" w:eastAsia="Verdana"/>
          <w:b/>
          <w:color w:val="2E6E9E"/>
          <w:sz w:val="22"/>
          <w:szCs w:val="22"/>
        </w:rPr>
        <w:t xml:space="preserve">6.3. Mapeo de calor y congestión mediante indexación H3</w:t>
      </w:r>
    </w:p>
    <w:p>
      <w:pPr>
        <w:pStyle w:val="FirstParagraph"/>
        <w:spacing w:line="276" w:lineRule="auto" w:after="100"/>
        <w:jc w:val="both"/>
      </w:pPr>
      <w:r>
        <w:rPr>
          <w:rFonts w:ascii="Verdana" w:hAnsi="Verdana" w:cs="Verdana" w:eastAsia="Verdana"/>
          <w:color w:val="222222"/>
          <w:sz w:val="20"/>
          <w:szCs w:val="20"/>
        </w:rPr>
        <w:t xml:space="preserve">La granularidad hexagonal de H3 permite visualizar la distribución espacial de cualquier indicador con una resolución que los mapas de municipios no ofrecen. Dentro de un municipio como Adeje —que concentra la mayor densidad turística de la isla— la variación es enorme entre los hexágonos de la costa y los del interior montañoso. Los mapas de calor del dashboard hacen visible esa heterogeneidad interna.</w:t>
      </w:r>
    </w:p>
    <w:p>
      <w:pPr>
        <w:pStyle w:val="BodyText"/>
        <w:spacing w:line="276" w:lineRule="auto" w:after="100"/>
        <w:jc w:val="both"/>
      </w:pPr>
      <w:r>
        <w:rPr>
          <w:rFonts w:ascii="Verdana" w:hAnsi="Verdana" w:cs="Verdana" w:eastAsia="Verdana"/>
          <w:color w:val="222222"/>
          <w:sz w:val="20"/>
          <w:szCs w:val="20"/>
        </w:rPr>
        <w:t xml:space="preserve">La capa de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congestión</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se construye como un índice compuesto que combina densidad de plazas alojativas, volumen de reseñas negativas y proximidad a la costa. Los hexágonos con congestión elevada se colorean en rojo, los de potencial infrautilizado en verde, permitiendo a TUI priorizar visualmente las zonas de actuación.</w:t>
      </w:r>
    </w:p>
    <w:bookmarkEnd w:id="42"/>
    <w:bookmarkStart w:id="43" w:name="motor-de-insights-con-ia-generativa"/>
    <w:p>
      <w:pPr>
        <w:pStyle w:val="Heading2"/>
        <w:keepNext/>
        <w:spacing w:line="276" w:lineRule="auto" w:before="200" w:after="60"/>
      </w:pPr>
      <w:r>
        <w:rPr>
          <w:rFonts w:ascii="Verdana" w:hAnsi="Verdana" w:cs="Verdana" w:eastAsia="Verdana"/>
          <w:b/>
          <w:color w:val="2E6E9E"/>
          <w:sz w:val="22"/>
          <w:szCs w:val="22"/>
        </w:rPr>
        <w:t xml:space="preserve">6.4. Motor de insights con IA generativa</w:t>
      </w:r>
    </w:p>
    <w:p>
      <w:pPr>
        <w:pStyle w:val="FirstParagraph"/>
        <w:spacing w:line="276" w:lineRule="auto" w:after="100"/>
        <w:jc w:val="both"/>
      </w:pPr>
      <w:r>
        <w:rPr>
          <w:rFonts w:ascii="Verdana" w:hAnsi="Verdana" w:cs="Verdana" w:eastAsia="Verdana"/>
          <w:color w:val="222222"/>
          <w:sz w:val="20"/>
          <w:szCs w:val="20"/>
        </w:rPr>
        <w:t xml:space="preserve">El módulo LLM (§5) se integra en el dashboard como un asistente accesible desde cualquier sección. Además de los informes pre-generados, la arquitectura permite futuras extensiones hacia un agente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Text-to-SQL</w:t>
      </w:r>
      <w:r>
        <w:rPr>
          <w:rFonts w:ascii="Verdana" w:hAnsi="Verdana" w:cs="Verdana" w:eastAsia="Verdana"/>
          <w:color w:val="222222"/>
          <w:sz w:val="20"/>
          <w:szCs w:val="20"/>
        </w:rPr>
        <w:t xml:space="preserve">: el usuario formula una pregunta en lenguaje natural («¿Qué municipios del norte tienen más de 500 plazas de alojamiento y temperatura media superior a 22 °C en Q3?») y el sistema la traduce a una consulta SQL contra</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gold_h3_master</w:t>
      </w:r>
      <w:r>
        <w:rPr>
          <w:rFonts w:ascii="Verdana" w:hAnsi="Verdana" w:cs="Verdana" w:eastAsia="Verdana"/>
          <w:color w:val="222222"/>
          <w:sz w:val="20"/>
          <w:szCs w:val="20"/>
        </w:rPr>
        <w:t xml:space="preserve">, ejecuta la consulta y devuelve el resultado como tabla y como párrafo explicativo.</w:t>
      </w:r>
    </w:p>
    <w:bookmarkEnd w:id="43"/>
    <w:bookmarkStart w:id="44" w:name="simulador-de-escenarios-gravitatorios"/>
    <w:p>
      <w:pPr>
        <w:pStyle w:val="Heading2"/>
        <w:keepNext/>
        <w:spacing w:line="276" w:lineRule="auto" w:before="200" w:after="60"/>
      </w:pPr>
      <w:r>
        <w:rPr>
          <w:rFonts w:ascii="Verdana" w:hAnsi="Verdana" w:cs="Verdana" w:eastAsia="Verdana"/>
          <w:b/>
          <w:color w:val="2E6E9E"/>
          <w:sz w:val="22"/>
          <w:szCs w:val="22"/>
        </w:rPr>
        <w:t xml:space="preserve">6.5. Simulador de escenarios gravitatorios</w:t>
      </w:r>
    </w:p>
    <w:p>
      <w:pPr>
        <w:pStyle w:val="FirstParagraph"/>
        <w:spacing w:line="276" w:lineRule="auto" w:after="100"/>
        <w:jc w:val="both"/>
      </w:pPr>
      <w:r>
        <w:rPr>
          <w:rFonts w:ascii="Verdana" w:hAnsi="Verdana" w:cs="Verdana" w:eastAsia="Verdana"/>
          <w:color w:val="222222"/>
          <w:sz w:val="20"/>
          <w:szCs w:val="20"/>
        </w:rPr>
        <w:t xml:space="preserve">El simulador es el componente más estratégico del dashboard. Se basa en un</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modelo gravitatorio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inspirado en los modelos de interacción espacial de Huff: la demanda entre un punto de origen (alojamiento costero) y un destino alternativo (zona interior) es proporcional a su atractivo (plazas, POIs, NDVI) e inversamente proporcional a la distancia o tiempo de desplazamiento.</w:t>
      </w:r>
    </w:p>
    <w:p>
      <w:pPr>
        <w:pStyle w:val="BodyText"/>
        <w:spacing w:line="276" w:lineRule="auto" w:after="100"/>
        <w:jc w:val="both"/>
      </w:pPr>
      <w:r>
        <w:rPr>
          <w:rFonts w:ascii="Verdana" w:hAnsi="Verdana" w:cs="Verdana" w:eastAsia="Verdana"/>
          <w:color w:val="222222"/>
          <w:sz w:val="20"/>
          <w:szCs w:val="20"/>
        </w:rPr>
        <w:t xml:space="preserve">El analista puede ajustar tres parámetros mediante controles deslizantes: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 de demanda a redistribuir: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qué fracción de los turistas actuales de la zona sur se modelizan como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“transferibles”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al interior.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Umbral de accesibilidad:</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tiempo máximo de desplazamiento que se considera aceptable para el turista.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b/>
          <w:bCs/>
          <w:rFonts w:ascii="Verdana" w:hAnsi="Verdana" w:cs="Verdana" w:eastAsia="Verdana"/>
          <w:color w:val="222222"/>
          <w:sz w:val="20"/>
          <w:szCs w:val="20"/>
        </w:rPr>
        <w:t xml:space="preserve">Peso de cada factor de atractivo: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si la experiencia natural (NDVI alto) pesa más que la oferta hotelera en la decisión del turista.</w:t>
      </w:r>
    </w:p>
    <w:p>
      <w:pPr>
        <w:pStyle w:val="BodyText"/>
        <w:spacing w:line="276" w:lineRule="auto" w:after="100"/>
        <w:jc w:val="both"/>
      </w:pPr>
      <w:r>
        <w:rPr>
          <w:rFonts w:ascii="Verdana" w:hAnsi="Verdana" w:cs="Verdana" w:eastAsia="Verdana"/>
          <w:color w:val="222222"/>
          <w:sz w:val="20"/>
          <w:szCs w:val="20"/>
        </w:rPr>
        <w:t xml:space="preserve">El sistema calcula el nuevo reparto de demanda y muestra el impacto en dos métricas clave: reducción de saturación en las zonas de origen y activación económica estimada en las zonas de destino. Esto permite a TUI evaluar, antes de hacer ninguna inversión, qué escenarios de redistribución son plausibles y cuáles generan más valor.</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44"/>
    <w:bookmarkEnd w:id="45"/>
    <w:bookmarkStart w:id="49" w:name="conclusiones"/>
    <w:p>
      <w:pPr>
        <w:pStyle w:val="Heading1"/>
        <w:keepNext/>
        <w:spacing w:line="276" w:lineRule="auto" w:before="280" w:after="80"/>
      </w:pPr>
      <w:r>
        <w:rPr>
          <w:rFonts w:ascii="Verdana" w:hAnsi="Verdana" w:cs="Verdana" w:eastAsia="Verdana"/>
          <w:b/>
          <w:color w:val="1F497D"/>
          <w:sz w:val="24"/>
          <w:szCs w:val="24"/>
        </w:rPr>
        <w:t xml:space="preserve">7. Conclusiones</w:t>
      </w:r>
    </w:p>
    <w:bookmarkStart w:id="46" w:name="X01e77eabe886e3cc52f3d59ac2c2376ee00bef8"/>
    <w:p>
      <w:pPr>
        <w:pStyle w:val="Heading2"/>
        <w:keepNext/>
        <w:spacing w:line="276" w:lineRule="auto" w:before="200" w:after="60"/>
      </w:pPr>
      <w:r>
        <w:rPr>
          <w:rFonts w:ascii="Verdana" w:hAnsi="Verdana" w:cs="Verdana" w:eastAsia="Verdana"/>
          <w:b/>
          <w:color w:val="2E6E9E"/>
          <w:sz w:val="22"/>
          <w:szCs w:val="22"/>
        </w:rPr>
        <w:t xml:space="preserve">7.1. ¿Se han respondido las preguntas estratégicas de TUI?</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fill="1F497D"/>
          </w:tcPr>
          <w:p>
            <w:pPr>
              <w:pStyle w:val="Compact"/>
              <w:jc w:val="center"/>
            </w:pPr>
            <w:r>
              <w:rPr>
                <w:rFonts w:ascii="Verdana" w:hAnsi="Verdana" w:cs="Verdana" w:eastAsia="Verdana"/>
                <w:b/>
                <w:color w:val="FFFFFF"/>
                <w:sz w:val="19"/>
                <w:szCs w:val="19"/>
              </w:rPr>
              <w:t xml:space="preserve">Pregunta estratégica</w:t>
            </w:r>
          </w:p>
        </w:tc>
        <w:tc>
          <w:tcPr>
            <w:shd w:fill="1F497D"/>
          </w:tcPr>
          <w:p>
            <w:pPr>
              <w:pStyle w:val="Compact"/>
              <w:jc w:val="center"/>
            </w:pPr>
            <w:r>
              <w:rPr>
                <w:rFonts w:ascii="Verdana" w:hAnsi="Verdana" w:cs="Verdana" w:eastAsia="Verdana"/>
                <w:b/>
                <w:color w:val="FFFFFF"/>
                <w:sz w:val="19"/>
                <w:szCs w:val="19"/>
              </w:rPr>
              <w:t xml:space="preserve">Módulo implementado</w:t>
            </w:r>
          </w:p>
        </w:tc>
        <w:tc>
          <w:tcPr>
            <w:shd w:fill="1F497D"/>
          </w:tcPr>
          <w:p>
            <w:pPr>
              <w:pStyle w:val="Compact"/>
              <w:jc w:val="center"/>
            </w:pPr>
            <w:r>
              <w:rPr>
                <w:rFonts w:ascii="Verdana" w:hAnsi="Verdana" w:cs="Verdana" w:eastAsia="Verdana"/>
                <w:b/>
                <w:color w:val="FFFFFF"/>
                <w:sz w:val="19"/>
                <w:szCs w:val="19"/>
              </w:rPr>
              <w:t xml:space="preserve">Estado</w:t>
            </w:r>
          </w:p>
        </w:tc>
      </w:tr>
      <w:tr>
        <w:tc>
          <w:tcPr/>
          <w:p>
            <w:pPr>
              <w:pStyle w:val="Compact"/>
            </w:pPr>
            <w:r>
              <w:rPr>
                <w:rFonts w:ascii="Verdana" w:hAnsi="Verdana" w:cs="Verdana" w:eastAsia="Verdana"/>
                <w:color w:val="222222"/>
                <w:sz w:val="18"/>
                <w:szCs w:val="18"/>
              </w:rPr>
              <w:t xml:space="preserve">¿Dónde se concentra la oferta y qué corredores turísticos se forman?</w:t>
            </w:r>
          </w:p>
        </w:tc>
        <w:tc>
          <w:tcPr/>
          <w:p>
            <w:pPr>
              <w:pStyle w:val="Compact"/>
            </w:pPr>
            <w:r>
              <w:rPr>
                <w:rFonts w:ascii="Verdana" w:hAnsi="Verdana" w:cs="Verdana" w:eastAsia="Verdana"/>
                <w:color w:val="222222"/>
                <w:sz w:val="18"/>
                <w:szCs w:val="18"/>
              </w:rPr>
              <w:t xml:space="preserve">Mapa H3 ·</w:t>
            </w:r>
            <w:r>
              <w:rPr>
                <w:rFonts w:ascii="Verdana" w:hAnsi="Verdana" w:cs="Verdana" w:eastAsia="Verdana"/>
                <w:color w:val="222222"/>
                <w:sz w:val="18"/>
                <w:szCs w:val="18"/>
              </w:rPr>
              <w:t xml:space="preserve"> </w:t>
            </w:r>
            <w:r>
              <w:rPr>
                <w:rStyle w:val="VerbatimChar"/>
                <w:rFonts w:ascii="Verdana" w:hAnsi="Verdana" w:cs="Verdana" w:eastAsia="Verdana"/>
                <w:color w:val="222222"/>
                <w:sz w:val="18"/>
                <w:szCs w:val="18"/>
              </w:rPr>
              <w:t xml:space="preserve">gold_h3_master</w:t>
            </w:r>
          </w:p>
        </w:tc>
        <w:tc>
          <w:tcPr/>
          <w:p>
            <w:pPr>
              <w:pStyle w:val="Compact"/>
            </w:pPr>
            <w:r>
              <w:rPr>
                <w:rFonts w:ascii="Verdana" w:hAnsi="Verdana" w:cs="Verdana" w:eastAsia="Verdana"/>
                <w:color w:val="222222"/>
                <w:sz w:val="18"/>
                <w:szCs w:val="18"/>
              </w:rPr>
              <w:t xml:space="preserve">✅ Operativo</w:t>
            </w:r>
          </w:p>
        </w:tc>
      </w:tr>
      <w:tr>
        <w:tc>
          <w:tcPr>
            <w:shd w:fill="F9FAFB"/>
          </w:tcPr>
          <w:p>
            <w:pPr>
              <w:pStyle w:val="Compact"/>
            </w:pPr>
            <w:r>
              <w:rPr>
                <w:rFonts w:ascii="Verdana" w:hAnsi="Verdana" w:cs="Verdana" w:eastAsia="Verdana"/>
                <w:color w:val="222222"/>
                <w:sz w:val="18"/>
                <w:szCs w:val="18"/>
              </w:rPr>
              <w:t xml:space="preserve">¿Qué zonas tienen alto potencial pero baja visibilidad?</w:t>
            </w:r>
          </w:p>
        </w:tc>
        <w:tc>
          <w:tcPr>
            <w:shd w:fill="F9FAFB"/>
          </w:tcPr>
          <w:p>
            <w:pPr>
              <w:pStyle w:val="Compact"/>
            </w:pPr>
            <w:r>
              <w:rPr>
                <w:rFonts w:ascii="Verdana" w:hAnsi="Verdana" w:cs="Verdana" w:eastAsia="Verdana"/>
                <w:color w:val="222222"/>
                <w:sz w:val="18"/>
                <w:szCs w:val="18"/>
              </w:rPr>
              <w:t xml:space="preserve">MGWR + PTNA · HDBSCAN</w:t>
            </w:r>
          </w:p>
        </w:tc>
        <w:tc>
          <w:tcPr>
            <w:shd w:fill="F9FAFB"/>
          </w:tcPr>
          <w:p>
            <w:pPr>
              <w:pStyle w:val="Compact"/>
            </w:pPr>
            <w:r>
              <w:rPr>
                <w:rFonts w:ascii="Verdana" w:hAnsi="Verdana" w:cs="Verdana" w:eastAsia="Verdana"/>
                <w:color w:val="222222"/>
                <w:sz w:val="18"/>
                <w:szCs w:val="18"/>
              </w:rPr>
              <w:t xml:space="preserve">✅ Operativo</w:t>
            </w:r>
          </w:p>
        </w:tc>
      </w:tr>
      <w:tr>
        <w:tc>
          <w:tcPr/>
          <w:p>
            <w:pPr>
              <w:pStyle w:val="Compact"/>
            </w:pPr>
            <w:r>
              <w:rPr>
                <w:rFonts w:ascii="Verdana" w:hAnsi="Verdana" w:cs="Verdana" w:eastAsia="Verdana"/>
                <w:color w:val="222222"/>
                <w:sz w:val="18"/>
                <w:szCs w:val="18"/>
              </w:rPr>
              <w:t xml:space="preserve">¿Qué áreas muestran señales de congestión o sobreexplotación?</w:t>
            </w:r>
          </w:p>
        </w:tc>
        <w:tc>
          <w:tcPr/>
          <w:p>
            <w:pPr>
              <w:pStyle w:val="Compact"/>
            </w:pPr>
            <w:r>
              <w:rPr>
                <w:rFonts w:ascii="Verdana" w:hAnsi="Verdana" w:cs="Verdana" w:eastAsia="Verdana"/>
                <w:color w:val="222222"/>
                <w:sz w:val="18"/>
                <w:szCs w:val="18"/>
              </w:rPr>
              <w:t xml:space="preserve">PTNA &lt; 0 · Sentimiento NLP geolocalizado</w:t>
            </w:r>
          </w:p>
        </w:tc>
        <w:tc>
          <w:tcPr/>
          <w:p>
            <w:pPr>
              <w:pStyle w:val="Compact"/>
            </w:pPr>
            <w:r>
              <w:rPr>
                <w:rFonts w:ascii="Verdana" w:hAnsi="Verdana" w:cs="Verdana" w:eastAsia="Verdana"/>
                <w:color w:val="222222"/>
                <w:sz w:val="18"/>
                <w:szCs w:val="18"/>
              </w:rPr>
              <w:t xml:space="preserve">✅ Operativo</w:t>
            </w:r>
          </w:p>
        </w:tc>
      </w:tr>
      <w:tr>
        <w:tc>
          <w:tcPr>
            <w:shd w:fill="F9FAFB"/>
          </w:tcPr>
          <w:p>
            <w:pPr>
              <w:pStyle w:val="Compact"/>
            </w:pPr>
            <w:r>
              <w:rPr>
                <w:rFonts w:ascii="Verdana" w:hAnsi="Verdana" w:cs="Verdana" w:eastAsia="Verdana"/>
                <w:color w:val="222222"/>
                <w:sz w:val="18"/>
                <w:szCs w:val="18"/>
              </w:rPr>
              <w:t xml:space="preserve">¿Qué zonas son sostenibles para una inversión responsable?</w:t>
            </w:r>
          </w:p>
        </w:tc>
        <w:tc>
          <w:tcPr>
            <w:shd w:fill="F9FAFB"/>
          </w:tcPr>
          <w:p>
            <w:pPr>
              <w:pStyle w:val="Compact"/>
            </w:pPr>
            <w:r>
              <w:rPr>
                <w:rFonts w:ascii="Verdana" w:hAnsi="Verdana" w:cs="Verdana" w:eastAsia="Verdana"/>
                <w:color w:val="222222"/>
                <w:sz w:val="18"/>
                <w:szCs w:val="18"/>
              </w:rPr>
              <w:t xml:space="preserve">Índice ESG Territorial</w:t>
            </w:r>
          </w:p>
        </w:tc>
        <w:tc>
          <w:tcPr>
            <w:shd w:fill="F9FAFB"/>
          </w:tcPr>
          <w:p>
            <w:pPr>
              <w:pStyle w:val="Compact"/>
            </w:pPr>
            <w:r>
              <w:rPr>
                <w:rFonts w:ascii="Verdana" w:hAnsi="Verdana" w:cs="Verdana" w:eastAsia="Verdana"/>
                <w:color w:val="222222"/>
                <w:sz w:val="18"/>
                <w:szCs w:val="18"/>
              </w:rPr>
              <w:t xml:space="preserve">✅ Operativo</w:t>
            </w:r>
          </w:p>
        </w:tc>
      </w:tr>
      <w:tr>
        <w:tc>
          <w:tcPr/>
          <w:p>
            <w:pPr>
              <w:pStyle w:val="Compact"/>
            </w:pPr>
            <w:r>
              <w:rPr>
                <w:rFonts w:ascii="Verdana" w:hAnsi="Verdana" w:cs="Verdana" w:eastAsia="Verdana"/>
                <w:color w:val="222222"/>
                <w:sz w:val="18"/>
                <w:szCs w:val="18"/>
              </w:rPr>
              <w:t xml:space="preserve">¿Cómo interactúan oferta, accesibilidad, clima y sostenibilidad?</w:t>
            </w:r>
          </w:p>
        </w:tc>
        <w:tc>
          <w:tcPr/>
          <w:p>
            <w:pPr>
              <w:pStyle w:val="Compact"/>
            </w:pPr>
            <w:r>
              <w:rPr>
                <w:rStyle w:val="VerbatimChar"/>
                <w:rFonts w:ascii="Verdana" w:hAnsi="Verdana" w:cs="Verdana" w:eastAsia="Verdana"/>
                <w:color w:val="222222"/>
                <w:sz w:val="18"/>
                <w:szCs w:val="18"/>
              </w:rPr>
              <w:t xml:space="preserve">gold_h3_master</w:t>
            </w:r>
            <w:r>
              <w:rPr>
                <w:rFonts w:ascii="Verdana" w:hAnsi="Verdana" w:cs="Verdana" w:eastAsia="Verdana"/>
                <w:color w:val="222222"/>
                <w:sz w:val="18"/>
                <w:szCs w:val="18"/>
              </w:rPr>
              <w:t xml:space="preserve"> </w:t>
            </w:r>
            <w:r>
              <w:rPr>
                <w:rFonts w:ascii="Verdana" w:hAnsi="Verdana" w:cs="Verdana" w:eastAsia="Verdana"/>
                <w:color w:val="222222"/>
                <w:sz w:val="18"/>
                <w:szCs w:val="18"/>
              </w:rPr>
              <w:t xml:space="preserve">· IDW + MGWR</w:t>
            </w:r>
          </w:p>
        </w:tc>
        <w:tc>
          <w:tcPr/>
          <w:p>
            <w:pPr>
              <w:pStyle w:val="Compact"/>
            </w:pPr>
            <w:r>
              <w:rPr>
                <w:rFonts w:ascii="Verdana" w:hAnsi="Verdana" w:cs="Verdana" w:eastAsia="Verdana"/>
                <w:color w:val="222222"/>
                <w:sz w:val="18"/>
                <w:szCs w:val="18"/>
              </w:rPr>
              <w:t xml:space="preserve">✅ Operativo</w:t>
            </w:r>
          </w:p>
        </w:tc>
      </w:tr>
      <w:tr>
        <w:tc>
          <w:tcPr>
            <w:shd w:fill="F9FAFB"/>
          </w:tcPr>
          <w:p>
            <w:pPr>
              <w:pStyle w:val="Compact"/>
            </w:pPr>
            <w:r>
              <w:rPr>
                <w:rFonts w:ascii="Verdana" w:hAnsi="Verdana" w:cs="Verdana" w:eastAsia="Verdana"/>
                <w:color w:val="222222"/>
                <w:sz w:val="18"/>
                <w:szCs w:val="18"/>
              </w:rPr>
              <w:t xml:space="preserve">¿Qué escenarios de redistribución mejorarían el desempeño del destino?</w:t>
            </w:r>
          </w:p>
        </w:tc>
        <w:tc>
          <w:tcPr>
            <w:shd w:fill="F9FAFB"/>
          </w:tcPr>
          <w:p>
            <w:pPr>
              <w:pStyle w:val="Compact"/>
            </w:pPr>
            <w:r>
              <w:rPr>
                <w:rFonts w:ascii="Verdana" w:hAnsi="Verdana" w:cs="Verdana" w:eastAsia="Verdana"/>
                <w:color w:val="222222"/>
                <w:sz w:val="18"/>
                <w:szCs w:val="18"/>
              </w:rPr>
              <w:t xml:space="preserve">Simulador gravitatorio</w:t>
            </w:r>
          </w:p>
        </w:tc>
        <w:tc>
          <w:tcPr>
            <w:shd w:fill="F9FAFB"/>
          </w:tcPr>
          <w:p>
            <w:pPr>
              <w:pStyle w:val="Compact"/>
            </w:pPr>
            <w:r>
              <w:rPr>
                <w:rFonts w:ascii="Verdana" w:hAnsi="Verdana" w:cs="Verdana" w:eastAsia="Verdana"/>
                <w:color w:val="222222"/>
                <w:sz w:val="18"/>
                <w:szCs w:val="18"/>
              </w:rPr>
              <w:t xml:space="preserve">✅ Diseñado e integrado</w:t>
            </w:r>
          </w:p>
        </w:tc>
      </w:tr>
    </w:tbl>
    <w:bookmarkEnd w:id="46"/>
    <w:bookmarkStart w:id="47" w:name="valor-diferencial-demostrado"/>
    <w:p>
      <w:pPr>
        <w:pStyle w:val="Heading2"/>
        <w:keepNext/>
        <w:spacing w:line="276" w:lineRule="auto" w:before="200" w:after="60"/>
      </w:pPr>
      <w:r>
        <w:rPr>
          <w:rFonts w:ascii="Verdana" w:hAnsi="Verdana" w:cs="Verdana" w:eastAsia="Verdana"/>
          <w:b/>
          <w:color w:val="2E6E9E"/>
          <w:sz w:val="22"/>
          <w:szCs w:val="22"/>
        </w:rPr>
        <w:t xml:space="preserve">7.2. Valor diferencial demostrado</w:t>
      </w:r>
    </w:p>
    <w:p>
      <w:pPr>
        <w:pStyle w:val="FirstParagraph"/>
        <w:spacing w:line="276" w:lineRule="auto" w:after="100"/>
        <w:jc w:val="both"/>
      </w:pPr>
      <w:r>
        <w:rPr>
          <w:rFonts w:ascii="Verdana" w:hAnsi="Verdana" w:cs="Verdana" w:eastAsia="Verdana"/>
          <w:color w:val="222222"/>
          <w:sz w:val="20"/>
          <w:szCs w:val="20"/>
        </w:rPr>
        <w:t xml:space="preserve">El proyecto demuestra que es posible, con tecnología open-source y costes de infraestructura mínimos (~0,012 $/h de VM), construir un sistema de inteligencia territorial que antes requería equipos de cartografía, analistas de NLP y desarrolladores de BI trabajando por separado. Los hitos más relevantes:</w:t>
      </w:r>
    </w:p>
    <w:p>
      <w:pPr>
        <w:pStyle w:val="Compact"/>
        <w:numPr>
          <w:ilvl w:val="0"/>
          <w:numId w:val="1012"/>
        </w:numPr>
        <w:spacing w:line="276" w:lineRule="auto" w:after="100"/>
        <w:jc w:val="both"/>
      </w:pPr>
      <w:r>
        <w:rPr>
          <w:b/>
          <w:bCs/>
          <w:rFonts w:ascii="Verdana" w:hAnsi="Verdana" w:cs="Verdana" w:eastAsia="Verdana"/>
          <w:color w:val="222222"/>
          <w:sz w:val="20"/>
          <w:szCs w:val="20"/>
        </w:rPr>
        <w:t xml:space="preserve">170.000+ textos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clasificados automáticamente por sentimiento sin etiquetado manual.</w:t>
      </w:r>
    </w:p>
    <w:p>
      <w:pPr>
        <w:pStyle w:val="Compact"/>
        <w:numPr>
          <w:ilvl w:val="0"/>
          <w:numId w:val="1012"/>
        </w:numPr>
        <w:spacing w:line="276" w:lineRule="auto" w:after="100"/>
        <w:jc w:val="both"/>
      </w:pPr>
      <w:r>
        <w:rPr>
          <w:b/>
          <w:bCs/>
          <w:rFonts w:ascii="Verdana" w:hAnsi="Verdana" w:cs="Verdana" w:eastAsia="Verdana"/>
          <w:color w:val="222222"/>
          <w:sz w:val="20"/>
          <w:szCs w:val="20"/>
        </w:rPr>
        <w:t xml:space="preserve">3.062 hexágonos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 más de 60 indicadores integrados en una sola tabla consultable.</w:t>
      </w:r>
    </w:p>
    <w:p>
      <w:pPr>
        <w:pStyle w:val="Compact"/>
        <w:numPr>
          <w:ilvl w:val="0"/>
          <w:numId w:val="1012"/>
        </w:numPr>
        <w:spacing w:line="276" w:lineRule="auto" w:after="100"/>
        <w:jc w:val="both"/>
      </w:pPr>
      <w:r>
        <w:rPr>
          <w:b/>
          <w:bCs/>
          <w:rFonts w:ascii="Verdana" w:hAnsi="Verdana" w:cs="Verdana" w:eastAsia="Verdana"/>
          <w:color w:val="222222"/>
          <w:sz w:val="20"/>
          <w:szCs w:val="20"/>
        </w:rPr>
        <w:t xml:space="preserve">18 destinos estratégicos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 isócronas de accesibilidad real (no distancia en línea recta).</w:t>
      </w:r>
    </w:p>
    <w:p>
      <w:pPr>
        <w:pStyle w:val="Compact"/>
        <w:numPr>
          <w:ilvl w:val="0"/>
          <w:numId w:val="1012"/>
        </w:numPr>
        <w:spacing w:line="276" w:lineRule="auto" w:after="100"/>
        <w:jc w:val="both"/>
      </w:pPr>
      <w:r>
        <w:rPr>
          <w:b/>
          <w:bCs/>
          <w:rFonts w:ascii="Verdana" w:hAnsi="Verdana" w:cs="Verdana" w:eastAsia="Verdana"/>
          <w:color w:val="222222"/>
          <w:sz w:val="20"/>
          <w:szCs w:val="20"/>
        </w:rPr>
        <w:t xml:space="preserve">Informes ejecutivos narrativos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generados automáticamente en segundos desde los datos analíticos.</w:t>
      </w:r>
    </w:p>
    <w:p>
      <w:pPr>
        <w:pStyle w:val="Compact"/>
        <w:numPr>
          <w:ilvl w:val="0"/>
          <w:numId w:val="1012"/>
        </w:numPr>
        <w:spacing w:line="276" w:lineRule="auto" w:after="100"/>
        <w:jc w:val="both"/>
      </w:pPr>
      <w:r>
        <w:rPr>
          <w:b/>
          <w:bCs/>
          <w:rFonts w:ascii="Verdana" w:hAnsi="Verdana" w:cs="Verdana" w:eastAsia="Verdana"/>
          <w:color w:val="222222"/>
          <w:sz w:val="20"/>
          <w:szCs w:val="20"/>
        </w:rPr>
        <w:t xml:space="preserve">Pipeline completamente automatizado</w:t>
      </w:r>
      <w:r>
        <w:rPr>
          <w:rFonts w:ascii="Verdana" w:hAnsi="Verdana" w:cs="Verdana" w:eastAsia="Verdana"/>
          <w:color w:val="222222"/>
          <w:sz w:val="20"/>
          <w:szCs w:val="20"/>
        </w:rPr>
        <w:t xml:space="preserve">: desde la descarga de una nueva semana de datos GTFS hasta la actualización del dashboard, sin intervención humana.</w:t>
      </w:r>
    </w:p>
    <w:bookmarkEnd w:id="47"/>
    <w:bookmarkStart w:id="48" w:name="limitaciones-y-líneas-de-mejora"/>
    <w:p>
      <w:pPr>
        <w:pStyle w:val="Heading2"/>
        <w:keepNext/>
        <w:spacing w:line="276" w:lineRule="auto" w:before="200" w:after="60"/>
      </w:pPr>
      <w:r>
        <w:rPr>
          <w:rFonts w:ascii="Verdana" w:hAnsi="Verdana" w:cs="Verdana" w:eastAsia="Verdana"/>
          <w:b/>
          <w:color w:val="2E6E9E"/>
          <w:sz w:val="22"/>
          <w:szCs w:val="22"/>
        </w:rPr>
        <w:t xml:space="preserve">7.3. Limitaciones y líneas de mejora</w:t>
      </w:r>
    </w:p>
    <w:p>
      <w:pPr>
        <w:pStyle w:val="Compact"/>
        <w:numPr>
          <w:ilvl w:val="0"/>
          <w:numId w:val="1013"/>
        </w:numPr>
        <w:spacing w:line="276" w:lineRule="auto" w:after="100"/>
        <w:jc w:val="both"/>
      </w:pPr>
      <w:r>
        <w:rPr>
          <w:b/>
          <w:bCs/>
          <w:rFonts w:ascii="Verdana" w:hAnsi="Verdana" w:cs="Verdana" w:eastAsia="Verdana"/>
          <w:color w:val="222222"/>
          <w:sz w:val="20"/>
          <w:szCs w:val="20"/>
        </w:rPr>
        <w:t xml:space="preserve">Cobertura estadística ISTAC:</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los datos de pernoctaciones y ocupación solo están disponibles para 6 de los 31 municipios (los de mayor masa estadística). Los 25 municipios rurales carecen de series oficiales, lo que obliga a usar proxies indirectos (luces VIIRS, alojamientos registrados) para estimar su actividad.</w:t>
      </w:r>
    </w:p>
    <w:p>
      <w:pPr>
        <w:pStyle w:val="Compact"/>
        <w:numPr>
          <w:ilvl w:val="0"/>
          <w:numId w:val="1013"/>
        </w:numPr>
        <w:spacing w:line="276" w:lineRule="auto" w:after="100"/>
        <w:jc w:val="both"/>
      </w:pPr>
      <w:r>
        <w:rPr>
          <w:b/>
          <w:bCs/>
          <w:rFonts w:ascii="Verdana" w:hAnsi="Verdana" w:cs="Verdana" w:eastAsia="Verdana"/>
          <w:color w:val="222222"/>
          <w:sz w:val="20"/>
          <w:szCs w:val="20"/>
        </w:rPr>
        <w:t xml:space="preserve">Datos de reseñas de plataformas: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el scraping de Booking y TripAdvisor está sujeto a cambios en los sitios web que pueden requerir mantenimiento periódico. Se recomienda evaluar el acceso a APIs oficiales o proveedores de datos de terceros para mayor estabilidad.</w:t>
      </w:r>
    </w:p>
    <w:p>
      <w:pPr>
        <w:pStyle w:val="Compact"/>
        <w:numPr>
          <w:ilvl w:val="0"/>
          <w:numId w:val="1013"/>
        </w:numPr>
        <w:spacing w:line="276" w:lineRule="auto" w:after="100"/>
        <w:jc w:val="both"/>
      </w:pPr>
      <w:r>
        <w:rPr>
          <w:b/>
          <w:bCs/>
          <w:rFonts w:ascii="Verdana" w:hAnsi="Verdana" w:cs="Verdana" w:eastAsia="Verdana"/>
          <w:color w:val="222222"/>
          <w:sz w:val="20"/>
          <w:szCs w:val="20"/>
        </w:rPr>
        <w:t xml:space="preserve">Simulador gravitatorio: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el modelo actual usa parámetros por defecto calibrados empíricamente. Una mejora natural sería ajustar los exponentes de distancia y atractivo con datos reales de flujos turísticos observados (encuestas de movilidad o datos de telefonía móvil agregados).</w:t>
      </w:r>
    </w:p>
    <w:p>
      <w:pPr>
        <w:pStyle w:val="Compact"/>
        <w:numPr>
          <w:ilvl w:val="0"/>
          <w:numId w:val="1013"/>
        </w:numPr>
        <w:spacing w:line="276" w:lineRule="auto" w:after="100"/>
        <w:jc w:val="both"/>
      </w:pPr>
      <w:r>
        <w:rPr>
          <w:b/>
          <w:bCs/>
          <w:rFonts w:ascii="Verdana" w:hAnsi="Verdana" w:cs="Verdana" w:eastAsia="Verdana"/>
          <w:color w:val="222222"/>
          <w:sz w:val="20"/>
          <w:szCs w:val="20"/>
        </w:rPr>
        <w:t xml:space="preserve">Expansión del corpus NLP:</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ampliar el scraping de Booking y TripAdvisor para capturar más reseñas recientes mejoraría la granularidad temporal del análisis de sentimiento. Integrar datos de Airbnb (Inside Airbnb, licencia abierta) daría cobertura a municipios del interior que actualmente no tienen reseñas suficientes en las plataformas hoteleras tradicionales.</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48"/>
    <w:bookmarkEnd w:id="49"/>
    <w:bookmarkStart w:id="50" w:name="referencias-bibliográficas"/>
    <w:p>
      <w:pPr>
        <w:pStyle w:val="Heading1"/>
        <w:keepNext/>
        <w:spacing w:line="276" w:lineRule="auto" w:before="280" w:after="80"/>
      </w:pPr>
      <w:r>
        <w:rPr>
          <w:rFonts w:ascii="Verdana" w:hAnsi="Verdana" w:cs="Verdana" w:eastAsia="Verdana"/>
          <w:b/>
          <w:color w:val="1F497D"/>
          <w:sz w:val="24"/>
          <w:szCs w:val="24"/>
        </w:rPr>
        <w:t xml:space="preserve">Referencias bibliográficas</w:t>
      </w:r>
    </w:p>
    <w:p>
      <w:pPr>
        <w:pStyle w:val="FirstParagraph"/>
        <w:spacing w:line="276" w:lineRule="auto" w:after="100"/>
        <w:jc w:val="both"/>
      </w:pPr>
      <w:r>
        <w:rPr>
          <w:rFonts w:ascii="Verdana" w:hAnsi="Verdana" w:cs="Verdana" w:eastAsia="Verdana"/>
          <w:color w:val="222222"/>
          <w:sz w:val="20"/>
          <w:szCs w:val="20"/>
        </w:rPr>
        <w:t xml:space="preserve">Armbrust, M., Ghodsi, A., Xin, R., y Zaharia, M. (2021). Lakehouse: A new generation of open platforms that unify data warehousing and advanced analytics.</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CIDR 2021</w:t>
      </w:r>
      <w:r>
        <w:rPr>
          <w:rFonts w:ascii="Verdana" w:hAnsi="Verdana" w:cs="Verdana" w:eastAsia="Verdana"/>
          <w:color w:val="222222"/>
          <w:sz w:val="20"/>
          <w:szCs w:val="20"/>
        </w:rPr>
        <w:t xml:space="preserve">. https://www.cidrdb.org/cidr2021/papers/cidr2021_paper17.pdf</w:t>
      </w:r>
    </w:p>
    <w:p>
      <w:pPr>
        <w:pStyle w:val="BodyText"/>
        <w:spacing w:line="276" w:lineRule="auto" w:after="100"/>
        <w:jc w:val="both"/>
      </w:pPr>
      <w:r>
        <w:rPr>
          <w:rFonts w:ascii="Verdana" w:hAnsi="Verdana" w:cs="Verdana" w:eastAsia="Verdana"/>
          <w:color w:val="222222"/>
          <w:sz w:val="20"/>
          <w:szCs w:val="20"/>
        </w:rPr>
        <w:t xml:space="preserve">Barbieri, F., Camacho-Collados, J., Espinosa-Anke, L., y Neves, L. (2022). TweetEval: Unified benchmark and comparative evaluation for tweet classification.</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Findings of EMNLP 2020</w:t>
      </w:r>
      <w:r>
        <w:rPr>
          <w:rFonts w:ascii="Verdana" w:hAnsi="Verdana" w:cs="Verdana" w:eastAsia="Verdana"/>
          <w:color w:val="222222"/>
          <w:sz w:val="20"/>
          <w:szCs w:val="20"/>
        </w:rPr>
        <w:t xml:space="preserve">, 1644–1650. https://doi.org/10.18653/v1/2020.findings-emnlp.148</w:t>
      </w:r>
    </w:p>
    <w:p>
      <w:pPr>
        <w:pStyle w:val="BodyText"/>
        <w:spacing w:line="276" w:lineRule="auto" w:after="100"/>
        <w:jc w:val="both"/>
      </w:pPr>
      <w:r>
        <w:rPr>
          <w:rFonts w:ascii="Verdana" w:hAnsi="Verdana" w:cs="Verdana" w:eastAsia="Verdana"/>
          <w:color w:val="222222"/>
          <w:sz w:val="20"/>
          <w:szCs w:val="20"/>
        </w:rPr>
        <w:t xml:space="preserve">Cabildo de Tenerife.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Agrocabildo: red de estaciones meteorológicas</w:t>
      </w:r>
      <w:r>
        <w:rPr>
          <w:rFonts w:ascii="Verdana" w:hAnsi="Verdana" w:cs="Verdana" w:eastAsia="Verdana"/>
          <w:color w:val="222222"/>
          <w:sz w:val="20"/>
          <w:szCs w:val="20"/>
        </w:rPr>
        <w:t xml:space="preserve">. https://www.agrocabildo.org</w:t>
      </w:r>
    </w:p>
    <w:p>
      <w:pPr>
        <w:pStyle w:val="BodyText"/>
        <w:spacing w:line="276" w:lineRule="auto" w:after="100"/>
        <w:jc w:val="both"/>
      </w:pPr>
      <w:r>
        <w:rPr>
          <w:rFonts w:ascii="Verdana" w:hAnsi="Verdana" w:cs="Verdana" w:eastAsia="Verdana"/>
          <w:color w:val="222222"/>
          <w:sz w:val="20"/>
          <w:szCs w:val="20"/>
        </w:rPr>
        <w:t xml:space="preserve">dbt Labs.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dbt Core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[Software]. https://docs.getdbt.com</w:t>
      </w:r>
    </w:p>
    <w:p>
      <w:pPr>
        <w:pStyle w:val="BodyText"/>
        <w:spacing w:line="276" w:lineRule="auto" w:after="100"/>
        <w:jc w:val="both"/>
      </w:pPr>
      <w:r>
        <w:rPr>
          <w:rFonts w:ascii="Verdana" w:hAnsi="Verdana" w:cs="Verdana" w:eastAsia="Verdana"/>
          <w:color w:val="222222"/>
          <w:sz w:val="20"/>
          <w:szCs w:val="20"/>
        </w:rPr>
        <w:t xml:space="preserve">Gobierno de Canarias.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Estadísticas de turismo</w:t>
      </w:r>
      <w:r>
        <w:rPr>
          <w:rFonts w:ascii="Verdana" w:hAnsi="Verdana" w:cs="Verdana" w:eastAsia="Verdana"/>
          <w:color w:val="222222"/>
          <w:sz w:val="20"/>
          <w:szCs w:val="20"/>
        </w:rPr>
        <w:t xml:space="preserve">. https://www.gobiernodecanarias.org/turismo/</w:t>
      </w:r>
    </w:p>
    <w:p>
      <w:pPr>
        <w:pStyle w:val="BodyText"/>
        <w:spacing w:line="276" w:lineRule="auto" w:after="100"/>
        <w:jc w:val="both"/>
      </w:pPr>
      <w:r>
        <w:rPr>
          <w:rFonts w:ascii="Verdana" w:hAnsi="Verdana" w:cs="Verdana" w:eastAsia="Verdana"/>
          <w:color w:val="222222"/>
          <w:sz w:val="20"/>
          <w:szCs w:val="20"/>
        </w:rPr>
        <w:t xml:space="preserve">Google. (2006).</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General Transit Feed Specification (GTFS) reference</w:t>
      </w:r>
      <w:r>
        <w:rPr>
          <w:rFonts w:ascii="Verdana" w:hAnsi="Verdana" w:cs="Verdana" w:eastAsia="Verdana"/>
          <w:color w:val="222222"/>
          <w:sz w:val="20"/>
          <w:szCs w:val="20"/>
        </w:rPr>
        <w:t xml:space="preserve">. https://gtfs.org/schedule/reference/</w:t>
      </w:r>
    </w:p>
    <w:p>
      <w:pPr>
        <w:pStyle w:val="BodyText"/>
        <w:spacing w:line="276" w:lineRule="auto" w:after="100"/>
        <w:jc w:val="both"/>
      </w:pPr>
      <w:r>
        <w:rPr>
          <w:rFonts w:ascii="Verdana" w:hAnsi="Verdana" w:cs="Verdana" w:eastAsia="Verdana"/>
          <w:color w:val="222222"/>
          <w:sz w:val="20"/>
          <w:szCs w:val="20"/>
        </w:rPr>
        <w:t xml:space="preserve">Google Developers.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YouTube Data API v3</w:t>
      </w:r>
      <w:r>
        <w:rPr>
          <w:rFonts w:ascii="Verdana" w:hAnsi="Verdana" w:cs="Verdana" w:eastAsia="Verdana"/>
          <w:color w:val="222222"/>
          <w:sz w:val="20"/>
          <w:szCs w:val="20"/>
        </w:rPr>
        <w:t xml:space="preserve">. https://developers.google.com/youtube/v3</w:t>
      </w:r>
    </w:p>
    <w:p>
      <w:pPr>
        <w:pStyle w:val="BodyText"/>
        <w:spacing w:line="276" w:lineRule="auto" w:after="100"/>
        <w:jc w:val="both"/>
      </w:pPr>
      <w:r>
        <w:rPr>
          <w:rFonts w:ascii="Verdana" w:hAnsi="Verdana" w:cs="Verdana" w:eastAsia="Verdana"/>
          <w:color w:val="222222"/>
          <w:sz w:val="20"/>
          <w:szCs w:val="20"/>
        </w:rPr>
        <w:t xml:space="preserve">HeiGIT.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OpenRouteService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[Software]. https://openrouteservice.org</w:t>
      </w:r>
    </w:p>
    <w:p>
      <w:pPr>
        <w:pStyle w:val="BodyText"/>
        <w:spacing w:line="276" w:lineRule="auto" w:after="100"/>
        <w:jc w:val="both"/>
      </w:pPr>
      <w:r>
        <w:rPr>
          <w:rFonts w:ascii="Verdana" w:hAnsi="Verdana" w:cs="Verdana" w:eastAsia="Verdana"/>
          <w:color w:val="222222"/>
          <w:sz w:val="20"/>
          <w:szCs w:val="20"/>
        </w:rPr>
        <w:t xml:space="preserve">IDECanarias.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Infraestructura de Datos Espaciales de Canarias: servicios WFS</w:t>
      </w:r>
      <w:r>
        <w:rPr>
          <w:rFonts w:ascii="Verdana" w:hAnsi="Verdana" w:cs="Verdana" w:eastAsia="Verdana"/>
          <w:color w:val="222222"/>
          <w:sz w:val="20"/>
          <w:szCs w:val="20"/>
        </w:rPr>
        <w:t xml:space="preserve">. https://www.idecanarias.es</w:t>
      </w:r>
    </w:p>
    <w:p>
      <w:pPr>
        <w:pStyle w:val="BodyText"/>
        <w:spacing w:line="276" w:lineRule="auto" w:after="100"/>
        <w:jc w:val="both"/>
      </w:pPr>
      <w:r>
        <w:rPr>
          <w:rFonts w:ascii="Verdana" w:hAnsi="Verdana" w:cs="Verdana" w:eastAsia="Verdana"/>
          <w:color w:val="222222"/>
          <w:sz w:val="20"/>
          <w:szCs w:val="20"/>
        </w:rPr>
        <w:t xml:space="preserve">Instituto Canario de Estadística (ISTAC).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Municipios en Cifras (C00067A)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[Conjunto de datos]. https://www.gobiernodecanarias.org/istac/</w:t>
      </w:r>
    </w:p>
    <w:p>
      <w:pPr>
        <w:pStyle w:val="BodyText"/>
        <w:spacing w:line="276" w:lineRule="auto" w:after="100"/>
        <w:jc w:val="both"/>
      </w:pPr>
      <w:r>
        <w:rPr>
          <w:rFonts w:ascii="Verdana" w:hAnsi="Verdana" w:cs="Verdana" w:eastAsia="Verdana"/>
          <w:color w:val="222222"/>
          <w:sz w:val="20"/>
          <w:szCs w:val="20"/>
        </w:rPr>
        <w:t xml:space="preserve">Instituto Canario de Estadística (ISTAC). (2025).</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FRONTUR-Canarias: resultados 2024</w:t>
      </w:r>
      <w:r>
        <w:rPr>
          <w:rFonts w:ascii="Verdana" w:hAnsi="Verdana" w:cs="Verdana" w:eastAsia="Verdana"/>
          <w:color w:val="222222"/>
          <w:sz w:val="20"/>
          <w:szCs w:val="20"/>
        </w:rPr>
        <w:t xml:space="preserve">. https://www.gobiernodecanarias.org/istac/</w:t>
      </w:r>
    </w:p>
    <w:p>
      <w:pPr>
        <w:pStyle w:val="BodyText"/>
        <w:spacing w:line="276" w:lineRule="auto" w:after="100"/>
        <w:jc w:val="both"/>
      </w:pPr>
      <w:r>
        <w:rPr>
          <w:rFonts w:ascii="Verdana" w:hAnsi="Verdana" w:cs="Verdana" w:eastAsia="Verdana"/>
          <w:color w:val="222222"/>
          <w:sz w:val="20"/>
          <w:szCs w:val="20"/>
        </w:rPr>
        <w:t xml:space="preserve">Microsoft.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Azure Database for PostgreSQL – Flexible Server</w:t>
      </w:r>
      <w:r>
        <w:rPr>
          <w:rFonts w:ascii="Verdana" w:hAnsi="Verdana" w:cs="Verdana" w:eastAsia="Verdana"/>
          <w:color w:val="222222"/>
          <w:sz w:val="20"/>
          <w:szCs w:val="20"/>
        </w:rPr>
        <w:t xml:space="preserve">. https://learn.microsoft.com/es-es/azure/postgresql/flexible-server/</w:t>
      </w:r>
    </w:p>
    <w:p>
      <w:pPr>
        <w:pStyle w:val="BodyText"/>
        <w:spacing w:line="276" w:lineRule="auto" w:after="100"/>
        <w:jc w:val="both"/>
      </w:pPr>
      <w:r>
        <w:rPr>
          <w:rFonts w:ascii="Verdana" w:hAnsi="Verdana" w:cs="Verdana" w:eastAsia="Verdana"/>
          <w:color w:val="222222"/>
          <w:sz w:val="20"/>
          <w:szCs w:val="20"/>
        </w:rPr>
        <w:t xml:space="preserve">Milano, C., Novelli, M., y Cheer, J. M. (2019). Overtourism and degrowth: A social movements perspective.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Journal of Sustainable Tourism</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27</w:t>
      </w:r>
      <w:r>
        <w:rPr>
          <w:rFonts w:ascii="Verdana" w:hAnsi="Verdana" w:cs="Verdana" w:eastAsia="Verdana"/>
          <w:color w:val="222222"/>
          <w:sz w:val="20"/>
          <w:szCs w:val="20"/>
        </w:rPr>
        <w:t xml:space="preserve">(12), 1857–1875. https://doi.org/10.1080/09669582.2019.1650054</w:t>
      </w:r>
    </w:p>
    <w:p>
      <w:pPr>
        <w:pStyle w:val="BodyText"/>
        <w:spacing w:line="276" w:lineRule="auto" w:after="100"/>
        <w:jc w:val="both"/>
      </w:pPr>
      <w:r>
        <w:rPr>
          <w:rFonts w:ascii="Verdana" w:hAnsi="Verdana" w:cs="Verdana" w:eastAsia="Verdana"/>
          <w:color w:val="222222"/>
          <w:sz w:val="20"/>
          <w:szCs w:val="20"/>
        </w:rPr>
        <w:t xml:space="preserve">Muñoz-Sabater, J., et al. (2021). ERA5-Land: A state-of-the-art global reanalysis dataset for land applications.</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Earth System Science Data</w:t>
      </w:r>
      <w:r>
        <w:rPr>
          <w:rFonts w:ascii="Verdana" w:hAnsi="Verdana" w:cs="Verdana" w:eastAsia="Verdana"/>
          <w:color w:val="222222"/>
          <w:sz w:val="20"/>
          <w:szCs w:val="20"/>
        </w:rPr>
        <w:t xml:space="preserve">,</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13</w:t>
      </w:r>
      <w:r>
        <w:rPr>
          <w:rFonts w:ascii="Verdana" w:hAnsi="Verdana" w:cs="Verdana" w:eastAsia="Verdana"/>
          <w:color w:val="222222"/>
          <w:sz w:val="20"/>
          <w:szCs w:val="20"/>
        </w:rPr>
        <w:t xml:space="preserve">(9), 4349–4383. https://doi.org/10.5194/essd-13-4349-2021</w:t>
      </w:r>
    </w:p>
    <w:p>
      <w:pPr>
        <w:pStyle w:val="BodyText"/>
        <w:spacing w:line="276" w:lineRule="auto" w:after="100"/>
        <w:jc w:val="both"/>
      </w:pPr>
      <w:r>
        <w:rPr>
          <w:rFonts w:ascii="Verdana" w:hAnsi="Verdana" w:cs="Verdana" w:eastAsia="Verdana"/>
          <w:color w:val="222222"/>
          <w:sz w:val="20"/>
          <w:szCs w:val="20"/>
        </w:rPr>
        <w:t xml:space="preserve">PostGIS Project.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PostGIS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[Software]. https://postgis.net</w:t>
      </w:r>
    </w:p>
    <w:p>
      <w:pPr>
        <w:pStyle w:val="BodyText"/>
        <w:spacing w:line="276" w:lineRule="auto" w:after="100"/>
        <w:jc w:val="both"/>
      </w:pPr>
      <w:r>
        <w:rPr>
          <w:rFonts w:ascii="Verdana" w:hAnsi="Verdana" w:cs="Verdana" w:eastAsia="Verdana"/>
          <w:color w:val="222222"/>
          <w:sz w:val="20"/>
          <w:szCs w:val="20"/>
        </w:rPr>
        <w:t xml:space="preserve">Richardson, L.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Beautiful Soup</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[Software]. https://www.crummy.com/software/BeautifulSoup/</w:t>
      </w:r>
    </w:p>
    <w:p>
      <w:pPr>
        <w:pStyle w:val="BodyText"/>
        <w:spacing w:line="276" w:lineRule="auto" w:after="100"/>
        <w:jc w:val="both"/>
      </w:pPr>
      <w:r>
        <w:rPr>
          <w:rFonts w:ascii="Verdana" w:hAnsi="Verdana" w:cs="Verdana" w:eastAsia="Verdana"/>
          <w:color w:val="222222"/>
          <w:sz w:val="20"/>
          <w:szCs w:val="20"/>
        </w:rPr>
        <w:t xml:space="preserve">The PostgreSQL Global Development Group. (2024).</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PostgreSQL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[Software]. https://www.postgresql.org</w:t>
      </w:r>
    </w:p>
    <w:p>
      <w:pPr>
        <w:pStyle w:val="BodyText"/>
        <w:spacing w:line="276" w:lineRule="auto" w:after="100"/>
        <w:jc w:val="both"/>
      </w:pPr>
      <w:r>
        <w:rPr>
          <w:rFonts w:ascii="Verdana" w:hAnsi="Verdana" w:cs="Verdana" w:eastAsia="Verdana"/>
          <w:color w:val="222222"/>
          <w:sz w:val="20"/>
          <w:szCs w:val="20"/>
        </w:rPr>
        <w:t xml:space="preserve">Turismo de Canarias. (2025).</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Estrategia de turismo regenerativo RegNext</w:t>
      </w:r>
      <w:r>
        <w:rPr>
          <w:rFonts w:ascii="Verdana" w:hAnsi="Verdana" w:cs="Verdana" w:eastAsia="Verdana"/>
          <w:color w:val="222222"/>
          <w:sz w:val="20"/>
          <w:szCs w:val="20"/>
        </w:rPr>
        <w:t xml:space="preserve">. https://www.turismodeislascanarias.com</w:t>
      </w:r>
    </w:p>
    <w:p>
      <w:pPr>
        <w:pStyle w:val="BodyText"/>
        <w:spacing w:line="276" w:lineRule="auto" w:after="100"/>
        <w:jc w:val="both"/>
      </w:pPr>
      <w:r>
        <w:rPr>
          <w:rFonts w:ascii="Verdana" w:hAnsi="Verdana" w:cs="Verdana" w:eastAsia="Verdana"/>
          <w:color w:val="222222"/>
          <w:sz w:val="20"/>
          <w:szCs w:val="20"/>
        </w:rPr>
        <w:t xml:space="preserve">Turismo de Tenerife. (2025).</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Informe de coyuntura turística: resultados 2024</w:t>
      </w:r>
      <w:r>
        <w:rPr>
          <w:rFonts w:ascii="Verdana" w:hAnsi="Verdana" w:cs="Verdana" w:eastAsia="Verdana"/>
          <w:color w:val="222222"/>
          <w:sz w:val="20"/>
          <w:szCs w:val="20"/>
        </w:rPr>
        <w:t xml:space="preserve">. https://www.webtenerife.com</w:t>
      </w:r>
    </w:p>
    <w:p>
      <w:pPr>
        <w:pStyle w:val="BodyText"/>
        <w:spacing w:line="276" w:lineRule="auto" w:after="100"/>
        <w:jc w:val="both"/>
      </w:pPr>
      <w:r>
        <w:rPr>
          <w:rFonts w:ascii="Verdana" w:hAnsi="Verdana" w:cs="Verdana" w:eastAsia="Verdana"/>
          <w:color w:val="222222"/>
          <w:sz w:val="20"/>
          <w:szCs w:val="20"/>
        </w:rPr>
        <w:t xml:space="preserve">Uber Technologies. (2018).</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H3: Hexagonal hierarchical geospatial indexing system</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[Software]. https://h3geo.org</w:t>
      </w:r>
    </w:p>
    <w:p>
      <w:pPr>
        <w:pStyle w:val="BodyText"/>
        <w:spacing w:line="276" w:lineRule="auto" w:after="100"/>
        <w:jc w:val="both"/>
      </w:pPr>
      <w:r>
        <w:rPr>
          <w:rFonts w:ascii="Verdana" w:hAnsi="Verdana" w:cs="Verdana" w:eastAsia="Verdana"/>
          <w:color w:val="222222"/>
          <w:sz w:val="20"/>
          <w:szCs w:val="20"/>
        </w:rPr>
        <w:t xml:space="preserve">Zippenfenig, P. (2023).</w:t>
      </w:r>
      <w:r>
        <w:rPr>
          <w:rFonts w:ascii="Verdana" w:hAnsi="Verdana" w:cs="Verdana" w:eastAsia="Verdana"/>
          <w:color w:val="222222"/>
          <w:sz w:val="20"/>
          <w:szCs w:val="20"/>
        </w:rPr>
        <w:t xml:space="preserve"> </w:t>
      </w:r>
      <w:r>
        <w:rPr>
          <w:i/>
          <w:iCs/>
          <w:rFonts w:ascii="Verdana" w:hAnsi="Verdana" w:cs="Verdana" w:eastAsia="Verdana"/>
          <w:color w:val="222222"/>
          <w:sz w:val="20"/>
          <w:szCs w:val="20"/>
        </w:rPr>
        <w:t xml:space="preserve">Open-Meteo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[Software]. https://open-meteo.com</w:t>
      </w:r>
    </w:p>
    <w:p>
      <w:pPr>
        <w:spacing w:line="276" w:lineRule="auto" w:after="100"/>
        <w:jc w:val="both"/>
      </w:pPr>
      <w:r>
        <w:rPr>
          <w:rFonts w:ascii="Verdana" w:hAnsi="Verdana" w:cs="Verdana" w:eastAsia="Verdana"/>
          <w:color w:val="222222"/>
          <w:sz w:val="20"/>
          <w:szCs w:val="20"/>
        </w:rPr>
        <w:pict>
          <v:rect style="width:0;height:1.5pt" o:hralign="center" o:hrstd="t" o:hr="t"/>
        </w:pict>
      </w:r>
    </w:p>
    <w:bookmarkEnd w:id="50"/>
    <w:bookmarkStart w:id="58" w:name="anexos"/>
    <w:p>
      <w:pPr>
        <w:pStyle w:val="Heading1"/>
        <w:keepNext/>
        <w:spacing w:line="276" w:lineRule="auto" w:before="280" w:after="80"/>
      </w:pPr>
      <w:r>
        <w:rPr>
          <w:rFonts w:ascii="Verdana" w:hAnsi="Verdana" w:cs="Verdana" w:eastAsia="Verdana"/>
          <w:b/>
          <w:color w:val="1F497D"/>
          <w:sz w:val="24"/>
          <w:szCs w:val="24"/>
        </w:rPr>
        <w:t xml:space="preserve">Anexos</w:t>
      </w:r>
    </w:p>
    <w:bookmarkStart w:id="51" w:name="anexo-a-repositorio-de-código-fuente"/>
    <w:p>
      <w:pPr>
        <w:pStyle w:val="Heading2"/>
        <w:keepNext/>
        <w:spacing w:line="276" w:lineRule="auto" w:before="200" w:after="60"/>
      </w:pPr>
      <w:r>
        <w:rPr>
          <w:rFonts w:ascii="Verdana" w:hAnsi="Verdana" w:cs="Verdana" w:eastAsia="Verdana"/>
          <w:b/>
          <w:color w:val="2E6E9E"/>
          <w:sz w:val="22"/>
          <w:szCs w:val="22"/>
        </w:rPr>
        <w:t xml:space="preserve">Anexo A — Repositorio de código fuente</w:t>
      </w:r>
    </w:p>
    <w:p>
      <w:pPr>
        <w:pStyle w:val="FirstParagraph"/>
        <w:spacing w:line="276" w:lineRule="auto" w:after="100"/>
        <w:jc w:val="both"/>
      </w:pPr>
      <w:r>
        <w:rPr>
          <w:rFonts w:ascii="Verdana" w:hAnsi="Verdana" w:cs="Verdana" w:eastAsia="Verdana"/>
          <w:color w:val="222222"/>
          <w:sz w:val="20"/>
          <w:szCs w:val="20"/>
        </w:rPr>
        <w:t xml:space="preserve">El código completo está alojado en el repositorio privado de GitHub: https://github.com/TFM-Pytones/AI_Dashboard_Core. El repositorio cuenta con permisos de acceso explícitamente configurados para los tutores y evaluadores del Máster de la UCM (Carlos Ortega y Santiago Mota), garantizando la completa reproducibilidad técnica del proyecto y la trazabilidad de todos los commits. Organización del repositorio:</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fill="1F497D"/>
          </w:tcPr>
          <w:p>
            <w:pPr>
              <w:pStyle w:val="Compact"/>
              <w:jc w:val="center"/>
            </w:pPr>
            <w:r>
              <w:rPr>
                <w:rFonts w:ascii="Verdana" w:hAnsi="Verdana" w:cs="Verdana" w:eastAsia="Verdana"/>
                <w:b/>
                <w:color w:val="FFFFFF"/>
                <w:sz w:val="19"/>
                <w:szCs w:val="19"/>
              </w:rPr>
              <w:t xml:space="preserve">Directorio</w:t>
            </w:r>
          </w:p>
        </w:tc>
        <w:tc>
          <w:tcPr>
            <w:shd w:fill="1F497D"/>
          </w:tcPr>
          <w:p>
            <w:pPr>
              <w:pStyle w:val="Compact"/>
              <w:jc w:val="center"/>
            </w:pPr>
            <w:r>
              <w:rPr>
                <w:rFonts w:ascii="Verdana" w:hAnsi="Verdana" w:cs="Verdana" w:eastAsia="Verdana"/>
                <w:b/>
                <w:color w:val="FFFFFF"/>
                <w:sz w:val="19"/>
                <w:szCs w:val="19"/>
              </w:rPr>
              <w:t xml:space="preserve">Contenido</w:t>
            </w:r>
          </w:p>
        </w:tc>
      </w:tr>
      <w:tr>
        <w:tc>
          <w:tcPr/>
          <w:p>
            <w:pPr>
              <w:pStyle w:val="Compact"/>
            </w:pPr>
            <w:r>
              <w:rPr>
                <w:rStyle w:val="VerbatimChar"/>
                <w:rFonts w:ascii="Verdana" w:hAnsi="Verdana" w:cs="Verdana" w:eastAsia="Verdana"/>
                <w:color w:val="222222"/>
                <w:sz w:val="18"/>
                <w:szCs w:val="18"/>
              </w:rPr>
              <w:t xml:space="preserve">ingestion/</w:t>
            </w:r>
          </w:p>
        </w:tc>
        <w:tc>
          <w:tcPr/>
          <w:p>
            <w:pPr>
              <w:pStyle w:val="Compact"/>
            </w:pPr>
            <w:r>
              <w:rPr>
                <w:rFonts w:ascii="Verdana" w:hAnsi="Verdana" w:cs="Verdana" w:eastAsia="Verdana"/>
                <w:color w:val="222222"/>
                <w:sz w:val="18"/>
                <w:szCs w:val="18"/>
              </w:rPr>
              <w:t xml:space="preserve">Scripts de extracción por fuente (Agrocabildo, ISTAC, GTFS, YouTube, Booking, satélite)</w:t>
            </w:r>
          </w:p>
        </w:tc>
      </w:tr>
      <w:tr>
        <w:tc>
          <w:tcPr>
            <w:shd w:fill="F9FAFB"/>
          </w:tcPr>
          <w:p>
            <w:pPr>
              <w:pStyle w:val="Compact"/>
            </w:pPr>
            <w:r>
              <w:rPr>
                <w:rStyle w:val="VerbatimChar"/>
                <w:rFonts w:ascii="Verdana" w:hAnsi="Verdana" w:cs="Verdana" w:eastAsia="Verdana"/>
                <w:color w:val="222222"/>
                <w:sz w:val="18"/>
                <w:szCs w:val="18"/>
              </w:rPr>
              <w:t xml:space="preserve">dbt_project/models/silver/</w:t>
            </w:r>
          </w:p>
        </w:tc>
        <w:tc>
          <w:tcPr>
            <w:shd w:fill="F9FAFB"/>
          </w:tcPr>
          <w:p>
            <w:pPr>
              <w:pStyle w:val="Compact"/>
            </w:pPr>
            <w:r>
              <w:rPr>
                <w:rFonts w:ascii="Verdana" w:hAnsi="Verdana" w:cs="Verdana" w:eastAsia="Verdana"/>
                <w:color w:val="222222"/>
                <w:sz w:val="18"/>
                <w:szCs w:val="18"/>
              </w:rPr>
              <w:t xml:space="preserve">Modelos dbt de transformación Bronze→Silver (clima, espacial, ISTAC, YouTube)</w:t>
            </w:r>
          </w:p>
        </w:tc>
      </w:tr>
      <w:tr>
        <w:tc>
          <w:tcPr/>
          <w:p>
            <w:pPr>
              <w:pStyle w:val="Compact"/>
            </w:pPr>
            <w:r>
              <w:rPr>
                <w:rStyle w:val="VerbatimChar"/>
                <w:rFonts w:ascii="Verdana" w:hAnsi="Verdana" w:cs="Verdana" w:eastAsia="Verdana"/>
                <w:color w:val="222222"/>
                <w:sz w:val="18"/>
                <w:szCs w:val="18"/>
              </w:rPr>
              <w:t xml:space="preserve">dbt_project/models/gold/</w:t>
            </w:r>
          </w:p>
        </w:tc>
        <w:tc>
          <w:tcPr/>
          <w:p>
            <w:pPr>
              <w:pStyle w:val="Compact"/>
            </w:pPr>
            <w:r>
              <w:rPr>
                <w:rFonts w:ascii="Verdana" w:hAnsi="Verdana" w:cs="Verdana" w:eastAsia="Verdana"/>
                <w:color w:val="222222"/>
                <w:sz w:val="18"/>
                <w:szCs w:val="18"/>
              </w:rPr>
              <w:t xml:space="preserve">Modelos dbt Gold:</w:t>
            </w:r>
            <w:r>
              <w:rPr>
                <w:rFonts w:ascii="Verdana" w:hAnsi="Verdana" w:cs="Verdana" w:eastAsia="Verdana"/>
                <w:color w:val="222222"/>
                <w:sz w:val="18"/>
                <w:szCs w:val="18"/>
              </w:rPr>
              <w:t xml:space="preserve"> </w:t>
            </w:r>
            <w:r>
              <w:rPr>
                <w:rStyle w:val="VerbatimChar"/>
                <w:rFonts w:ascii="Verdana" w:hAnsi="Verdana" w:cs="Verdana" w:eastAsia="Verdana"/>
                <w:color w:val="222222"/>
                <w:sz w:val="18"/>
                <w:szCs w:val="18"/>
              </w:rPr>
              <w:t xml:space="preserve">gold_h3_master.sql</w:t>
            </w:r>
            <w:r>
              <w:rPr>
                <w:rFonts w:ascii="Verdana" w:hAnsi="Verdana" w:cs="Verdana" w:eastAsia="Verdana"/>
                <w:color w:val="222222"/>
                <w:sz w:val="18"/>
                <w:szCs w:val="18"/>
              </w:rPr>
              <w:t xml:space="preserve">,</w:t>
            </w:r>
            <w:r>
              <w:rPr>
                <w:rFonts w:ascii="Verdana" w:hAnsi="Verdana" w:cs="Verdana" w:eastAsia="Verdana"/>
                <w:color w:val="222222"/>
                <w:sz w:val="18"/>
                <w:szCs w:val="18"/>
              </w:rPr>
              <w:t xml:space="preserve"> </w:t>
            </w:r>
            <w:r>
              <w:rPr>
                <w:rStyle w:val="VerbatimChar"/>
                <w:rFonts w:ascii="Verdana" w:hAnsi="Verdana" w:cs="Verdana" w:eastAsia="Verdana"/>
                <w:color w:val="222222"/>
                <w:sz w:val="18"/>
                <w:szCs w:val="18"/>
              </w:rPr>
              <w:t xml:space="preserve">gold_sentimiento_h3.sql</w:t>
            </w:r>
          </w:p>
        </w:tc>
      </w:tr>
      <w:tr>
        <w:tc>
          <w:tcPr>
            <w:shd w:fill="F9FAFB"/>
          </w:tcPr>
          <w:p>
            <w:pPr>
              <w:pStyle w:val="Compact"/>
            </w:pPr>
            <w:r>
              <w:rPr>
                <w:rStyle w:val="VerbatimChar"/>
                <w:rFonts w:ascii="Verdana" w:hAnsi="Verdana" w:cs="Verdana" w:eastAsia="Verdana"/>
                <w:color w:val="222222"/>
                <w:sz w:val="18"/>
                <w:szCs w:val="18"/>
              </w:rPr>
              <w:t xml:space="preserve">analytics/</w:t>
            </w:r>
          </w:p>
        </w:tc>
        <w:tc>
          <w:tcPr>
            <w:shd w:fill="F9FAFB"/>
          </w:tcPr>
          <w:p>
            <w:pPr>
              <w:pStyle w:val="Compact"/>
            </w:pPr>
            <w:r>
              <w:rPr>
                <w:rFonts w:ascii="Verdana" w:hAnsi="Verdana" w:cs="Verdana" w:eastAsia="Verdana"/>
                <w:color w:val="222222"/>
                <w:sz w:val="18"/>
                <w:szCs w:val="18"/>
              </w:rPr>
              <w:t xml:space="preserve">Scripts Python de analítica avanzada (sentiment, topics, clustering, accesibilidad, LLM)</w:t>
            </w:r>
          </w:p>
        </w:tc>
      </w:tr>
      <w:tr>
        <w:tc>
          <w:tcPr/>
          <w:p>
            <w:pPr>
              <w:pStyle w:val="Compact"/>
            </w:pPr>
            <w:r>
              <w:rPr>
                <w:rStyle w:val="VerbatimChar"/>
                <w:rFonts w:ascii="Verdana" w:hAnsi="Verdana" w:cs="Verdana" w:eastAsia="Verdana"/>
                <w:color w:val="222222"/>
                <w:sz w:val="18"/>
                <w:szCs w:val="18"/>
              </w:rPr>
              <w:t xml:space="preserve">dags/</w:t>
            </w:r>
          </w:p>
        </w:tc>
        <w:tc>
          <w:tcPr/>
          <w:p>
            <w:pPr>
              <w:pStyle w:val="Compact"/>
            </w:pPr>
            <w:r>
              <w:rPr>
                <w:rFonts w:ascii="Verdana" w:hAnsi="Verdana" w:cs="Verdana" w:eastAsia="Verdana"/>
                <w:color w:val="222222"/>
                <w:sz w:val="18"/>
                <w:szCs w:val="18"/>
              </w:rPr>
              <w:t xml:space="preserve">DAGs de Apache Airflow para orquestación del pipeline</w:t>
            </w:r>
          </w:p>
        </w:tc>
      </w:tr>
      <w:tr>
        <w:tc>
          <w:tcPr>
            <w:shd w:fill="F9FAFB"/>
          </w:tcPr>
          <w:p>
            <w:pPr>
              <w:pStyle w:val="Compact"/>
            </w:pPr>
            <w:r>
              <w:rPr>
                <w:rStyle w:val="VerbatimChar"/>
                <w:rFonts w:ascii="Verdana" w:hAnsi="Verdana" w:cs="Verdana" w:eastAsia="Verdana"/>
                <w:color w:val="222222"/>
                <w:sz w:val="18"/>
                <w:szCs w:val="18"/>
              </w:rPr>
              <w:t xml:space="preserve">sql/</w:t>
            </w:r>
          </w:p>
        </w:tc>
        <w:tc>
          <w:tcPr>
            <w:shd w:fill="F9FAFB"/>
          </w:tcPr>
          <w:p>
            <w:pPr>
              <w:pStyle w:val="Compact"/>
            </w:pPr>
            <w:r>
              <w:rPr>
                <w:rFonts w:ascii="Verdana" w:hAnsi="Verdana" w:cs="Verdana" w:eastAsia="Verdana"/>
                <w:color w:val="222222"/>
                <w:sz w:val="18"/>
                <w:szCs w:val="18"/>
              </w:rPr>
              <w:t xml:space="preserve">DDL de esquemas Bronze, Silver y Gold</w:t>
            </w:r>
          </w:p>
        </w:tc>
      </w:tr>
      <w:tr>
        <w:tc>
          <w:tcPr/>
          <w:p>
            <w:pPr>
              <w:pStyle w:val="Compact"/>
            </w:pPr>
            <w:r>
              <w:rPr>
                <w:rStyle w:val="VerbatimChar"/>
                <w:rFonts w:ascii="Verdana" w:hAnsi="Verdana" w:cs="Verdana" w:eastAsia="Verdana"/>
                <w:color w:val="222222"/>
                <w:sz w:val="18"/>
                <w:szCs w:val="18"/>
              </w:rPr>
              <w:t xml:space="preserve">docs/</w:t>
            </w:r>
          </w:p>
        </w:tc>
        <w:tc>
          <w:tcPr/>
          <w:p>
            <w:pPr>
              <w:pStyle w:val="Compact"/>
            </w:pPr>
            <w:r>
              <w:rPr>
                <w:rFonts w:ascii="Verdana" w:hAnsi="Verdana" w:cs="Verdana" w:eastAsia="Verdana"/>
                <w:color w:val="222222"/>
                <w:sz w:val="18"/>
                <w:szCs w:val="18"/>
              </w:rPr>
              <w:t xml:space="preserve">Documentación técnica de arquitectura, pipelines y configuración</w:t>
            </w:r>
          </w:p>
        </w:tc>
      </w:tr>
      <w:tr>
        <w:tc>
          <w:tcPr>
            <w:shd w:fill="F9FAFB"/>
          </w:tcPr>
          <w:p>
            <w:pPr>
              <w:pStyle w:val="Compact"/>
            </w:pPr>
            <w:r>
              <w:rPr>
                <w:rStyle w:val="VerbatimChar"/>
                <w:rFonts w:ascii="Verdana" w:hAnsi="Verdana" w:cs="Verdana" w:eastAsia="Verdana"/>
                <w:color w:val="222222"/>
                <w:sz w:val="18"/>
                <w:szCs w:val="18"/>
              </w:rPr>
              <w:t xml:space="preserve">infra/</w:t>
            </w:r>
          </w:p>
        </w:tc>
        <w:tc>
          <w:tcPr>
            <w:shd w:fill="F9FAFB"/>
          </w:tcPr>
          <w:p>
            <w:pPr>
              <w:pStyle w:val="Compact"/>
            </w:pPr>
            <w:r>
              <w:rPr>
                <w:rFonts w:ascii="Verdana" w:hAnsi="Verdana" w:cs="Verdana" w:eastAsia="Verdana"/>
                <w:color w:val="222222"/>
                <w:sz w:val="18"/>
                <w:szCs w:val="18"/>
              </w:rPr>
              <w:t xml:space="preserve">Configuración de infraestructura Azure</w:t>
            </w:r>
          </w:p>
        </w:tc>
      </w:tr>
    </w:tbl>
    <w:bookmarkEnd w:id="51"/>
    <w:bookmarkStart w:id="52" w:name="anexo-b-variables-de-entorno"/>
    <w:p>
      <w:pPr>
        <w:pStyle w:val="Heading2"/>
        <w:keepNext/>
        <w:spacing w:line="276" w:lineRule="auto" w:before="200" w:after="60"/>
      </w:pPr>
      <w:r>
        <w:rPr>
          <w:rFonts w:ascii="Verdana" w:hAnsi="Verdana" w:cs="Verdana" w:eastAsia="Verdana"/>
          <w:b/>
          <w:color w:val="2E6E9E"/>
          <w:sz w:val="22"/>
          <w:szCs w:val="22"/>
        </w:rPr>
        <w:t xml:space="preserve">Anexo B — Variables de entorno</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fill="1F497D"/>
          </w:tcPr>
          <w:p>
            <w:pPr>
              <w:pStyle w:val="Compact"/>
              <w:jc w:val="center"/>
            </w:pPr>
            <w:r>
              <w:rPr>
                <w:rFonts w:ascii="Verdana" w:hAnsi="Verdana" w:cs="Verdana" w:eastAsia="Verdana"/>
                <w:b/>
                <w:color w:val="FFFFFF"/>
                <w:sz w:val="19"/>
                <w:szCs w:val="19"/>
              </w:rPr>
              <w:t xml:space="preserve">Variable</w:t>
            </w:r>
          </w:p>
        </w:tc>
        <w:tc>
          <w:tcPr>
            <w:shd w:fill="1F497D"/>
          </w:tcPr>
          <w:p>
            <w:pPr>
              <w:pStyle w:val="Compact"/>
              <w:jc w:val="center"/>
            </w:pPr>
            <w:r>
              <w:rPr>
                <w:rFonts w:ascii="Verdana" w:hAnsi="Verdana" w:cs="Verdana" w:eastAsia="Verdana"/>
                <w:b/>
                <w:color w:val="FFFFFF"/>
                <w:sz w:val="19"/>
                <w:szCs w:val="19"/>
              </w:rPr>
              <w:t xml:space="preserve">Descripción</w:t>
            </w:r>
          </w:p>
        </w:tc>
      </w:tr>
      <w:tr>
        <w:tc>
          <w:tcPr/>
          <w:p>
            <w:pPr>
              <w:pStyle w:val="Compact"/>
            </w:pPr>
            <w:r>
              <w:rPr>
                <w:rStyle w:val="VerbatimChar"/>
                <w:rFonts w:ascii="Verdana" w:hAnsi="Verdana" w:cs="Verdana" w:eastAsia="Verdana"/>
                <w:color w:val="222222"/>
                <w:sz w:val="18"/>
                <w:szCs w:val="18"/>
              </w:rPr>
              <w:t xml:space="preserve">AZURE_DB_USER / PASSWORD / HOST / NAME</w:t>
            </w:r>
          </w:p>
        </w:tc>
        <w:tc>
          <w:tcPr/>
          <w:p>
            <w:pPr>
              <w:pStyle w:val="Compact"/>
            </w:pPr>
            <w:r>
              <w:rPr>
                <w:rFonts w:ascii="Verdana" w:hAnsi="Verdana" w:cs="Verdana" w:eastAsia="Verdana"/>
                <w:color w:val="222222"/>
                <w:sz w:val="18"/>
                <w:szCs w:val="18"/>
              </w:rPr>
              <w:t xml:space="preserve">Conexión a Azure PostgreSQL Flexible</w:t>
            </w:r>
          </w:p>
        </w:tc>
      </w:tr>
      <w:tr>
        <w:tc>
          <w:tcPr>
            <w:shd w:fill="F9FAFB"/>
          </w:tcPr>
          <w:p>
            <w:pPr>
              <w:pStyle w:val="Compact"/>
            </w:pPr>
            <w:r>
              <w:rPr>
                <w:rStyle w:val="VerbatimChar"/>
                <w:rFonts w:ascii="Verdana" w:hAnsi="Verdana" w:cs="Verdana" w:eastAsia="Verdana"/>
                <w:color w:val="222222"/>
                <w:sz w:val="18"/>
                <w:szCs w:val="18"/>
              </w:rPr>
              <w:t xml:space="preserve">AZURE_STORAGE_CONNECTION_STRING</w:t>
            </w:r>
          </w:p>
        </w:tc>
        <w:tc>
          <w:tcPr>
            <w:shd w:fill="F9FAFB"/>
          </w:tcPr>
          <w:p>
            <w:pPr>
              <w:pStyle w:val="Compact"/>
            </w:pPr>
            <w:r>
              <w:rPr>
                <w:rFonts w:ascii="Verdana" w:hAnsi="Verdana" w:cs="Verdana" w:eastAsia="Verdana"/>
                <w:color w:val="222222"/>
                <w:sz w:val="18"/>
                <w:szCs w:val="18"/>
              </w:rPr>
              <w:t xml:space="preserve">Azure Blob Storage (</w:t>
            </w:r>
            <w:r>
              <w:rPr>
                <w:rStyle w:val="VerbatimChar"/>
                <w:rFonts w:ascii="Verdana" w:hAnsi="Verdana" w:cs="Verdana" w:eastAsia="Verdana"/>
                <w:color w:val="222222"/>
                <w:sz w:val="18"/>
                <w:szCs w:val="18"/>
              </w:rPr>
              <w:t xml:space="preserve">datalaketfmtenerife</w:t>
            </w:r>
            <w:r>
              <w:rPr>
                <w:rFonts w:ascii="Verdana" w:hAnsi="Verdana" w:cs="Verdana" w:eastAsia="Verdana"/>
                <w:color w:val="222222"/>
                <w:sz w:val="18"/>
                <w:szCs w:val="18"/>
              </w:rPr>
              <w:t xml:space="preserve">)</w:t>
            </w:r>
          </w:p>
        </w:tc>
      </w:tr>
      <w:tr>
        <w:tc>
          <w:tcPr/>
          <w:p>
            <w:pPr>
              <w:pStyle w:val="Compact"/>
            </w:pPr>
            <w:r>
              <w:rPr>
                <w:rStyle w:val="VerbatimChar"/>
                <w:rFonts w:ascii="Verdana" w:hAnsi="Verdana" w:cs="Verdana" w:eastAsia="Verdana"/>
                <w:color w:val="222222"/>
                <w:sz w:val="18"/>
                <w:szCs w:val="18"/>
              </w:rPr>
              <w:t xml:space="preserve">YOUTUBE_API_KEY</w:t>
            </w:r>
          </w:p>
        </w:tc>
        <w:tc>
          <w:tcPr/>
          <w:p>
            <w:pPr>
              <w:pStyle w:val="Compact"/>
            </w:pPr>
            <w:r>
              <w:rPr>
                <w:rFonts w:ascii="Verdana" w:hAnsi="Verdana" w:cs="Verdana" w:eastAsia="Verdana"/>
                <w:color w:val="222222"/>
                <w:sz w:val="18"/>
                <w:szCs w:val="18"/>
              </w:rPr>
              <w:t xml:space="preserve">API de YouTube Data v3 (cuota gratuita 10.000 unidades/día)</w:t>
            </w:r>
          </w:p>
        </w:tc>
      </w:tr>
      <w:tr>
        <w:tc>
          <w:tcPr>
            <w:shd w:fill="F9FAFB"/>
          </w:tcPr>
          <w:p>
            <w:pPr>
              <w:pStyle w:val="Compact"/>
            </w:pPr>
            <w:r>
              <w:rPr>
                <w:rStyle w:val="VerbatimChar"/>
                <w:rFonts w:ascii="Verdana" w:hAnsi="Verdana" w:cs="Verdana" w:eastAsia="Verdana"/>
                <w:color w:val="222222"/>
                <w:sz w:val="18"/>
                <w:szCs w:val="18"/>
              </w:rPr>
              <w:t xml:space="preserve">GROQ_API_KEY</w:t>
            </w:r>
          </w:p>
        </w:tc>
        <w:tc>
          <w:tcPr>
            <w:shd w:fill="F9FAFB"/>
          </w:tcPr>
          <w:p>
            <w:pPr>
              <w:pStyle w:val="Compact"/>
            </w:pPr>
            <w:r>
              <w:rPr>
                <w:rFonts w:ascii="Verdana" w:hAnsi="Verdana" w:cs="Verdana" w:eastAsia="Verdana"/>
                <w:color w:val="222222"/>
                <w:sz w:val="18"/>
                <w:szCs w:val="18"/>
              </w:rPr>
              <w:t xml:space="preserve">API de Groq para generación de informes LLM</w:t>
            </w:r>
          </w:p>
        </w:tc>
      </w:tr>
      <w:tr>
        <w:tc>
          <w:tcPr/>
          <w:p>
            <w:pPr>
              <w:pStyle w:val="Compact"/>
            </w:pPr>
            <w:r>
              <w:rPr>
                <w:rStyle w:val="VerbatimChar"/>
                <w:rFonts w:ascii="Verdana" w:hAnsi="Verdana" w:cs="Verdana" w:eastAsia="Verdana"/>
                <w:color w:val="222222"/>
                <w:sz w:val="18"/>
                <w:szCs w:val="18"/>
              </w:rPr>
              <w:t xml:space="preserve">ORS_API_KEY</w:t>
            </w:r>
          </w:p>
        </w:tc>
        <w:tc>
          <w:tcPr/>
          <w:p>
            <w:pPr>
              <w:pStyle w:val="Compact"/>
            </w:pPr>
            <w:r>
              <w:rPr>
                <w:rFonts w:ascii="Verdana" w:hAnsi="Verdana" w:cs="Verdana" w:eastAsia="Verdana"/>
                <w:color w:val="222222"/>
                <w:sz w:val="18"/>
                <w:szCs w:val="18"/>
              </w:rPr>
              <w:t xml:space="preserve">API de OpenRouteService (plan gratuito) para isócronas</w:t>
            </w:r>
          </w:p>
        </w:tc>
      </w:tr>
    </w:tbl>
    <w:p>
      <w:pPr>
        <w:pStyle w:val="BodyText"/>
        <w:spacing w:line="276" w:lineRule="auto" w:after="100"/>
        <w:jc w:val="both"/>
      </w:pPr>
      <w:r>
        <w:rPr>
          <w:rFonts w:ascii="Verdana" w:hAnsi="Verdana" w:cs="Verdana" w:eastAsia="Verdana"/>
          <w:color w:val="222222"/>
          <w:sz w:val="20"/>
          <w:szCs w:val="20"/>
        </w:rPr>
        <w:t xml:space="preserve">El fichero</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.env.example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del repositorio contiene la plantilla completa con todas las variables necesarias.</w:t>
      </w:r>
    </w:p>
    <w:bookmarkEnd w:id="52"/>
    <w:bookmarkStart w:id="53" w:name="anexo-c-esquemas-sql-y-modelos-dbt"/>
    <w:p>
      <w:pPr>
        <w:pStyle w:val="Heading2"/>
        <w:keepNext/>
        <w:spacing w:line="276" w:lineRule="auto" w:before="200" w:after="60"/>
      </w:pPr>
      <w:r>
        <w:rPr>
          <w:rFonts w:ascii="Verdana" w:hAnsi="Verdana" w:cs="Verdana" w:eastAsia="Verdana"/>
          <w:b/>
          <w:color w:val="2E6E9E"/>
          <w:sz w:val="22"/>
          <w:szCs w:val="22"/>
        </w:rPr>
        <w:t xml:space="preserve">Anexo C — Esquemas SQL y modelos dbt</w:t>
      </w:r>
    </w:p>
    <w:p>
      <w:pPr>
        <w:pStyle w:val="FirstParagraph"/>
        <w:spacing w:line="276" w:lineRule="auto" w:after="100"/>
        <w:jc w:val="both"/>
      </w:pPr>
      <w:r>
        <w:rPr>
          <w:rFonts w:ascii="Verdana" w:hAnsi="Verdana" w:cs="Verdana" w:eastAsia="Verdana"/>
          <w:color w:val="222222"/>
          <w:sz w:val="20"/>
          <w:szCs w:val="20"/>
        </w:rPr>
        <w:t xml:space="preserve">Definiciones DDL completas de las tablas principales (Bronze, Silver, Gold) incluyendo tipos de columna, restricciones, índices GIST y comentarios de documentación. Disponible 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sql/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del repositorio.</w:t>
      </w:r>
    </w:p>
    <w:p>
      <w:pPr>
        <w:pStyle w:val="BodyText"/>
        <w:spacing w:line="276" w:lineRule="auto" w:after="100"/>
        <w:jc w:val="both"/>
      </w:pPr>
      <w:r>
        <w:rPr>
          <w:rFonts w:ascii="Verdana" w:hAnsi="Verdana" w:cs="Verdana" w:eastAsia="Verdana"/>
          <w:color w:val="222222"/>
          <w:sz w:val="20"/>
          <w:szCs w:val="20"/>
        </w:rPr>
        <w:t xml:space="preserve">Modelos dbt activos: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fill="1F497D"/>
          </w:tcPr>
          <w:p>
            <w:pPr>
              <w:pStyle w:val="Compact"/>
              <w:jc w:val="center"/>
            </w:pPr>
            <w:r>
              <w:rPr>
                <w:rFonts w:ascii="Verdana" w:hAnsi="Verdana" w:cs="Verdana" w:eastAsia="Verdana"/>
                <w:b/>
                <w:color w:val="FFFFFF"/>
                <w:sz w:val="19"/>
                <w:szCs w:val="19"/>
              </w:rPr>
              <w:t xml:space="preserve">Capa</w:t>
            </w:r>
          </w:p>
        </w:tc>
        <w:tc>
          <w:tcPr>
            <w:shd w:fill="1F497D"/>
          </w:tcPr>
          <w:p>
            <w:pPr>
              <w:pStyle w:val="Compact"/>
              <w:jc w:val="center"/>
            </w:pPr>
            <w:r>
              <w:rPr>
                <w:rFonts w:ascii="Verdana" w:hAnsi="Verdana" w:cs="Verdana" w:eastAsia="Verdana"/>
                <w:b/>
                <w:color w:val="FFFFFF"/>
                <w:sz w:val="19"/>
                <w:szCs w:val="19"/>
              </w:rPr>
              <w:t xml:space="preserve">Modelo</w:t>
            </w:r>
          </w:p>
        </w:tc>
        <w:tc>
          <w:tcPr>
            <w:shd w:fill="1F497D"/>
          </w:tcPr>
          <w:p>
            <w:pPr>
              <w:pStyle w:val="Compact"/>
              <w:jc w:val="center"/>
            </w:pPr>
            <w:r>
              <w:rPr>
                <w:rFonts w:ascii="Verdana" w:hAnsi="Verdana" w:cs="Verdana" w:eastAsia="Verdana"/>
                <w:b/>
                <w:color w:val="FFFFFF"/>
                <w:sz w:val="19"/>
                <w:szCs w:val="19"/>
              </w:rPr>
              <w:t xml:space="preserve">Descripción</w:t>
            </w:r>
          </w:p>
        </w:tc>
      </w:tr>
      <w:tr>
        <w:tc>
          <w:tcPr/>
          <w:p>
            <w:pPr>
              <w:pStyle w:val="Compact"/>
            </w:pPr>
            <w:r>
              <w:rPr>
                <w:rFonts w:ascii="Verdana" w:hAnsi="Verdana" w:cs="Verdana" w:eastAsia="Verdana"/>
                <w:color w:val="222222"/>
                <w:sz w:val="18"/>
                <w:szCs w:val="18"/>
              </w:rPr>
              <w:t xml:space="preserve">Silver</w:t>
            </w:r>
          </w:p>
        </w:tc>
        <w:tc>
          <w:tcPr/>
          <w:p>
            <w:pPr>
              <w:pStyle w:val="Compact"/>
            </w:pPr>
            <w:r>
              <w:rPr>
                <w:rStyle w:val="VerbatimChar"/>
                <w:rFonts w:ascii="Verdana" w:hAnsi="Verdana" w:cs="Verdana" w:eastAsia="Verdana"/>
                <w:color w:val="222222"/>
                <w:sz w:val="18"/>
                <w:szCs w:val="18"/>
              </w:rPr>
              <w:t xml:space="preserve">silver_clima_agrocabildo</w:t>
            </w:r>
          </w:p>
        </w:tc>
        <w:tc>
          <w:tcPr/>
          <w:p>
            <w:pPr>
              <w:pStyle w:val="Compact"/>
            </w:pPr>
            <w:r>
              <w:rPr>
                <w:rFonts w:ascii="Verdana" w:hAnsi="Verdana" w:cs="Verdana" w:eastAsia="Verdana"/>
                <w:color w:val="222222"/>
                <w:sz w:val="18"/>
                <w:szCs w:val="18"/>
              </w:rPr>
              <w:t xml:space="preserve">Lecturas horarias filtradas, sin códigos de error</w:t>
            </w:r>
          </w:p>
        </w:tc>
      </w:tr>
      <w:tr>
        <w:tc>
          <w:tcPr>
            <w:shd w:fill="F9FAFB"/>
          </w:tcPr>
          <w:p>
            <w:pPr>
              <w:pStyle w:val="Compact"/>
            </w:pPr>
            <w:r>
              <w:rPr>
                <w:rFonts w:ascii="Verdana" w:hAnsi="Verdana" w:cs="Verdana" w:eastAsia="Verdana"/>
                <w:color w:val="222222"/>
                <w:sz w:val="18"/>
                <w:szCs w:val="18"/>
              </w:rPr>
              <w:t xml:space="preserve">Silver</w:t>
            </w:r>
          </w:p>
        </w:tc>
        <w:tc>
          <w:tcPr>
            <w:shd w:fill="F9FAFB"/>
          </w:tcPr>
          <w:p>
            <w:pPr>
              <w:pStyle w:val="Compact"/>
            </w:pPr>
            <w:r>
              <w:rPr>
                <w:rStyle w:val="VerbatimChar"/>
                <w:rFonts w:ascii="Verdana" w:hAnsi="Verdana" w:cs="Verdana" w:eastAsia="Verdana"/>
                <w:color w:val="222222"/>
                <w:sz w:val="18"/>
                <w:szCs w:val="18"/>
              </w:rPr>
              <w:t xml:space="preserve">silver_estaciones_agrocabildo</w:t>
            </w:r>
          </w:p>
        </w:tc>
        <w:tc>
          <w:tcPr>
            <w:shd w:fill="F9FAFB"/>
          </w:tcPr>
          <w:p>
            <w:pPr>
              <w:pStyle w:val="Compact"/>
            </w:pPr>
            <w:r>
              <w:rPr>
                <w:rFonts w:ascii="Verdana" w:hAnsi="Verdana" w:cs="Verdana" w:eastAsia="Verdana"/>
                <w:color w:val="222222"/>
                <w:sz w:val="18"/>
                <w:szCs w:val="18"/>
              </w:rPr>
              <w:t xml:space="preserve">Metadatos de las 67 estaciones con geometría</w:t>
            </w:r>
          </w:p>
        </w:tc>
      </w:tr>
      <w:tr>
        <w:tc>
          <w:tcPr/>
          <w:p>
            <w:pPr>
              <w:pStyle w:val="Compact"/>
            </w:pPr>
            <w:r>
              <w:rPr>
                <w:rFonts w:ascii="Verdana" w:hAnsi="Verdana" w:cs="Verdana" w:eastAsia="Verdana"/>
                <w:color w:val="222222"/>
                <w:sz w:val="18"/>
                <w:szCs w:val="18"/>
              </w:rPr>
              <w:t xml:space="preserve">Silver</w:t>
            </w:r>
          </w:p>
        </w:tc>
        <w:tc>
          <w:tcPr/>
          <w:p>
            <w:pPr>
              <w:pStyle w:val="Compact"/>
            </w:pPr>
            <w:r>
              <w:rPr>
                <w:rStyle w:val="VerbatimChar"/>
                <w:rFonts w:ascii="Verdana" w:hAnsi="Verdana" w:cs="Verdana" w:eastAsia="Verdana"/>
                <w:color w:val="222222"/>
                <w:sz w:val="18"/>
                <w:szCs w:val="18"/>
              </w:rPr>
              <w:t xml:space="preserve">silver_era5land</w:t>
            </w:r>
          </w:p>
        </w:tc>
        <w:tc>
          <w:tcPr/>
          <w:p>
            <w:pPr>
              <w:pStyle w:val="Compact"/>
            </w:pPr>
            <w:r>
              <w:rPr>
                <w:rFonts w:ascii="Verdana" w:hAnsi="Verdana" w:cs="Verdana" w:eastAsia="Verdana"/>
                <w:color w:val="222222"/>
                <w:sz w:val="18"/>
                <w:szCs w:val="18"/>
              </w:rPr>
              <w:t xml:space="preserve">Reanálisis ERA5-Land con conversión de unidades</w:t>
            </w:r>
          </w:p>
        </w:tc>
      </w:tr>
      <w:tr>
        <w:tc>
          <w:tcPr>
            <w:shd w:fill="F9FAFB"/>
          </w:tcPr>
          <w:p>
            <w:pPr>
              <w:pStyle w:val="Compact"/>
            </w:pPr>
            <w:r>
              <w:rPr>
                <w:rFonts w:ascii="Verdana" w:hAnsi="Verdana" w:cs="Verdana" w:eastAsia="Verdana"/>
                <w:color w:val="222222"/>
                <w:sz w:val="18"/>
                <w:szCs w:val="18"/>
              </w:rPr>
              <w:t xml:space="preserve">Silver</w:t>
            </w:r>
          </w:p>
        </w:tc>
        <w:tc>
          <w:tcPr>
            <w:shd w:fill="F9FAFB"/>
          </w:tcPr>
          <w:p>
            <w:pPr>
              <w:pStyle w:val="Compact"/>
            </w:pPr>
            <w:r>
              <w:rPr>
                <w:rStyle w:val="VerbatimChar"/>
                <w:rFonts w:ascii="Verdana" w:hAnsi="Verdana" w:cs="Verdana" w:eastAsia="Verdana"/>
                <w:color w:val="222222"/>
                <w:sz w:val="18"/>
                <w:szCs w:val="18"/>
              </w:rPr>
              <w:t xml:space="preserve">silver_limites_municipales</w:t>
            </w:r>
          </w:p>
        </w:tc>
        <w:tc>
          <w:tcPr>
            <w:shd w:fill="F9FAFB"/>
          </w:tcPr>
          <w:p>
            <w:pPr>
              <w:pStyle w:val="Compact"/>
            </w:pPr>
            <w:r>
              <w:rPr>
                <w:rFonts w:ascii="Verdana" w:hAnsi="Verdana" w:cs="Verdana" w:eastAsia="Verdana"/>
                <w:color w:val="222222"/>
                <w:sz w:val="18"/>
                <w:szCs w:val="18"/>
              </w:rPr>
              <w:t xml:space="preserve">31 municipios con área y centroide</w:t>
            </w:r>
          </w:p>
        </w:tc>
      </w:tr>
      <w:tr>
        <w:tc>
          <w:tcPr/>
          <w:p>
            <w:pPr>
              <w:pStyle w:val="Compact"/>
            </w:pPr>
            <w:r>
              <w:rPr>
                <w:rFonts w:ascii="Verdana" w:hAnsi="Verdana" w:cs="Verdana" w:eastAsia="Verdana"/>
                <w:color w:val="222222"/>
                <w:sz w:val="18"/>
                <w:szCs w:val="18"/>
              </w:rPr>
              <w:t xml:space="preserve">Silver</w:t>
            </w:r>
          </w:p>
        </w:tc>
        <w:tc>
          <w:tcPr/>
          <w:p>
            <w:pPr>
              <w:pStyle w:val="Compact"/>
            </w:pPr>
            <w:r>
              <w:rPr>
                <w:rStyle w:val="VerbatimChar"/>
                <w:rFonts w:ascii="Verdana" w:hAnsi="Verdana" w:cs="Verdana" w:eastAsia="Verdana"/>
                <w:color w:val="222222"/>
                <w:sz w:val="18"/>
                <w:szCs w:val="18"/>
              </w:rPr>
              <w:t xml:space="preserve">silver_gtfs_paradas</w:t>
            </w:r>
          </w:p>
        </w:tc>
        <w:tc>
          <w:tcPr/>
          <w:p>
            <w:pPr>
              <w:pStyle w:val="Compact"/>
            </w:pPr>
            <w:r>
              <w:rPr>
                <w:rFonts w:ascii="Verdana" w:hAnsi="Verdana" w:cs="Verdana" w:eastAsia="Verdana"/>
                <w:color w:val="222222"/>
                <w:sz w:val="18"/>
                <w:szCs w:val="18"/>
              </w:rPr>
              <w:t xml:space="preserve">3.893 paradas TITSA/Metropolitano con geometría POINT</w:t>
            </w:r>
          </w:p>
        </w:tc>
      </w:tr>
      <w:tr>
        <w:tc>
          <w:tcPr>
            <w:shd w:fill="F9FAFB"/>
          </w:tcPr>
          <w:p>
            <w:pPr>
              <w:pStyle w:val="Compact"/>
            </w:pPr>
            <w:r>
              <w:rPr>
                <w:rFonts w:ascii="Verdana" w:hAnsi="Verdana" w:cs="Verdana" w:eastAsia="Verdana"/>
                <w:color w:val="222222"/>
                <w:sz w:val="18"/>
                <w:szCs w:val="18"/>
              </w:rPr>
              <w:t xml:space="preserve">Silver</w:t>
            </w:r>
          </w:p>
        </w:tc>
        <w:tc>
          <w:tcPr>
            <w:shd w:fill="F9FAFB"/>
          </w:tcPr>
          <w:p>
            <w:pPr>
              <w:pStyle w:val="Compact"/>
            </w:pPr>
            <w:r>
              <w:rPr>
                <w:rStyle w:val="VerbatimChar"/>
                <w:rFonts w:ascii="Verdana" w:hAnsi="Verdana" w:cs="Verdana" w:eastAsia="Verdana"/>
                <w:color w:val="222222"/>
                <w:sz w:val="18"/>
                <w:szCs w:val="18"/>
              </w:rPr>
              <w:t xml:space="preserve">silver_gtfs_rutas</w:t>
            </w:r>
          </w:p>
        </w:tc>
        <w:tc>
          <w:tcPr>
            <w:shd w:fill="F9FAFB"/>
          </w:tcPr>
          <w:p>
            <w:pPr>
              <w:pStyle w:val="Compact"/>
            </w:pPr>
            <w:r>
              <w:rPr>
                <w:rFonts w:ascii="Verdana" w:hAnsi="Verdana" w:cs="Verdana" w:eastAsia="Verdana"/>
                <w:color w:val="222222"/>
                <w:sz w:val="18"/>
                <w:szCs w:val="18"/>
              </w:rPr>
              <w:t xml:space="preserve">Trazados de líneas con tipo normalizado</w:t>
            </w:r>
          </w:p>
        </w:tc>
      </w:tr>
      <w:tr>
        <w:tc>
          <w:tcPr/>
          <w:p>
            <w:pPr>
              <w:pStyle w:val="Compact"/>
            </w:pPr>
            <w:r>
              <w:rPr>
                <w:rFonts w:ascii="Verdana" w:hAnsi="Verdana" w:cs="Verdana" w:eastAsia="Verdana"/>
                <w:color w:val="222222"/>
                <w:sz w:val="18"/>
                <w:szCs w:val="18"/>
              </w:rPr>
              <w:t xml:space="preserve">Silver</w:t>
            </w:r>
          </w:p>
        </w:tc>
        <w:tc>
          <w:tcPr/>
          <w:p>
            <w:pPr>
              <w:pStyle w:val="Compact"/>
            </w:pPr>
            <w:r>
              <w:rPr>
                <w:rStyle w:val="VerbatimChar"/>
                <w:rFonts w:ascii="Verdana" w:hAnsi="Verdana" w:cs="Verdana" w:eastAsia="Verdana"/>
                <w:color w:val="222222"/>
                <w:sz w:val="18"/>
                <w:szCs w:val="18"/>
              </w:rPr>
              <w:t xml:space="preserve">silver_istac_mensual</w:t>
            </w:r>
          </w:p>
        </w:tc>
        <w:tc>
          <w:tcPr/>
          <w:p>
            <w:pPr>
              <w:pStyle w:val="Compact"/>
            </w:pPr>
            <w:r>
              <w:rPr>
                <w:rFonts w:ascii="Verdana" w:hAnsi="Verdana" w:cs="Verdana" w:eastAsia="Verdana"/>
                <w:color w:val="222222"/>
                <w:sz w:val="18"/>
                <w:szCs w:val="18"/>
              </w:rPr>
              <w:t xml:space="preserve">Pernoctaciones, ocupación y empleo por municipio</w:t>
            </w:r>
          </w:p>
        </w:tc>
      </w:tr>
      <w:tr>
        <w:tc>
          <w:tcPr>
            <w:shd w:fill="F9FAFB"/>
          </w:tcPr>
          <w:p>
            <w:pPr>
              <w:pStyle w:val="Compact"/>
            </w:pPr>
            <w:r>
              <w:rPr>
                <w:rFonts w:ascii="Verdana" w:hAnsi="Verdana" w:cs="Verdana" w:eastAsia="Verdana"/>
                <w:color w:val="222222"/>
                <w:sz w:val="18"/>
                <w:szCs w:val="18"/>
              </w:rPr>
              <w:t xml:space="preserve">Silver</w:t>
            </w:r>
          </w:p>
        </w:tc>
        <w:tc>
          <w:tcPr>
            <w:shd w:fill="F9FAFB"/>
          </w:tcPr>
          <w:p>
            <w:pPr>
              <w:pStyle w:val="Compact"/>
            </w:pPr>
            <w:r>
              <w:rPr>
                <w:rStyle w:val="VerbatimChar"/>
                <w:rFonts w:ascii="Verdana" w:hAnsi="Verdana" w:cs="Verdana" w:eastAsia="Verdana"/>
                <w:color w:val="222222"/>
                <w:sz w:val="18"/>
                <w:szCs w:val="18"/>
              </w:rPr>
              <w:t xml:space="preserve">silver_youtube</w:t>
            </w:r>
          </w:p>
        </w:tc>
        <w:tc>
          <w:tcPr>
            <w:shd w:fill="F9FAFB"/>
          </w:tcPr>
          <w:p>
            <w:pPr>
              <w:pStyle w:val="Compact"/>
            </w:pPr>
            <w:r>
              <w:rPr>
                <w:rFonts w:ascii="Verdana" w:hAnsi="Verdana" w:cs="Verdana" w:eastAsia="Verdana"/>
                <w:color w:val="222222"/>
                <w:sz w:val="18"/>
                <w:szCs w:val="18"/>
              </w:rPr>
              <w:t xml:space="preserve">Vídeos con métricas de engagement calculadas</w:t>
            </w:r>
          </w:p>
        </w:tc>
      </w:tr>
      <w:tr>
        <w:tc>
          <w:tcPr/>
          <w:p>
            <w:pPr>
              <w:pStyle w:val="Compact"/>
            </w:pPr>
            <w:r>
              <w:rPr>
                <w:rFonts w:ascii="Verdana" w:hAnsi="Verdana" w:cs="Verdana" w:eastAsia="Verdana"/>
                <w:color w:val="222222"/>
                <w:sz w:val="18"/>
                <w:szCs w:val="18"/>
              </w:rPr>
              <w:t xml:space="preserve">Silver</w:t>
            </w:r>
          </w:p>
        </w:tc>
        <w:tc>
          <w:tcPr/>
          <w:p>
            <w:pPr>
              <w:pStyle w:val="Compact"/>
            </w:pPr>
            <w:r>
              <w:rPr>
                <w:rStyle w:val="VerbatimChar"/>
                <w:rFonts w:ascii="Verdana" w:hAnsi="Verdana" w:cs="Verdana" w:eastAsia="Verdana"/>
                <w:color w:val="222222"/>
                <w:sz w:val="18"/>
                <w:szCs w:val="18"/>
              </w:rPr>
              <w:t xml:space="preserve">silver_losviajeros</w:t>
            </w:r>
          </w:p>
        </w:tc>
        <w:tc>
          <w:tcPr/>
          <w:p>
            <w:pPr>
              <w:pStyle w:val="Compact"/>
            </w:pPr>
            <w:r>
              <w:rPr>
                <w:rFonts w:ascii="Verdana" w:hAnsi="Verdana" w:cs="Verdana" w:eastAsia="Verdana"/>
                <w:color w:val="222222"/>
                <w:sz w:val="18"/>
                <w:szCs w:val="18"/>
              </w:rPr>
              <w:t xml:space="preserve">Temas del foro con métricas de actividad</w:t>
            </w:r>
          </w:p>
        </w:tc>
      </w:tr>
      <w:tr>
        <w:tc>
          <w:tcPr>
            <w:shd w:fill="F9FAFB"/>
          </w:tcPr>
          <w:p>
            <w:pPr>
              <w:pStyle w:val="Compact"/>
            </w:pPr>
            <w:r>
              <w:rPr>
                <w:rFonts w:ascii="Verdana" w:hAnsi="Verdana" w:cs="Verdana" w:eastAsia="Verdana"/>
                <w:color w:val="222222"/>
                <w:sz w:val="18"/>
                <w:szCs w:val="18"/>
              </w:rPr>
              <w:t xml:space="preserve">Gold</w:t>
            </w:r>
          </w:p>
        </w:tc>
        <w:tc>
          <w:tcPr>
            <w:shd w:fill="F9FAFB"/>
          </w:tcPr>
          <w:p>
            <w:pPr>
              <w:pStyle w:val="Compact"/>
            </w:pPr>
            <w:r>
              <w:rPr>
                <w:rStyle w:val="VerbatimChar"/>
                <w:rFonts w:ascii="Verdana" w:hAnsi="Verdana" w:cs="Verdana" w:eastAsia="Verdana"/>
                <w:color w:val="222222"/>
                <w:sz w:val="18"/>
                <w:szCs w:val="18"/>
              </w:rPr>
              <w:t xml:space="preserve">gold_h3_master</w:t>
            </w:r>
          </w:p>
        </w:tc>
        <w:tc>
          <w:tcPr>
            <w:shd w:fill="F9FAFB"/>
          </w:tcPr>
          <w:p>
            <w:pPr>
              <w:pStyle w:val="Compact"/>
            </w:pPr>
            <w:r>
              <w:rPr>
                <w:rFonts w:ascii="Verdana" w:hAnsi="Verdana" w:cs="Verdana" w:eastAsia="Verdana"/>
                <w:color w:val="222222"/>
                <w:sz w:val="18"/>
                <w:szCs w:val="18"/>
              </w:rPr>
              <w:t xml:space="preserve">Tabla maestra H3 con 60+ indicadores por hexágono</w:t>
            </w:r>
          </w:p>
        </w:tc>
      </w:tr>
      <w:tr>
        <w:tc>
          <w:tcPr/>
          <w:p>
            <w:pPr>
              <w:pStyle w:val="Compact"/>
            </w:pPr>
            <w:r>
              <w:rPr>
                <w:rFonts w:ascii="Verdana" w:hAnsi="Verdana" w:cs="Verdana" w:eastAsia="Verdana"/>
                <w:color w:val="222222"/>
                <w:sz w:val="18"/>
                <w:szCs w:val="18"/>
              </w:rPr>
              <w:t xml:space="preserve">Gold</w:t>
            </w:r>
          </w:p>
        </w:tc>
        <w:tc>
          <w:tcPr/>
          <w:p>
            <w:pPr>
              <w:pStyle w:val="Compact"/>
            </w:pPr>
            <w:r>
              <w:rPr>
                <w:rStyle w:val="VerbatimChar"/>
                <w:rFonts w:ascii="Verdana" w:hAnsi="Verdana" w:cs="Verdana" w:eastAsia="Verdana"/>
                <w:color w:val="222222"/>
                <w:sz w:val="18"/>
                <w:szCs w:val="18"/>
              </w:rPr>
              <w:t xml:space="preserve">gold_sentimiento_h3</w:t>
            </w:r>
          </w:p>
        </w:tc>
        <w:tc>
          <w:tcPr/>
          <w:p>
            <w:pPr>
              <w:pStyle w:val="Compact"/>
            </w:pPr>
            <w:r>
              <w:rPr>
                <w:rFonts w:ascii="Verdana" w:hAnsi="Verdana" w:cs="Verdana" w:eastAsia="Verdana"/>
                <w:color w:val="222222"/>
                <w:sz w:val="18"/>
                <w:szCs w:val="18"/>
              </w:rPr>
              <w:t xml:space="preserve">Sentimiento medio agregado por hexágono</w:t>
            </w:r>
          </w:p>
        </w:tc>
      </w:tr>
    </w:tbl>
    <w:bookmarkEnd w:id="53"/>
    <w:bookmarkStart w:id="54" w:name="anexo-d-código-de-analítica-avanzada"/>
    <w:p>
      <w:pPr>
        <w:pStyle w:val="Heading2"/>
        <w:keepNext/>
        <w:spacing w:line="276" w:lineRule="auto" w:before="200" w:after="60"/>
      </w:pPr>
      <w:r>
        <w:rPr>
          <w:rFonts w:ascii="Verdana" w:hAnsi="Verdana" w:cs="Verdana" w:eastAsia="Verdana"/>
          <w:b/>
          <w:color w:val="2E6E9E"/>
          <w:sz w:val="22"/>
          <w:szCs w:val="22"/>
        </w:rPr>
        <w:t xml:space="preserve">Anexo D — Código de analítica avanzada</w:t>
      </w:r>
    </w:p>
    <w:p>
      <w:pPr>
        <w:pStyle w:val="FirstParagraph"/>
        <w:spacing w:line="276" w:lineRule="auto" w:after="100"/>
        <w:jc w:val="both"/>
      </w:pPr>
      <w:r>
        <w:rPr>
          <w:rFonts w:ascii="Verdana" w:hAnsi="Verdana" w:cs="Verdana" w:eastAsia="Verdana"/>
          <w:color w:val="222222"/>
          <w:sz w:val="20"/>
          <w:szCs w:val="20"/>
        </w:rPr>
        <w:t xml:space="preserve">Scripts Python del directorio</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analytics/</w:t>
      </w:r>
      <w:r>
        <w:rPr>
          <w:rFonts w:ascii="Verdana" w:hAnsi="Verdana" w:cs="Verdana" w:eastAsia="Verdana"/>
          <w:color w:val="222222"/>
          <w:sz w:val="20"/>
          <w:szCs w:val="20"/>
        </w:rPr>
        <w:t xml:space="preserve">:</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sentiment/batch_inference.py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Inferencia de sentimiento por lotes (NLP multilingüe)</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topics/topic_modeling.py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Modelado de tópicos con BERTopic (Modelos A y B)</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aspects/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Extracción de aspectos con pyabsa</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clustering/build_features.py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Construcción de features normalizadas para HDBSCAN</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accesibilidad/gold_isocronas_visuales.py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Isócronas para 18 destinos (ORS API)</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accesibilidad/gold_h3_accesibilidad.py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Score de accesibilidad compuesto por hexágono</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llm/llm_client.py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Cliente Groq minimalista</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llm/report_generator.py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Informe ejecutivo global desde tópicos BERTopic</w:t>
      </w:r>
    </w:p>
    <w:p>
      <w:pPr>
        <w:pStyle w:val="Compact"/>
        <w:numPr>
          <w:ilvl w:val="0"/>
          <w:numId w:val="1014"/>
        </w:numPr>
        <w:spacing w:line="276" w:lineRule="auto" w:after="100"/>
        <w:jc w:val="both"/>
      </w:pPr>
      <w:r>
        <w:rPr>
          <w:rStyle w:val="VerbatimChar"/>
          <w:rFonts w:ascii="Verdana" w:hAnsi="Verdana" w:cs="Verdana" w:eastAsia="Verdana"/>
          <w:color w:val="222222"/>
          <w:sz w:val="20"/>
          <w:szCs w:val="20"/>
        </w:rPr>
        <w:t xml:space="preserve">llm/report_generator_alojamiento.py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Informe ejecutivo por zona/municipio</w:t>
      </w:r>
    </w:p>
    <w:bookmarkEnd w:id="54"/>
    <w:bookmarkStart w:id="55" w:name="X57527c8343c3b348b6724465150b4bc0eec9940"/>
    <w:p>
      <w:pPr>
        <w:pStyle w:val="Heading2"/>
        <w:keepNext/>
        <w:spacing w:line="276" w:lineRule="auto" w:before="200" w:after="60"/>
      </w:pPr>
      <w:r>
        <w:rPr>
          <w:rFonts w:ascii="Verdana" w:hAnsi="Verdana" w:cs="Verdana" w:eastAsia="Verdana"/>
          <w:b/>
          <w:color w:val="2E6E9E"/>
          <w:sz w:val="22"/>
          <w:szCs w:val="22"/>
        </w:rPr>
        <w:t xml:space="preserve">Anexo E — Análisis Exploratorio de Datos (EDA)</w:t>
      </w:r>
    </w:p>
    <w:p>
      <w:pPr>
        <w:pStyle w:val="Compact"/>
        <w:numPr>
          <w:ilvl w:val="0"/>
          <w:numId w:val="1015"/>
        </w:numPr>
        <w:spacing w:line="276" w:lineRule="auto" w:after="100"/>
        <w:jc w:val="both"/>
      </w:pPr>
      <w:r>
        <w:rPr>
          <w:b/>
          <w:bCs/>
          <w:rFonts w:ascii="Verdana" w:hAnsi="Verdana" w:cs="Verdana" w:eastAsia="Verdana"/>
          <w:color w:val="222222"/>
          <w:sz w:val="20"/>
          <w:szCs w:val="20"/>
        </w:rPr>
        <w:t xml:space="preserve">E.1.</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EDA de comentarios YouTube: distribución de idiomas, longitud de comentarios, engagement por vídeo, evolución temporal de publicaciones.</w:t>
      </w:r>
    </w:p>
    <w:p>
      <w:pPr>
        <w:pStyle w:val="Compact"/>
        <w:numPr>
          <w:ilvl w:val="0"/>
          <w:numId w:val="1015"/>
        </w:numPr>
        <w:spacing w:line="276" w:lineRule="auto" w:after="100"/>
        <w:jc w:val="both"/>
      </w:pPr>
      <w:r>
        <w:rPr>
          <w:b/>
          <w:bCs/>
          <w:rFonts w:ascii="Verdana" w:hAnsi="Verdana" w:cs="Verdana" w:eastAsia="Verdana"/>
          <w:color w:val="222222"/>
          <w:sz w:val="20"/>
          <w:szCs w:val="20"/>
        </w:rPr>
        <w:t xml:space="preserve">E.2.</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EDA de indicadores ISTAC: series temporales de pernoctaciones y tasa de ocupación 2009–2026 para los 6 municipios con cobertura. Estacionalidad y efecto COVID.</w:t>
      </w:r>
    </w:p>
    <w:p>
      <w:pPr>
        <w:pStyle w:val="Compact"/>
        <w:numPr>
          <w:ilvl w:val="0"/>
          <w:numId w:val="1015"/>
        </w:numPr>
        <w:spacing w:line="276" w:lineRule="auto" w:after="100"/>
        <w:jc w:val="both"/>
      </w:pPr>
      <w:r>
        <w:rPr>
          <w:b/>
          <w:bCs/>
          <w:rFonts w:ascii="Verdana" w:hAnsi="Verdana" w:cs="Verdana" w:eastAsia="Verdana"/>
          <w:color w:val="222222"/>
          <w:sz w:val="20"/>
          <w:szCs w:val="20"/>
        </w:rPr>
        <w:t xml:space="preserve">E.3.</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EDA climático Agrocabildo: distribución de temperaturas por estación y trimestre, correlación entre altitud y temperatura media, detección de días extremos.</w:t>
      </w:r>
    </w:p>
    <w:p>
      <w:pPr>
        <w:pStyle w:val="Compact"/>
        <w:numPr>
          <w:ilvl w:val="0"/>
          <w:numId w:val="1015"/>
        </w:numPr>
        <w:spacing w:line="276" w:lineRule="auto" w:after="100"/>
        <w:jc w:val="both"/>
      </w:pPr>
      <w:r>
        <w:rPr>
          <w:b/>
          <w:bCs/>
          <w:rFonts w:ascii="Verdana" w:hAnsi="Verdana" w:cs="Verdana" w:eastAsia="Verdana"/>
          <w:color w:val="222222"/>
          <w:sz w:val="20"/>
          <w:szCs w:val="20"/>
        </w:rPr>
        <w:t xml:space="preserve">E.4.</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EDA satelital: distribución espacial de NDVI y NDBI en la isla. Correlación NDBI vs. densidad de alojamiento. Tendencia de urbanización 2019–2026.</w:t>
      </w:r>
    </w:p>
    <w:p>
      <w:pPr>
        <w:pStyle w:val="FirstParagraph"/>
        <w:spacing w:line="276" w:lineRule="auto" w:after="100"/>
        <w:jc w:val="both"/>
      </w:pPr>
      <w:r>
        <w:rPr>
          <w:rFonts w:ascii="Verdana" w:hAnsi="Verdana" w:cs="Verdana" w:eastAsia="Verdana"/>
          <w:color w:val="222222"/>
          <w:sz w:val="20"/>
          <w:szCs w:val="20"/>
        </w:rPr>
        <w:t xml:space="preserve">Disponible en</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notebooks/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del repositorio.</w:t>
      </w:r>
    </w:p>
    <w:bookmarkEnd w:id="55"/>
    <w:bookmarkStart w:id="56" w:name="anexo-f-resultados-de-los-modelos"/>
    <w:p>
      <w:pPr>
        <w:pStyle w:val="Heading2"/>
        <w:keepNext/>
        <w:spacing w:line="276" w:lineRule="auto" w:before="200" w:after="60"/>
      </w:pPr>
      <w:r>
        <w:rPr>
          <w:rFonts w:ascii="Verdana" w:hAnsi="Verdana" w:cs="Verdana" w:eastAsia="Verdana"/>
          <w:b/>
          <w:color w:val="2E6E9E"/>
          <w:sz w:val="22"/>
          <w:szCs w:val="22"/>
        </w:rPr>
        <w:t xml:space="preserve">Anexo F — Resultados de los modelos</w:t>
      </w:r>
    </w:p>
    <w:p>
      <w:pPr>
        <w:pStyle w:val="Compact"/>
        <w:numPr>
          <w:ilvl w:val="0"/>
          <w:numId w:val="1016"/>
        </w:numPr>
        <w:spacing w:line="276" w:lineRule="auto" w:after="100"/>
        <w:jc w:val="both"/>
      </w:pPr>
      <w:r>
        <w:rPr>
          <w:b/>
          <w:bCs/>
          <w:rFonts w:ascii="Verdana" w:hAnsi="Verdana" w:cs="Verdana" w:eastAsia="Verdana"/>
          <w:color w:val="222222"/>
          <w:sz w:val="20"/>
          <w:szCs w:val="20"/>
        </w:rPr>
        <w:t xml:space="preserve">F.1.</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Distribución de sentimiento (gráfico de barras + histograma de scores de confianza por etiqueta)</w:t>
      </w:r>
    </w:p>
    <w:p>
      <w:pPr>
        <w:pStyle w:val="Compact"/>
        <w:numPr>
          <w:ilvl w:val="0"/>
          <w:numId w:val="1016"/>
        </w:numPr>
        <w:spacing w:line="276" w:lineRule="auto" w:after="100"/>
        <w:jc w:val="both"/>
      </w:pPr>
      <w:r>
        <w:rPr>
          <w:b/>
          <w:bCs/>
          <w:rFonts w:ascii="Verdana" w:hAnsi="Verdana" w:cs="Verdana" w:eastAsia="Verdana"/>
          <w:color w:val="222222"/>
          <w:sz w:val="20"/>
          <w:szCs w:val="20"/>
        </w:rPr>
        <w:t xml:space="preserve">F.2.</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Tabla de tópicos BERTopic Modelo A: etiqueta, tamaño del cluster, top-3 términos representativos, ejemplos de comentarios</w:t>
      </w:r>
    </w:p>
    <w:p>
      <w:pPr>
        <w:pStyle w:val="Compact"/>
        <w:numPr>
          <w:ilvl w:val="0"/>
          <w:numId w:val="1016"/>
        </w:numPr>
        <w:spacing w:line="276" w:lineRule="auto" w:after="100"/>
        <w:jc w:val="both"/>
      </w:pPr>
      <w:r>
        <w:rPr>
          <w:b/>
          <w:bCs/>
          <w:rFonts w:ascii="Verdana" w:hAnsi="Verdana" w:cs="Verdana" w:eastAsia="Verdana"/>
          <w:color w:val="222222"/>
          <w:sz w:val="20"/>
          <w:szCs w:val="20"/>
        </w:rPr>
        <w:t xml:space="preserve">F.3.</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Mapa de clusters HDBSCAN sobre la rejilla H3 de Tenerife con descripción de cada arquetipo de zona</w:t>
      </w:r>
    </w:p>
    <w:p>
      <w:pPr>
        <w:pStyle w:val="Compact"/>
        <w:numPr>
          <w:ilvl w:val="0"/>
          <w:numId w:val="1016"/>
        </w:numPr>
        <w:spacing w:line="276" w:lineRule="auto" w:after="100"/>
        <w:jc w:val="both"/>
      </w:pPr>
      <w:r>
        <w:rPr>
          <w:b/>
          <w:bCs/>
          <w:rFonts w:ascii="Verdana" w:hAnsi="Verdana" w:cs="Verdana" w:eastAsia="Verdana"/>
          <w:color w:val="222222"/>
          <w:sz w:val="20"/>
          <w:szCs w:val="20"/>
        </w:rPr>
        <w:t xml:space="preserve">F.4.</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Mapas de isócronas para los 18 destinos estratégicos (15/30/45/60 min en vehículo privado)</w:t>
      </w:r>
    </w:p>
    <w:p>
      <w:pPr>
        <w:pStyle w:val="Compact"/>
        <w:numPr>
          <w:ilvl w:val="0"/>
          <w:numId w:val="1016"/>
        </w:numPr>
        <w:spacing w:line="276" w:lineRule="auto" w:after="100"/>
        <w:jc w:val="both"/>
      </w:pPr>
      <w:r>
        <w:rPr>
          <w:b/>
          <w:bCs/>
          <w:rFonts w:ascii="Verdana" w:hAnsi="Verdana" w:cs="Verdana" w:eastAsia="Verdana"/>
          <w:color w:val="222222"/>
          <w:sz w:val="20"/>
          <w:szCs w:val="20"/>
        </w:rPr>
        <w:t xml:space="preserve">F.5.</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Ejemplo real de informe ejecutivo narrativo generado por el LLM (texto completo sin editar)</w:t>
      </w:r>
    </w:p>
    <w:bookmarkEnd w:id="56"/>
    <w:bookmarkStart w:id="57" w:name="anexo-g-manual-de-despliegue"/>
    <w:p>
      <w:pPr>
        <w:pStyle w:val="Heading2"/>
        <w:keepNext/>
        <w:spacing w:line="276" w:lineRule="auto" w:before="200" w:after="60"/>
      </w:pPr>
      <w:r>
        <w:rPr>
          <w:rFonts w:ascii="Verdana" w:hAnsi="Verdana" w:cs="Verdana" w:eastAsia="Verdana"/>
          <w:b/>
          <w:color w:val="2E6E9E"/>
          <w:sz w:val="22"/>
          <w:szCs w:val="22"/>
        </w:rPr>
        <w:t xml:space="preserve">Anexo G — Manual de despliegue</w:t>
      </w:r>
    </w:p>
    <w:p>
      <w:pPr>
        <w:pStyle w:val="FirstParagraph"/>
        <w:spacing w:line="276" w:lineRule="auto" w:after="100"/>
        <w:jc w:val="both"/>
      </w:pPr>
      <w:r>
        <w:rPr>
          <w:b/>
          <w:bCs/>
          <w:rFonts w:ascii="Verdana" w:hAnsi="Verdana" w:cs="Verdana" w:eastAsia="Verdana"/>
          <w:color w:val="222222"/>
          <w:sz w:val="20"/>
          <w:szCs w:val="20"/>
        </w:rPr>
        <w:t xml:space="preserve">G.1. Aprovisionamiento de la VM Azure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(paso a paso desde el Portal Azure):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Imagen: Ubuntu Server 24.04 LTS · Tamaño: Standard B2ats_v2 · Grupo de recursos:</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rg-tfm-tenerife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Configuración de SSH, apertura de puertos 22 (SSH) y 8501 (Streamlit) en el NSG</w:t>
      </w:r>
    </w:p>
    <w:p>
      <w:pPr>
        <w:pStyle w:val="BodyText"/>
        <w:spacing w:line="276" w:lineRule="auto" w:after="100"/>
        <w:jc w:val="both"/>
      </w:pPr>
      <w:r>
        <w:rPr>
          <w:b/>
          <w:bCs/>
          <w:rFonts w:ascii="Verdana" w:hAnsi="Verdana" w:cs="Verdana" w:eastAsia="Verdana"/>
          <w:color w:val="222222"/>
          <w:sz w:val="20"/>
          <w:szCs w:val="20"/>
        </w:rPr>
        <w:t xml:space="preserve">G.2. Instalación de dependencias:</w:t>
      </w:r>
    </w:p>
    <w:p>
      <w:pPr>
        <w:pStyle w:val="SourceCode"/>
        <w:spacing w:line="276" w:lineRule="auto" w:after="100"/>
        <w:jc w:val="both"/>
      </w:pPr>
      <w:r>
        <w:rPr>
          <w:rStyle w:val="VerbatimChar"/>
          <w:rFonts w:ascii="Verdana" w:hAnsi="Verdana" w:cs="Verdana" w:eastAsia="Verdana"/>
          <w:color w:val="222222"/>
          <w:sz w:val="20"/>
          <w:szCs w:val="20"/>
        </w:rPr>
        <w:t xml:space="preserve">sudo apt update &amp;&amp; sudo apt install python3-pip python3-venv git libpq-dev -y</w:t>
      </w:r>
      <w:r>
        <w:rPr>
          <w:rFonts w:ascii="Verdana" w:hAnsi="Verdana" w:cs="Verdana" w:eastAsia="Verdana"/>
          <w:color w:val="222222"/>
          <w:sz w:val="20"/>
          <w:szCs w:val="20"/>
        </w:rPr>
        <w:br/>
      </w:r>
      <w:r>
        <w:rPr>
          <w:rStyle w:val="VerbatimChar"/>
          <w:rFonts w:ascii="Verdana" w:hAnsi="Verdana" w:cs="Verdana" w:eastAsia="Verdana"/>
          <w:color w:val="222222"/>
          <w:sz w:val="20"/>
          <w:szCs w:val="20"/>
        </w:rPr>
        <w:t xml:space="preserve">git clone https://github.com/TFM-Pytones/AI_Dashboard_Core.git</w:t>
      </w:r>
      <w:r>
        <w:rPr>
          <w:rFonts w:ascii="Verdana" w:hAnsi="Verdana" w:cs="Verdana" w:eastAsia="Verdana"/>
          <w:color w:val="222222"/>
          <w:sz w:val="20"/>
          <w:szCs w:val="20"/>
        </w:rPr>
        <w:br/>
      </w:r>
      <w:r>
        <w:rPr>
          <w:rStyle w:val="VerbatimChar"/>
          <w:rFonts w:ascii="Verdana" w:hAnsi="Verdana" w:cs="Verdana" w:eastAsia="Verdana"/>
          <w:color w:val="222222"/>
          <w:sz w:val="20"/>
          <w:szCs w:val="20"/>
        </w:rPr>
        <w:t xml:space="preserve">cd AI_Dashboard_Core &amp;&amp; python3 -m venv .venv &amp;&amp; source .venv/bin/activate</w:t>
      </w:r>
      <w:r>
        <w:rPr>
          <w:rFonts w:ascii="Verdana" w:hAnsi="Verdana" w:cs="Verdana" w:eastAsia="Verdana"/>
          <w:color w:val="222222"/>
          <w:sz w:val="20"/>
          <w:szCs w:val="20"/>
        </w:rPr>
        <w:br/>
      </w:r>
      <w:r>
        <w:rPr>
          <w:rStyle w:val="VerbatimChar"/>
          <w:rFonts w:ascii="Verdana" w:hAnsi="Verdana" w:cs="Verdana" w:eastAsia="Verdana"/>
          <w:color w:val="222222"/>
          <w:sz w:val="20"/>
          <w:szCs w:val="20"/>
        </w:rPr>
        <w:t xml:space="preserve">pip install -r requirements.txt &amp;&amp; pip install apache-airflow dbt-postgres</w:t>
      </w:r>
    </w:p>
    <w:p>
      <w:pPr>
        <w:pStyle w:val="FirstParagraph"/>
        <w:spacing w:line="276" w:lineRule="auto" w:after="100"/>
        <w:jc w:val="both"/>
      </w:pPr>
      <w:r>
        <w:rPr>
          <w:b/>
          <w:bCs/>
          <w:rFonts w:ascii="Verdana" w:hAnsi="Verdana" w:cs="Verdana" w:eastAsia="Verdana"/>
          <w:color w:val="222222"/>
          <w:sz w:val="20"/>
          <w:szCs w:val="20"/>
        </w:rPr>
        <w:t xml:space="preserve">G.3. Inicialización de Airflow:</w:t>
      </w:r>
    </w:p>
    <w:p>
      <w:pPr>
        <w:pStyle w:val="SourceCode"/>
        <w:spacing w:line="276" w:lineRule="auto" w:after="100"/>
        <w:jc w:val="both"/>
      </w:pPr>
      <w:r>
        <w:rPr>
          <w:rStyle w:val="VerbatimChar"/>
          <w:rFonts w:ascii="Verdana" w:hAnsi="Verdana" w:cs="Verdana" w:eastAsia="Verdana"/>
          <w:color w:val="222222"/>
          <w:sz w:val="20"/>
          <w:szCs w:val="20"/>
        </w:rPr>
        <w:t xml:space="preserve">airflow db migrate</w:t>
      </w:r>
      <w:r>
        <w:rPr>
          <w:rFonts w:ascii="Verdana" w:hAnsi="Verdana" w:cs="Verdana" w:eastAsia="Verdana"/>
          <w:color w:val="222222"/>
          <w:sz w:val="20"/>
          <w:szCs w:val="20"/>
        </w:rPr>
        <w:br/>
      </w:r>
      <w:r>
        <w:rPr>
          <w:rStyle w:val="VerbatimChar"/>
          <w:rFonts w:ascii="Verdana" w:hAnsi="Verdana" w:cs="Verdana" w:eastAsia="Verdana"/>
          <w:color w:val="222222"/>
          <w:sz w:val="20"/>
          <w:szCs w:val="20"/>
        </w:rPr>
        <w:t xml:space="preserve">airflow users create --username admin --role Admin --email admin@tfm.com --password &lt;PASS&gt;</w:t>
      </w:r>
    </w:p>
    <w:p>
      <w:pPr>
        <w:pStyle w:val="FirstParagraph"/>
        <w:spacing w:line="276" w:lineRule="auto" w:after="100"/>
        <w:jc w:val="both"/>
      </w:pPr>
      <w:r>
        <w:rPr>
          <w:b/>
          <w:bCs/>
          <w:rFonts w:ascii="Verdana" w:hAnsi="Verdana" w:cs="Verdana" w:eastAsia="Verdana"/>
          <w:color w:val="222222"/>
          <w:sz w:val="20"/>
          <w:szCs w:val="20"/>
        </w:rPr>
        <w:t xml:space="preserve">G.4. Orden de ejecución completo (primera vez):</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1.</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python ingestion/postgres/run_all_ingestion.py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Ingesta de todas las fuentes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2.</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cd dbt_project &amp;&amp; dbt run --select silver.*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Transformaciones Silver</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3.</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dbt run --select gold.*</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Tabla Gold maestra</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4.</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python analytics/sentiment/batch_inference.py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NLP sentimiento</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5.</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python analytics/topics/topic_modeling.py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BERTopic</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6.</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python analytics/clustering/build_features.py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Features HDBSCAN</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7.</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python analytics/accesibilidad/gold_isocronas_visuales.py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Isócronas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8.</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python analytics/llm/report_generator.py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Informe LLM global</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9.</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streamlit run app/dashboard.py</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 Lanzar dashboard</w:t>
      </w:r>
    </w:p>
    <w:p>
      <w:pPr>
        <w:pStyle w:val="BodyText"/>
        <w:spacing w:line="276" w:lineRule="auto" w:after="100"/>
        <w:jc w:val="both"/>
      </w:pPr>
      <w:r>
        <w:rPr>
          <w:b/>
          <w:bCs/>
          <w:rFonts w:ascii="Verdana" w:hAnsi="Verdana" w:cs="Verdana" w:eastAsia="Verdana"/>
          <w:color w:val="222222"/>
          <w:sz w:val="20"/>
          <w:szCs w:val="20"/>
        </w:rPr>
        <w:t xml:space="preserve">G.5. Variables de entorno necesarias:</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ver Anexo B y fichero</w:t>
      </w:r>
      <w:r>
        <w:rPr>
          <w:rFonts w:ascii="Verdana" w:hAnsi="Verdana" w:cs="Verdana" w:eastAsia="Verdana"/>
          <w:color w:val="222222"/>
          <w:sz w:val="20"/>
          <w:szCs w:val="20"/>
        </w:rPr>
        <w:t xml:space="preserve"> </w:t>
      </w:r>
      <w:r>
        <w:rPr>
          <w:rStyle w:val="VerbatimChar"/>
          <w:rFonts w:ascii="Verdana" w:hAnsi="Verdana" w:cs="Verdana" w:eastAsia="Verdana"/>
          <w:color w:val="222222"/>
          <w:sz w:val="20"/>
          <w:szCs w:val="20"/>
        </w:rPr>
        <w:t xml:space="preserve">.env.example</w:t>
      </w:r>
      <w:r>
        <w:rPr>
          <w:rFonts w:ascii="Verdana" w:hAnsi="Verdana" w:cs="Verdana" w:eastAsia="Verdana"/>
          <w:color w:val="222222"/>
          <w:sz w:val="20"/>
          <w:szCs w:val="20"/>
        </w:rPr>
        <w:t xml:space="preserve"> </w:t>
      </w:r>
      <w:r>
        <w:rPr>
          <w:rFonts w:ascii="Verdana" w:hAnsi="Verdana" w:cs="Verdana" w:eastAsia="Verdana"/>
          <w:color w:val="222222"/>
          <w:sz w:val="20"/>
          <w:szCs w:val="20"/>
        </w:rPr>
        <w:t xml:space="preserve">del repositorio.</w:t>
      </w:r>
    </w:p>
    <w:bookmarkEnd w:id="57"/>
    <w:bookmarkEnd w:id="58"/>
    <w:sectPr>
      <w:footnotePr>
        <w:numRestart w:val="eachSect"/>
      </w:footnote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Verdana" w:cs="Verdana" w:eastAsia="Verdana" w:hAnsi="Verdana"/>
      <w:color w:val="222222"/>
      <w:sz w:val="20"/>
      <w:szCs w:val="20"/>
    </w:rPr>
  </w:style>
  <w:style w:styleId="BodyText" w:type="paragraph">
    <w:name w:val="Body Text"/>
    <w:basedOn w:val="Normal"/>
    <w:link w:val="BodyTextChar"/>
    <w:qFormat/>
    <w:pPr>
      <w:spacing w:after="180" w:before="180"/>
    </w:pPr>
    <w:rPr>
      <w:rFonts w:ascii="Verdana" w:cs="Verdana" w:eastAsia="Verdana" w:hAnsi="Verdana"/>
      <w:color w:val="222222"/>
      <w:sz w:val="20"/>
      <w:szCs w:val="20"/>
    </w:rPr>
  </w:style>
  <w:style w:customStyle="1" w:styleId="FirstParagraph" w:type="paragraph">
    <w:name w:val="First Paragraph"/>
    <w:basedOn w:val="BodyText"/>
    <w:next w:val="BodyText"/>
    <w:qFormat/>
    <w:rPr>
      <w:rFonts w:ascii="Verdana" w:hAnsi="Verdana"/>
      <w:color w:val="222222"/>
      <w:sz w:val="20"/>
    </w:rPr>
  </w:style>
  <w:style w:customStyle="1" w:styleId="Compact" w:type="paragraph">
    <w:name w:val="Compact"/>
    <w:basedOn w:val="BodyText"/>
    <w:qFormat/>
    <w:pPr>
      <w:spacing w:after="36" w:before="36"/>
    </w:pPr>
    <w:rPr>
      <w:rFonts w:ascii="Verdana" w:hAnsi="Verdana"/>
      <w:color w:val="222222"/>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Verdana" w:hAnsi="Verdana"/>
      <w:color w:val="222222"/>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Verdana" w:hAnsi="Verdana"/>
      <w:color w:val="222222"/>
      <w:spacing w:val="15"/>
      <w:sz w:val="2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Verdana" w:hAnsi="Verdana"/>
      <w:color w:val="222222"/>
      <w:sz w:val="20"/>
      <w:szCs w:val="24"/>
    </w:rPr>
  </w:style>
  <w:style w:styleId="Date" w:type="paragraph">
    <w:name w:val="Date"/>
    <w:basedOn w:val="Title"/>
    <w:next w:val="BodyText"/>
    <w:qFormat/>
    <w:pPr>
      <w:keepNext/>
      <w:keepLines/>
    </w:pPr>
    <w:rPr>
      <w:rFonts w:ascii="Verdana" w:hAnsi="Verdana"/>
      <w:color w:val="222222"/>
      <w:sz w:val="20"/>
      <w:szCs w:val="24"/>
    </w:rPr>
  </w:style>
  <w:style w:customStyle="1" w:styleId="AbstractTitle" w:type="paragraph">
    <w:name w:val="Abstract Title"/>
    <w:basedOn w:val="Normal"/>
    <w:next w:val="Abstract"/>
    <w:qFormat/>
    <w:pPr>
      <w:keepNext/>
      <w:keepLines/>
      <w:spacing w:after="0" w:before="300"/>
      <w:jc w:val="center"/>
    </w:pPr>
    <w:rPr>
      <w:rFonts w:ascii="Verdana" w:hAnsi="Verdana"/>
      <w:b/>
      <w:color w:val="222222"/>
      <w:sz w:val="20"/>
      <w:szCs w:val="20"/>
    </w:rPr>
  </w:style>
  <w:style w:customStyle="1" w:styleId="Abstract" w:type="paragraph">
    <w:name w:val="Abstract"/>
    <w:basedOn w:val="Normal"/>
    <w:next w:val="BodyText"/>
    <w:qFormat/>
    <w:pPr>
      <w:keepNext/>
      <w:keepLines/>
      <w:spacing w:after="300" w:before="100"/>
    </w:pPr>
    <w:rPr>
      <w:rFonts w:ascii="Verdana" w:hAnsi="Verdana"/>
      <w:color w:val="222222"/>
      <w:sz w:val="20"/>
      <w:szCs w:val="20"/>
    </w:rPr>
  </w:style>
  <w:style w:styleId="Bibliography" w:type="paragraph">
    <w:name w:val="Bibliography"/>
    <w:basedOn w:val="Normal"/>
    <w:next w:val="Bibliography"/>
    <w:qFormat/>
    <w:pPr/>
    <w:rPr>
      <w:rFonts w:ascii="Verdana" w:hAnsi="Verdana"/>
      <w:color w:val="222222"/>
      <w:sz w:val="20"/>
    </w:rPr>
  </w:style>
  <w:style w:styleId="Heading1" w:type="paragraph">
    <w:name w:val="heading 1"/>
    <w:basedOn w:val="Normal"/>
    <w:next w:val="BodyText"/>
    <w:link w:val="Heading1Char"/>
    <w:uiPriority w:val="9"/>
    <w:qFormat/>
    <w:rsid w:val="00A10FD9"/>
    <w:pPr>
      <w:keepNext/>
      <w:keepLines/>
      <w:spacing w:after="120" w:before="280"/>
      <w:outlineLvl w:val="0"/>
    </w:pPr>
    <w:rPr>
      <w:rFonts w:ascii="Verdana" w:asciiTheme="majorHAnsi" w:cs="Verdana" w:cstheme="majorBidi" w:eastAsia="Verdana" w:eastAsiaTheme="majorEastAsia" w:hAnsi="Verdana" w:hAnsiTheme="majorHAnsi"/>
      <w:b/>
      <w:color w:val="1F497D"/>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Verdana" w:asciiTheme="majorHAnsi" w:cs="Verdana" w:cstheme="majorBidi" w:eastAsia="Verdana" w:eastAsiaTheme="majorEastAsia" w:hAnsi="Verdana" w:hAnsiTheme="majorHAnsi"/>
      <w:b/>
      <w:color w:val="2E6E9E"/>
      <w:sz w:val="22"/>
      <w:szCs w:val="22"/>
    </w:rPr>
  </w:style>
  <w:style w:styleId="Heading3" w:type="paragraph">
    <w:name w:val="heading 3"/>
    <w:basedOn w:val="Normal"/>
    <w:next w:val="BodyText"/>
    <w:link w:val="Heading3Char"/>
    <w:uiPriority w:val="9"/>
    <w:semiHidden/>
    <w:unhideWhenUsed/>
    <w:qFormat/>
    <w:rsid w:val="00A10FD9"/>
    <w:pPr>
      <w:keepNext/>
      <w:keepLines/>
      <w:spacing w:after="60" w:before="160"/>
      <w:outlineLvl w:val="2"/>
    </w:pPr>
    <w:rPr>
      <w:rFonts w:ascii="Verdana" w:cs="Verdana" w:cstheme="majorBidi" w:eastAsia="Verdana" w:eastAsiaTheme="majorEastAsia" w:hAnsi="Verdana"/>
      <w:b/>
      <w:i w:val="0"/>
      <w:color w:val="333333"/>
      <w:sz w:val="20"/>
      <w:szCs w:val="2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Verdana" w:hAnsi="Verdana"/>
      <w:i/>
      <w:iCs/>
      <w:color w:val="222222"/>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Verdana" w:hAnsi="Verdana"/>
      <w:color w:val="222222"/>
      <w:sz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Verdana" w:hAnsi="Verdana"/>
      <w:i/>
      <w:iCs/>
      <w:color w:val="222222"/>
      <w:sz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Verdana" w:hAnsi="Verdana"/>
      <w:color w:val="222222"/>
      <w:sz w:val="2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Verdana" w:hAnsi="Verdana"/>
      <w:i/>
      <w:iCs/>
      <w:color w:val="222222"/>
      <w:sz w:val="2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Verdana" w:hAnsi="Verdana"/>
      <w:color w:val="222222"/>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Verdana" w:hAnsi="Verdana"/>
      <w:color w:val="222222"/>
      <w:sz w:val="20"/>
    </w:rPr>
  </w:style>
  <w:style w:styleId="FootnoteText" w:type="paragraph">
    <w:name w:val="Footnote Text"/>
    <w:basedOn w:val="Normal"/>
    <w:next w:val="FootnoteText"/>
    <w:uiPriority w:val="9"/>
    <w:unhideWhenUsed/>
    <w:qFormat/>
    <w:rPr>
      <w:rFonts w:ascii="Verdana" w:hAnsi="Verdana"/>
      <w:color w:val="222222"/>
      <w:sz w:val="20"/>
    </w:rPr>
  </w:style>
  <w:style w:styleId="FootnoteBlockText" w:type="paragraph">
    <w:name w:val="Footnote Block Text"/>
    <w:basedOn w:val="FootnoteText"/>
    <w:next w:val="FootnoteText"/>
    <w:uiPriority w:val="9"/>
    <w:unhideWhenUsed/>
    <w:qFormat/>
    <w:pPr>
      <w:spacing w:after="100" w:before="100"/>
      <w:ind w:firstLine="0" w:left="480" w:right="480"/>
    </w:pPr>
    <w:rPr>
      <w:rFonts w:ascii="Verdana" w:hAnsi="Verdana"/>
      <w:color w:val="222222"/>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Verdana" w:hAnsi="Verdana"/>
      <w:b/>
      <w:color w:val="222222"/>
      <w:sz w:val="20"/>
    </w:rPr>
  </w:style>
  <w:style w:customStyle="1" w:styleId="Definition" w:type="paragraph">
    <w:name w:val="Definition"/>
    <w:basedOn w:val="Normal"/>
    <w:rPr>
      <w:rFonts w:ascii="Verdana" w:hAnsi="Verdana"/>
      <w:color w:val="222222"/>
      <w:sz w:val="20"/>
    </w:rPr>
  </w:style>
  <w:style w:styleId="Caption" w:type="paragraph">
    <w:name w:val="Caption"/>
    <w:basedOn w:val="Normal"/>
    <w:link w:val="BodyTextChar"/>
    <w:pPr>
      <w:spacing w:after="120" w:before="0"/>
    </w:pPr>
    <w:rPr>
      <w:rFonts w:ascii="Verdana" w:hAnsi="Verdana"/>
      <w:i/>
      <w:color w:val="222222"/>
      <w:sz w:val="20"/>
    </w:rPr>
  </w:style>
  <w:style w:customStyle="1" w:styleId="TableCaption" w:type="paragraph">
    <w:name w:val="Table Caption"/>
    <w:basedOn w:val="Caption"/>
    <w:pPr>
      <w:keepNext/>
    </w:pPr>
    <w:rPr>
      <w:rFonts w:ascii="Verdana" w:hAnsi="Verdana"/>
      <w:color w:val="222222"/>
      <w:sz w:val="20"/>
    </w:rPr>
  </w:style>
  <w:style w:customStyle="1" w:styleId="ImageCaption" w:type="paragraph">
    <w:name w:val="Image Caption"/>
    <w:basedOn w:val="Caption"/>
    <w:rPr>
      <w:rFonts w:ascii="Verdana" w:hAnsi="Verdana"/>
      <w:color w:val="222222"/>
      <w:sz w:val="20"/>
    </w:rPr>
  </w:style>
  <w:style w:customStyle="1" w:styleId="Figure" w:type="paragraph">
    <w:name w:val="Figure"/>
    <w:basedOn w:val="Normal"/>
    <w:rPr>
      <w:rFonts w:ascii="Verdana" w:hAnsi="Verdana"/>
      <w:color w:val="222222"/>
      <w:sz w:val="20"/>
    </w:rPr>
  </w:style>
  <w:style w:customStyle="1" w:styleId="CaptionedFigure" w:type="paragraph">
    <w:name w:val="Captioned Figure"/>
    <w:basedOn w:val="Figure"/>
    <w:pPr>
      <w:keepNext/>
    </w:pPr>
    <w:rPr>
      <w:rFonts w:ascii="Verdana" w:hAnsi="Verdana"/>
      <w:color w:val="222222"/>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Verdana" w:hAnsi="Verdana"/>
      <w:b w:val="0"/>
      <w:bCs w:val="0"/>
      <w:color w:val="222222"/>
      <w:sz w:val="20"/>
    </w:rPr>
  </w:style>
  <w:style w:type="paragraph" w:customStyle="1" w:styleId="SourceCode">
    <w:name w:val="Source Code"/>
    <w:basedOn w:val="Normal"/>
    <w:link w:val="VerbatimChar"/>
    <w:pPr>
      <w:wordWrap w:val="off"/>
    </w:pPr>
    <w:rPr>
      <w:rFonts w:ascii="Verdana" w:hAnsi="Verdana"/>
      <w:color w:val="222222"/>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AI-Dashboard para la gestión de la oferta turística georreferenciada e integración con datos abiertos externos de la isla de Tenerife</dc:title>
  <dc:creator>Juan Andrés Cabrera, Jaime de Vera, Roberto Hernando, Guillermo Martínez, Jorge Tamirat Montes, Mario Rosete</dc:creator>
  <cp:keywords/>
  <dcterms:created xsi:type="dcterms:W3CDTF">2026-09-12T20:11:56Z</dcterms:created>
  <dcterms:modified xsi:type="dcterms:W3CDTF">2026-09-12T20:11:56Z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Curso 2025–2026 — Caso TUI (Desafío 3) · UCM</vt:lpwstr>
  </property>
</Properties>
</file>