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color w:val="555555"/>
          <w:sz w:val="18"/>
        </w:rPr>
        <w:t>UNIVERSIDAD COMPLUTENSE DE MADRID — MÁSTER EN DATA SCIENCE &amp; BUSINESS ANALYTICS</w:t>
        <w:br/>
      </w:r>
    </w:p>
    <w:p>
      <w:pPr>
        <w:spacing w:after="40"/>
        <w:jc w:val="center"/>
      </w:pPr>
      <w:r>
        <w:rPr>
          <w:rFonts w:ascii="Verdana" w:hAnsi="Verdana"/>
          <w:b/>
          <w:color w:val="1F497D"/>
          <w:sz w:val="26"/>
        </w:rPr>
        <w:t>INFORME INTEGRAL DE AUDITORÍA Y CUMPLIMIENTO DE GUÍA UCM</w:t>
        <w:br/>
      </w:r>
    </w:p>
    <w:p>
      <w:pPr>
        <w:spacing w:after="320"/>
        <w:jc w:val="center"/>
      </w:pPr>
      <w:r>
        <w:rPr>
          <w:rFonts w:ascii="Verdana" w:hAnsi="Verdana"/>
          <w:i/>
          <w:color w:val="555555"/>
          <w:sz w:val="20"/>
        </w:rPr>
        <w:t>Evaluación Técnica de «TFM_Pythones (1).docx» frente a las Directrices Oficiales (Bloques 1 y 2)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4680"/>
        <w:gridCol w:w="4680"/>
      </w:tblGrid>
      <w:tr>
        <w:tc>
          <w:tcPr>
            <w:tcW w:type="dxa" w:w="3600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Parámetro de Evaluación</w:t>
            </w:r>
          </w:p>
        </w:tc>
        <w:tc>
          <w:tcPr>
            <w:tcW w:type="dxa" w:w="5760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Detalle Registrado</w:t>
            </w:r>
          </w:p>
        </w:tc>
      </w:tr>
      <w:tr>
        <w:tc>
          <w:tcPr>
            <w:tcW w:type="dxa" w:w="360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Documento Auditado</w:t>
            </w:r>
          </w:p>
        </w:tc>
        <w:tc>
          <w:tcPr>
            <w:tcW w:type="dxa" w:w="576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TFM_Pythones (1).docx (139 párrafos, 37.9 KB)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Guía Oficial de Referencia</w:t>
            </w:r>
          </w:p>
        </w:tc>
        <w:tc>
          <w:tcPr>
            <w:tcW w:type="dxa" w:w="576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01_Guía para el Trabajo Fin de Master - UCM (Bloques 1 y 2, Checklist pág. 9)</w:t>
            </w:r>
          </w:p>
        </w:tc>
      </w:tr>
      <w:tr>
        <w:tc>
          <w:tcPr>
            <w:tcW w:type="dxa" w:w="360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Proyecto &amp; Caso de Estudio</w:t>
            </w:r>
          </w:p>
        </w:tc>
        <w:tc>
          <w:tcPr>
            <w:tcW w:type="dxa" w:w="576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AI-Dashboard Oferta Turística Tenerife — Desafío 3 (TUI Group)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Estándares Tipográficos UCM</w:t>
            </w:r>
          </w:p>
        </w:tc>
        <w:tc>
          <w:tcPr>
            <w:tcW w:type="dxa" w:w="576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Fuente: Verdana | Título 1: 12 pt | Título 2: 11 pt | Normal: 10 pt</w:t>
            </w:r>
          </w:p>
        </w:tc>
      </w:tr>
      <w:tr>
        <w:tc>
          <w:tcPr>
            <w:tcW w:type="dxa" w:w="360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Dictamen Global de Calidad</w:t>
            </w:r>
          </w:p>
        </w:tc>
        <w:tc>
          <w:tcPr>
            <w:tcW w:type="dxa" w:w="576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INCOMPLETO CON DEFICIENCIAS CRÍTICAS (4 errores factuales, 9 secciones vacías, vacíos en la guía)</w:t>
            </w:r>
          </w:p>
        </w:tc>
      </w:tr>
    </w:tbl>
    <w:p>
      <w:pPr>
        <w:spacing w:after="200"/>
      </w:pPr>
    </w:p>
    <w:p>
      <w:pPr>
        <w:pStyle w:val="Heading1"/>
      </w:pPr>
      <w:r>
        <w:t>1. Resumen ejecutivo de la auditoría</w:t>
      </w:r>
    </w:p>
    <w:p>
      <w:pPr>
        <w:spacing w:after="120" w:line="276" w:lineRule="auto"/>
        <w:jc w:val="both"/>
      </w:pPr>
      <w:r>
        <w:rPr>
          <w:rFonts w:ascii="Verdana" w:hAnsi="Verdana"/>
          <w:b/>
          <w:color w:val="222222"/>
          <w:sz w:val="20"/>
        </w:rPr>
        <w:t xml:space="preserve">Alcance y propósito: </w:t>
      </w:r>
      <w:r>
        <w:rPr>
          <w:rFonts w:ascii="Verdana" w:hAnsi="Verdana"/>
          <w:color w:val="222222"/>
          <w:sz w:val="20"/>
        </w:rPr>
        <w:t>El presente informe audita la memoria preliminar «TFM_Pythones (1).docx» contrastando su contenido con la implementación técnica real del proyecto en Azure y GitHub, y evaluando su adecuación estricta a la «Guía para Realizar el Trabajo Fin de Master» de la UCM (coordinada por Carlos Ortega y Santiago Mota).</w:t>
      </w:r>
    </w:p>
    <w:p>
      <w:pPr>
        <w:spacing w:after="120" w:line="276" w:lineRule="auto"/>
        <w:jc w:val="both"/>
      </w:pPr>
      <w:r>
        <w:rPr>
          <w:rFonts w:ascii="Verdana" w:hAnsi="Verdana"/>
          <w:b/>
          <w:color w:val="222222"/>
          <w:sz w:val="20"/>
        </w:rPr>
        <w:t xml:space="preserve">Diagnóstico principal: </w:t>
      </w:r>
      <w:r>
        <w:rPr>
          <w:rFonts w:ascii="Verdana" w:hAnsi="Verdana"/>
          <w:color w:val="222222"/>
          <w:sz w:val="20"/>
        </w:rPr>
        <w:t>El proyecto TUI Tenerife es de naturaleza híbrida de alta complejidad: aborda simultáneamente las exigencias del Bloque 1 (Perfil Data Scientist: modelización avanzada, explicabilidad e interpretabilidad, productivización en Streamlit y conclusiones de negocio) y del Bloque 2 (Perfil Data Engineer: Data Lakehouse multifuente en Azure, modelado espacial en PostGIS, orquestación dbt/Airflow y disponibilización en tablas maestras). Sin embargo, el borrador original contiene 4 errores de hecho graves, 9 subsecciones vacías y omite evidencias críticas exigidas por la guía (licencias de datos, debugging/logging de pipelines y justificación frente a AutoML).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E9"/>
            <w:tcBorders>
              <w:top w:val="none"/>
              <w:left w:val="single" w:sz="36" w:space="0" w:color="C0392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Verdana" w:hAnsi="Verdana"/>
                <w:b/>
                <w:sz w:val="19"/>
              </w:rPr>
              <w:t xml:space="preserve">[DEFICIENCIA METODOLÓGICA CRÍTICA] </w:t>
            </w:r>
            <w:r>
              <w:rPr>
                <w:rFonts w:ascii="Verdana" w:hAnsi="Verdana"/>
                <w:sz w:val="19"/>
              </w:rPr>
              <w:t>El documento auditado omite el Potencial Turístico No Aprovechado (PTNA), el Índice ESG y la respuesta a las 5 preguntas estratégicas de TUI. Asimismo, carecía de apartados sobre licencias legales de datos y trazabilidad de errores, elementos indispensables en el checklist oficial de evaluación.</w:t>
            </w:r>
          </w:p>
        </w:tc>
      </w:tr>
    </w:tbl>
    <w:p>
      <w:pPr>
        <w:spacing w:after="80"/>
      </w:pPr>
    </w:p>
    <w:p>
      <w:pPr>
        <w:pStyle w:val="Heading1"/>
      </w:pPr>
      <w:r>
        <w:t>2. Matriz de diagnóstico por capítulos y secciones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168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Título en el docx</w:t>
            </w:r>
          </w:p>
        </w:tc>
        <w:tc>
          <w:tcPr>
            <w:tcW w:type="dxa" w:w="1584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24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Hallazgo Técnico / Desviación</w:t>
            </w:r>
          </w:p>
        </w:tc>
      </w:tr>
      <w:tr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Capítulo 1</w:t>
            </w:r>
          </w:p>
        </w:tc>
        <w:tc>
          <w:tcPr>
            <w:tcW w:type="dxa" w:w="3168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Introducción y negocio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PARCIAL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Promete agente Text-to-SQL no implementado en producción.</w:t>
            </w:r>
          </w:p>
        </w:tc>
      </w:tr>
      <w:tr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2.1</w:t>
            </w:r>
          </w:p>
        </w:tc>
        <w:tc>
          <w:tcPr>
            <w:tcW w:type="dxa" w:w="3168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Infraestructura Cloud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Adecuada justificación técnica de la migración de Neon a Azure.</w:t>
            </w:r>
          </w:p>
        </w:tc>
      </w:tr>
      <w:tr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2.2</w:t>
            </w:r>
          </w:p>
        </w:tc>
        <w:tc>
          <w:tcPr>
            <w:tcW w:type="dxa" w:w="3168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Microdatos ISTAC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ERROR GRAVE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Afirma 33 municipios cuando Tenerife tiene administrativamente 31.</w:t>
            </w:r>
          </w:p>
        </w:tc>
      </w:tr>
      <w:tr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2.3 - 2.4</w:t>
            </w:r>
          </w:p>
        </w:tc>
        <w:tc>
          <w:tcPr>
            <w:tcW w:type="dxa" w:w="3168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GTFS y Clima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Cifras de registros y backfill histórico bien documentados.</w:t>
            </w:r>
          </w:p>
        </w:tc>
      </w:tr>
      <w:tr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2.5</w:t>
            </w:r>
          </w:p>
        </w:tc>
        <w:tc>
          <w:tcPr>
            <w:tcW w:type="dxa" w:w="3168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NLP Cualitativo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INEXACTO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Indica que no hay geolocalización, omitiendo Booking y TripAdvisor.</w:t>
            </w:r>
          </w:p>
        </w:tc>
      </w:tr>
      <w:tr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3.1 - 3.3</w:t>
            </w:r>
          </w:p>
        </w:tc>
        <w:tc>
          <w:tcPr>
            <w:tcW w:type="dxa" w:w="3168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Data Warehouse &amp; dbt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Arquitectura Medallion (Bronze/Silver/Gold) y EPSG:32628 correctos.</w:t>
            </w:r>
          </w:p>
        </w:tc>
      </w:tr>
      <w:tr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4.1 - 4.3</w:t>
            </w:r>
          </w:p>
        </w:tc>
        <w:tc>
          <w:tcPr>
            <w:tcW w:type="dxa" w:w="3168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NLP &amp; Satélite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XLM-RoBERTa, BERTopic, PyABSA y Sentinel-2 bien descritos.</w:t>
            </w:r>
          </w:p>
        </w:tc>
      </w:tr>
      <w:tr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4.4</w:t>
            </w:r>
          </w:p>
        </w:tc>
        <w:tc>
          <w:tcPr>
            <w:tcW w:type="dxa" w:w="3168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Clustering HDBSCAN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ERROR TÉCNICO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Variables erróneas (topografía MDT) y faltan los 4 arquetipos TUI.</w:t>
            </w:r>
          </w:p>
        </w:tc>
      </w:tr>
      <w:tr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4.5</w:t>
            </w:r>
          </w:p>
        </w:tc>
        <w:tc>
          <w:tcPr>
            <w:tcW w:type="dxa" w:w="3168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Isócronas OpenRoute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Matriz a 18 destinos estratégicos y paradas bus detallada.</w:t>
            </w:r>
          </w:p>
        </w:tc>
      </w:tr>
      <w:tr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4.6</w:t>
            </w:r>
          </w:p>
        </w:tc>
        <w:tc>
          <w:tcPr>
            <w:tcW w:type="dxa" w:w="3168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Regresión MGWR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VACÍO TOTAL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Encabezado huérfano (0 palabras). Falta el cálculo del PTNA y ESG.</w:t>
            </w:r>
          </w:p>
        </w:tc>
      </w:tr>
      <w:tr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5.1</w:t>
            </w:r>
          </w:p>
        </w:tc>
        <w:tc>
          <w:tcPr>
            <w:tcW w:type="dxa" w:w="3168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Informes LLM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API de Groq y report_generator documentados.</w:t>
            </w:r>
          </w:p>
        </w:tc>
      </w:tr>
      <w:tr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5.2</w:t>
            </w:r>
          </w:p>
        </w:tc>
        <w:tc>
          <w:tcPr>
            <w:tcW w:type="dxa" w:w="3168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Text-to-SQL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VACÍO TOTAL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Encabezado huérfano sin contenido. Debe eliminarse del alcance.</w:t>
            </w:r>
          </w:p>
        </w:tc>
      </w:tr>
      <w:tr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6.1</w:t>
            </w:r>
          </w:p>
        </w:tc>
        <w:tc>
          <w:tcPr>
            <w:tcW w:type="dxa" w:w="3168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KPIs Negocio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Interpolación IDW altimétrica detallada.</w:t>
            </w:r>
          </w:p>
        </w:tc>
      </w:tr>
      <w:tr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6.2 - 6.6</w:t>
            </w:r>
          </w:p>
        </w:tc>
        <w:tc>
          <w:tcPr>
            <w:tcW w:type="dxa" w:w="3168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Dashboard y Simulador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VACÍO TOTAL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5 subsecciones completas con cero palabras.</w:t>
            </w:r>
          </w:p>
        </w:tc>
      </w:tr>
      <w:tr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§ 7.1 - 7.3</w:t>
            </w:r>
          </w:p>
        </w:tc>
        <w:tc>
          <w:tcPr>
            <w:tcW w:type="dxa" w:w="3168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Conclusiones y TUI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VACÍO TOTAL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3 subsecciones vacías. No responde las preguntas de TUI.</w:t>
            </w:r>
          </w:p>
        </w:tc>
      </w:tr>
      <w:tr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Anexos</w:t>
            </w:r>
          </w:p>
        </w:tc>
        <w:tc>
          <w:tcPr>
            <w:tcW w:type="dxa" w:w="3168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Anexos A - D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INCOMPLETO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Tablas vacías. Sin esquemas DDL ni mención de acceso a tutores.</w:t>
            </w:r>
          </w:p>
        </w:tc>
      </w:tr>
    </w:tbl>
    <w:p>
      <w:pPr>
        <w:spacing w:after="160"/>
      </w:pPr>
    </w:p>
    <w:p>
      <w:pPr>
        <w:pStyle w:val="Heading1"/>
      </w:pPr>
      <w:r>
        <w:t>3. Análisis forense de errores e inexactitudes de hecho</w:t>
      </w:r>
    </w:p>
    <w:p>
      <w:pPr>
        <w:pStyle w:val="Heading2"/>
      </w:pPr>
      <w:r>
        <w:t>3.1. Discrepancia territorial: 31 municipios vs. «33 municipios» (§2.2)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En el párrafo 54, el borrador original sostiene: «Del ISTAC descargamos automáticamente quince indicadores municipales [...] para los 33 municipios de Tenerife». La isla de Tenerife está compuesta por exactamente 31 términos municipales. La base de datos del proyecto (`silver.istac_municipios` y `gold_municipio_master`) procesa con precisión los 31 códigos INE oficiales (38001 a 38052). Dejar 33 municipios supone un error invalidante en un TFM territorial.</w:t>
      </w:r>
    </w:p>
    <w:p>
      <w:pPr>
        <w:pStyle w:val="Heading2"/>
      </w:pPr>
      <w:r>
        <w:t>3.2. Promesas tecnológicas no implementadas: Agente Text-to-SQL (§1.3 y §5.2)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El documento prometía un agente Text-to-SQL en los objetivos específicos y mantenía la subsección 5.2 vacía. En la implementación real, el LLM se integró exclusivamente a través de la API de Groq (`openai/gpt-oss-120b`) para generar informes ejecutivos estructurados (`report_generator.py`). Mantener una funcionalidad descartada daña la credibilidad del TFM.</w:t>
      </w:r>
    </w:p>
    <w:p>
      <w:pPr>
        <w:pStyle w:val="Heading2"/>
      </w:pPr>
      <w:r>
        <w:t>3.3. Omisión de reseñas geolocalizadas: Booking y TripAdvisor (§2.5)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El párrafo 61 afirmaba que las fuentes cualitativas no traen geolocalización. Esta afirmación ignoraba las más de 55.000 reseñas de Booking y los datos de TripAdvisor, que cuentan con coordenadas latitud/longitud precisas y se agregan en los hexágonos H3 de `gold_sentimiento_h3`. Se privaba al proyecto de uno de sus mayores logros de ingeniería espacial.</w:t>
      </w:r>
    </w:p>
    <w:p>
      <w:pPr>
        <w:pStyle w:val="Heading2"/>
      </w:pPr>
      <w:r>
        <w:t>3.4. Confusión de variables en HDBSCAN y ausencia de arquetipos (§4.4)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El párrafo 82 asignaba al clustering variables del MDT (altitud, pendiente) que corresponden a la regresión MGWR. El clustering real opera sobre indicadores de demanda e impacto (`densidad_plazas_km2`, `viirs_medio`, `sentimiento_medio`, `ndvi_medio`, `ndbi_medio`, `ptna_score`) y genera 4 arquetipos estratégicos con directrices operativas para TUI Group.</w:t>
      </w:r>
    </w:p>
    <w:p>
      <w:pPr>
        <w:pStyle w:val="Heading1"/>
      </w:pPr>
      <w:r>
        <w:t>4. Evaluación exhaustiva de directrices de la Guía UCM</w:t>
      </w:r>
    </w:p>
    <w:p>
      <w:pPr>
        <w:pStyle w:val="Heading2"/>
      </w:pPr>
      <w:r>
        <w:t>4.1. Auditoría del Bloque 1: Análisis de un Dataset (Perfil Data Scientist)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La Guía UCM establece seis fases de modelización analítica estándar que han sido cotejadas minuciosamente: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Fase Exigida por la Guía</w:t>
            </w:r>
          </w:p>
        </w:tc>
        <w:tc>
          <w:tcPr>
            <w:tcW w:type="dxa" w:w="2592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Criterio de Evaluación UCM</w:t>
            </w:r>
          </w:p>
        </w:tc>
        <w:tc>
          <w:tcPr>
            <w:tcW w:type="dxa" w:w="1584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Estado en Original</w:t>
            </w:r>
          </w:p>
        </w:tc>
        <w:tc>
          <w:tcPr>
            <w:tcW w:type="dxa" w:w="3024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Subsanación en Memoria Final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1. Análisis Descriptivo (EDA)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Análisis estadístico y gráfico del conjunto de datos.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PARCIAL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Incorporadas métricas completas de las 10 fuentes en tablas resumen.</w:t>
            </w:r>
          </w:p>
        </w:tc>
      </w:tr>
      <w:tr>
        <w:tc>
          <w:tcPr>
            <w:tcW w:type="dxa" w:w="216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2. Transformaciones de Datos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Transformaciones más adecuadas y relevantes para el conjunto.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Documentada reproyección EPSG:32628, H3, normalización e IDW.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3. Modelización ML (&gt; AutoML)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Superar un AutoML plano, justificar técnicas y detallar bondades/debilidades.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DEFICIENTE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Tabla comparativa en §4.8 con bondades, debilidades y métricas (F1, DBCV, R²).</w:t>
            </w:r>
          </w:p>
        </w:tc>
      </w:tr>
      <w:tr>
        <w:tc>
          <w:tcPr>
            <w:tcW w:type="dxa" w:w="216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4. Explicabilidad / Interpretabilidad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Discusión de los resultados y explicatividad de modelos.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DEFICIENTE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Explicabilidad espacial con H3: cada hexágono tiene indicadores visibles.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5. Informe Final para «Negocio»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Orientado a perfiles no técnicos, tablas resumen y viñetas.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INCOMPLETO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Redacción ejecutiva orientada al briefing de TUI con recomendaciones.</w:t>
            </w:r>
          </w:p>
        </w:tc>
      </w:tr>
      <w:tr>
        <w:tc>
          <w:tcPr>
            <w:tcW w:type="dxa" w:w="216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6. Productivización Empresarial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Modelo utilizable en aplicación empresarial para nuevos valores.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VACÍO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Documentada arquitectura Streamlit, simulador gravitatorio e inferencia LLM.</w:t>
            </w:r>
          </w:p>
        </w:tc>
      </w:tr>
    </w:tbl>
    <w:p>
      <w:pPr>
        <w:spacing w:after="160"/>
      </w:pPr>
    </w:p>
    <w:p>
      <w:pPr>
        <w:pStyle w:val="Heading2"/>
      </w:pPr>
      <w:r>
        <w:t>4.2. Auditoría del Bloque 2: Pipeline de Datos (Perfil Data Engineer)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La Guía UCM fija las directrices de disponibilización e ingeniería de datos contrastadas a continuación: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Requisito Exigido por la Guía</w:t>
            </w:r>
          </w:p>
        </w:tc>
        <w:tc>
          <w:tcPr>
            <w:tcW w:type="dxa" w:w="2592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Criterio de Evaluación UCM</w:t>
            </w:r>
          </w:p>
        </w:tc>
        <w:tc>
          <w:tcPr>
            <w:tcW w:type="dxa" w:w="1584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Estado en Original</w:t>
            </w:r>
          </w:p>
        </w:tc>
        <w:tc>
          <w:tcPr>
            <w:tcW w:type="dxa" w:w="3024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Subsanación en Memoria Final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1. ETLs Multifuente Integradas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Captura de diversas fuentes e integración en base de datos.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Data Lakehouse con APIs, scraping, satélite, GTFS y open data oficial.</w:t>
            </w:r>
          </w:p>
        </w:tc>
      </w:tr>
      <w:tr>
        <w:tc>
          <w:tcPr>
            <w:tcW w:type="dxa" w:w="216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2. Periodicidad y Automatización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Configurabilidad en periodicidad y automatización.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PARCIAL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Documentada programación mediante cron en VM Azure y DAGs Airflow.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3. Monitorización y Debugging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Soluciones necesarias para supervisar progreso y depuración.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OMITIDO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Añadida sección de logging dual, backoff exponencial y dbt test assertions.</w:t>
            </w:r>
          </w:p>
        </w:tc>
      </w:tr>
      <w:tr>
        <w:tc>
          <w:tcPr>
            <w:tcW w:type="dxa" w:w="216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4. Arquitectura Técnica Documentada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Componentes, interrelaciones y comparación con alternativas.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Esquema Medallion en Azure documentado y justificado frente a silos.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5. Tablas Listas para Explotación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Disponibilización en tablas listas para BI y modelado.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CORRECTO</w:t>
            </w:r>
          </w:p>
        </w:tc>
        <w:tc>
          <w:tcPr>
            <w:tcW w:type="dxa" w:w="302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Tabla maestra gold_h3_master (60+ indicadores) y gold_sentimiento_h3.</w:t>
            </w:r>
          </w:p>
        </w:tc>
      </w:tr>
    </w:tbl>
    <w:p>
      <w:pPr>
        <w:spacing w:after="160"/>
      </w:pPr>
    </w:p>
    <w:p>
      <w:pPr>
        <w:pStyle w:val="Heading2"/>
      </w:pPr>
      <w:r>
        <w:t>4.3. Verificación del Checklist Oficial UCM (Página 9 de la Guía)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Comprobación individual de los siete puntos de control que aplican los profesores evaluadores: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Punto de Control (Checklist)</w:t>
            </w:r>
          </w:p>
        </w:tc>
        <w:tc>
          <w:tcPr>
            <w:tcW w:type="dxa" w:w="2592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Requisito Formal</w:t>
            </w:r>
          </w:p>
        </w:tc>
        <w:tc>
          <w:tcPr>
            <w:tcW w:type="dxa" w:w="1584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Resultado de Auditoría</w:t>
            </w:r>
          </w:p>
        </w:tc>
        <w:tc>
          <w:tcPr>
            <w:tcW w:type="dxa" w:w="2880"/>
            <w:shd w:fill="1F497D"/>
          </w:tcPr>
          <w:p>
            <w:pPr>
              <w:spacing w:after="40" w:before="40"/>
              <w:jc w:val="center"/>
            </w:pPr>
            <w:r>
              <w:rPr>
                <w:rFonts w:ascii="Verdana" w:hAnsi="Verdana"/>
                <w:b/>
                <w:color w:val="FFFFFF"/>
                <w:sz w:val="18"/>
              </w:rPr>
              <w:t>Acción Implementada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1. Derechos de uso de datos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¿Se han verificado las licencias de los datos?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SUPERADO</w:t>
            </w:r>
          </w:p>
        </w:tc>
        <w:tc>
          <w:tcPr>
            <w:tcW w:type="dxa" w:w="288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Añadida la sección §2.6 con licencias PSI/Open Data, ESA, GTFS y RGPD.</w:t>
            </w:r>
          </w:p>
        </w:tc>
      </w:tr>
      <w:tr>
        <w:tc>
          <w:tcPr>
            <w:tcW w:type="dxa" w:w="230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2. Acceso a tutores en GitHub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¿Carlos Ortega y Santiago Mota tienen acceso?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SUPERADO</w:t>
            </w:r>
          </w:p>
        </w:tc>
        <w:tc>
          <w:tcPr>
            <w:tcW w:type="dxa" w:w="288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Documentado explícitamente en Anexo A con permisos de repositorio.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3. Extensión de 20 caras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Máximo 20 páginas de memoria principal.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SUPERADO</w:t>
            </w:r>
          </w:p>
        </w:tc>
        <w:tc>
          <w:tcPr>
            <w:tcW w:type="dxa" w:w="288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Memoria dimensionada en ~19 páginas principales + Anexos fuera de tope.</w:t>
            </w:r>
          </w:p>
        </w:tc>
      </w:tr>
      <w:tr>
        <w:tc>
          <w:tcPr>
            <w:tcW w:type="dxa" w:w="230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4. Código en Anexos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Código completo y esquemas accesibles en anexos.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SUPERADO</w:t>
            </w:r>
          </w:p>
        </w:tc>
        <w:tc>
          <w:tcPr>
            <w:tcW w:type="dxa" w:w="288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Anexos A, C y D detallan repositorios, modelos dbt y scripts analíticos.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5. Reproducibilidad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Entorno y pipelines totalmente reproducibles.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SUPERADO</w:t>
            </w:r>
          </w:p>
        </w:tc>
        <w:tc>
          <w:tcPr>
            <w:tcW w:type="dxa" w:w="288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Variables en Anexo B, requirements.txt y migraciones idempotentes.</w:t>
            </w:r>
          </w:p>
        </w:tc>
      </w:tr>
      <w:tr>
        <w:tc>
          <w:tcPr>
            <w:tcW w:type="dxa" w:w="230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6. Apartado de conclusiones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Conclusiones claras con respuestas al negocio.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SUPERADO</w:t>
            </w:r>
          </w:p>
        </w:tc>
        <w:tc>
          <w:tcPr>
            <w:tcW w:type="dxa" w:w="2880"/>
            <w:shd w:fill="F9FAFB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Capítulo 7 completo respondiendo a las 5 preguntas estratégicas de TUI.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7. Bibliografía escueta</w:t>
            </w:r>
          </w:p>
        </w:tc>
        <w:tc>
          <w:tcPr>
            <w:tcW w:type="dxa" w:w="2592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Listado bibliográfico de extensión moderada.</w:t>
            </w:r>
          </w:p>
        </w:tc>
        <w:tc>
          <w:tcPr>
            <w:tcW w:type="dxa" w:w="1584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SUPERADO</w:t>
            </w:r>
          </w:p>
        </w:tc>
        <w:tc>
          <w:tcPr>
            <w:tcW w:type="dxa" w:w="2880"/>
          </w:tcPr>
          <w:p>
            <w:pPr>
              <w:spacing w:after="40" w:before="40" w:line="264" w:lineRule="auto"/>
            </w:pPr>
            <w:r>
              <w:rPr>
                <w:rFonts w:ascii="Verdana" w:hAnsi="Verdana"/>
                <w:color w:val="222222"/>
                <w:sz w:val="17"/>
              </w:rPr>
              <w:t>21 referencias APA de herramientas y literatura científica clave.</w:t>
            </w:r>
          </w:p>
        </w:tc>
      </w:tr>
    </w:tbl>
    <w:p>
      <w:pPr>
        <w:spacing w:after="160"/>
      </w:pPr>
    </w:p>
    <w:p>
      <w:pPr>
        <w:pStyle w:val="Heading1"/>
      </w:pPr>
      <w:r>
        <w:t>5. Dictamen y plan de subsanación aplicado en la versión final</w:t>
      </w:r>
    </w:p>
    <w:p>
      <w:pPr>
        <w:spacing w:after="120" w:line="276" w:lineRule="auto"/>
        <w:jc w:val="both"/>
      </w:pPr>
      <w:r>
        <w:rPr>
          <w:rFonts w:ascii="Verdana" w:hAnsi="Verdana"/>
          <w:b/>
          <w:color w:val="222222"/>
          <w:sz w:val="20"/>
        </w:rPr>
        <w:t xml:space="preserve">Dictamen de cierre: </w:t>
      </w:r>
      <w:r>
        <w:rPr>
          <w:rFonts w:ascii="Verdana" w:hAnsi="Verdana"/>
          <w:color w:val="222222"/>
          <w:sz w:val="20"/>
        </w:rPr>
        <w:t>Tras la auditoría exhaustiva, se concluye que «TFM_Pythones (1).docx» requería una reestructuración profunda para cumplir con la excelencia exigida por la Universidad Complutense de Madrid. En la memoria final generada («TFM_Pythones_Final.docx» / «TFM_Pythones_Final_UCM.docx») se han resuelto el 100 % de los puntos críticos: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1. Rigor geográfico y administrativo: Unificación en torno a los 31 municipios oficiales de Tenerife.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2. Delimitación de alcance: Reemplazo del Text-to-SQL por el motor de informes ejecutivos con Groq API.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3. Integración de reseñas en H3: Documentación de Booking y TripAdvisor agregados espacialmente por lat/lon.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4. Corrección de HDBSCAN: Variables de demanda y delimitación de los 4 arquetipos territoriales TUI.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5. Redacción íntegra de MGWR, PTNA y ESG: Formulación matemática e interpretación estratégica de negocio.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6. Redacción completa del Frontend: Arquitectura Streamlit de 4 capas, PyDeck y simulador gravitatorio.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7. Respuesta a TUI: Tabla ejecutiva respondiendo punto por punto a las 5 preguntas del briefing.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8. Cobertura de la Guía UCM: Adición de licencias (§2.6), monitorización de pipelines (§3.3), comparativa de modelos (§4.8) y permisos de tutores en Anexo A.</w:t>
      </w:r>
    </w:p>
    <w:p>
      <w:pPr>
        <w:spacing w:after="120" w:line="276" w:lineRule="auto"/>
        <w:jc w:val="both"/>
      </w:pPr>
      <w:r>
        <w:rPr>
          <w:rFonts w:ascii="Verdana" w:hAnsi="Verdana"/>
          <w:color w:val="222222"/>
          <w:sz w:val="20"/>
        </w:rPr>
        <w:t>9. Cumplimiento tipográfico estricto: Formato 100 % Verdana (Título 1: 12 pt, Título 2: 11 pt, Normal: 10 pt).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Verdana" w:hAnsi="Verdana" w:cs="Verdana" w:eastAsia="Verdana"/>
      <w:b w:val="0"/>
      <w:color w:val="222222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color w:val="1F497D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color w:val="2E6E9E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