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B7945" w14:textId="09450AE6" w:rsidR="00C7194A" w:rsidRPr="00C7194A" w:rsidRDefault="00DB4662" w:rsidP="005C1A44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 w:rsidRPr="00092B61">
        <w:t>Definición del problema a resolver</w:t>
      </w:r>
    </w:p>
    <w:p w14:paraId="0B6434AB" w14:textId="77777777" w:rsidR="00A872B5" w:rsidRDefault="00A872B5" w:rsidP="00A872B5">
      <w:pPr>
        <w:pStyle w:val="NormalWeb"/>
        <w:jc w:val="both"/>
        <w:rPr>
          <w:color w:val="000000"/>
        </w:rPr>
      </w:pPr>
      <w:r>
        <w:rPr>
          <w:color w:val="000000"/>
        </w:rPr>
        <w:t>En el análisis financiero de los mercados bursátiles, existen dos enfoques principales: el análisis fundamental y el técnico. 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análisis fundamental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se basa en datos financieros concretos como ganancias, pérdidas y márgenes operativos para evaluar la salud y el rendimiento de una empresa. Este enfoque es ideal para inversiones a mediano y largo plazo, aunque no es infalible, ya que puede verse afectado por la manipulación de cifras o decisiones macroeconómicas como los tipos de interés.</w:t>
      </w:r>
    </w:p>
    <w:p w14:paraId="1E4533DA" w14:textId="77777777" w:rsidR="00A872B5" w:rsidRDefault="00A872B5" w:rsidP="00A872B5">
      <w:pPr>
        <w:pStyle w:val="NormalWeb"/>
        <w:jc w:val="both"/>
        <w:rPr>
          <w:color w:val="000000"/>
        </w:rPr>
      </w:pPr>
      <w:r>
        <w:rPr>
          <w:color w:val="000000"/>
        </w:rPr>
        <w:t>Por otro lado, 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análisis técnico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se enfoca en el comportamiento del precio, sin considerar los datos financieros tradicionales. Utiliza herramientas gráficas como los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gráficos de velas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y patrones chartistas para anticipar movimientos futuros del mercado, siendo más útil para el corto plazo o decisiones basadas en tendencias.</w:t>
      </w:r>
    </w:p>
    <w:p w14:paraId="5FE300B8" w14:textId="77777777" w:rsidR="00A872B5" w:rsidRDefault="00A872B5" w:rsidP="00A872B5">
      <w:pPr>
        <w:pStyle w:val="NormalWeb"/>
        <w:jc w:val="both"/>
        <w:rPr>
          <w:color w:val="000000"/>
        </w:rPr>
      </w:pPr>
      <w:r>
        <w:rPr>
          <w:color w:val="000000"/>
        </w:rPr>
        <w:t>Sin embargo, en los mercados actuales, los precios de las acciones no dependen exclusivamente de estos factores tradicionales. También están influenciados por 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comportamiento y percepción de los inversores</w:t>
      </w:r>
      <w:r>
        <w:rPr>
          <w:color w:val="000000"/>
        </w:rPr>
        <w:t>, moldeados por la información que circula en medios, redes sociales y foros. Estos flujos de información generan cambios en 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sentimiento del mercado</w:t>
      </w:r>
      <w:r>
        <w:rPr>
          <w:color w:val="000000"/>
        </w:rPr>
        <w:t>, que pueden anticipar movimientos alcistas o bajistas.</w:t>
      </w:r>
    </w:p>
    <w:p w14:paraId="229F7A79" w14:textId="77777777" w:rsidR="00A872B5" w:rsidRDefault="00A872B5" w:rsidP="00A872B5">
      <w:pPr>
        <w:pStyle w:val="NormalWeb"/>
        <w:jc w:val="both"/>
        <w:rPr>
          <w:color w:val="000000"/>
        </w:rPr>
      </w:pPr>
      <w:r>
        <w:rPr>
          <w:color w:val="000000"/>
        </w:rPr>
        <w:t>Ante esta realidad, surge una necesidad creciente de incorporar técnicas de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procesamiento del lenguaje natural (NLP)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análisis de texto</w:t>
      </w:r>
      <w:r>
        <w:rPr>
          <w:color w:val="000000"/>
        </w:rPr>
        <w:t>, que permitan cuantificar estas percepciones y combinarlas con indicadores financieros clásicos. El objetivo es desarrollar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modelos predictivos más robustos</w:t>
      </w:r>
      <w:r>
        <w:rPr>
          <w:color w:val="000000"/>
        </w:rPr>
        <w:t>, capaces de identificar patrones entre lo que se dice sobre sectores, empresas o temas financieros, y el comportamiento posterior de sus precios en bolsa.</w:t>
      </w:r>
    </w:p>
    <w:p w14:paraId="5B2A2F73" w14:textId="77777777" w:rsidR="00A872B5" w:rsidRDefault="00A872B5" w:rsidP="00A872B5">
      <w:pPr>
        <w:pStyle w:val="NormalWeb"/>
        <w:jc w:val="both"/>
        <w:rPr>
          <w:color w:val="000000"/>
        </w:rPr>
      </w:pPr>
      <w:r>
        <w:rPr>
          <w:color w:val="000000"/>
        </w:rPr>
        <w:t>Este enfoque integral busca mejorar la capacidad de predicción en los mercados bursátiles, integrando análisis fundamental, técnico y de sentimiento.</w:t>
      </w:r>
    </w:p>
    <w:p w14:paraId="1A412636" w14:textId="7C67E43D" w:rsidR="00400B8C" w:rsidRDefault="00DB4662" w:rsidP="00400B8C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 w:rsidRPr="00115B17">
        <w:t>¿</w:t>
      </w:r>
      <w:r w:rsidR="005C1A44">
        <w:t>Que es el mercado bursatil</w:t>
      </w:r>
      <w:r w:rsidR="003E457E">
        <w:t xml:space="preserve"> </w:t>
      </w:r>
      <w:r w:rsidRPr="00115B17">
        <w:t xml:space="preserve">? </w:t>
      </w:r>
    </w:p>
    <w:p w14:paraId="41BD756A" w14:textId="77777777" w:rsidR="00400B8C" w:rsidRDefault="00400B8C" w:rsidP="00A87558">
      <w:pPr>
        <w:pStyle w:val="NormalWeb"/>
        <w:jc w:val="both"/>
        <w:rPr>
          <w:color w:val="000000"/>
        </w:rPr>
      </w:pPr>
      <w:r>
        <w:rPr>
          <w:color w:val="000000"/>
        </w:rPr>
        <w:t>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mercado bursátil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es el espacio donde se negocian instrumentos financieros como acciones y bonos. Su función principal es facilitar la inversión y la financiación de empresas, permitiendo que los precios reflejen las expectativas de los participantes.</w:t>
      </w:r>
    </w:p>
    <w:p w14:paraId="1C4E3302" w14:textId="77777777" w:rsidR="00400B8C" w:rsidRDefault="00400B8C" w:rsidP="00A87558">
      <w:pPr>
        <w:pStyle w:val="NormalWeb"/>
        <w:jc w:val="both"/>
        <w:rPr>
          <w:color w:val="000000"/>
        </w:rPr>
      </w:pPr>
      <w:r>
        <w:rPr>
          <w:color w:val="000000"/>
        </w:rPr>
        <w:t>Estos precios no solo responden a datos económicos, sino también a factores emocionales y percepciones colectivas influenciadas por noticias, redes sociales y medios especializados. Por eso, el análisis de sentimiento aplicado a textos puede ser clave para anticipar movimientos del mercado, al detectar señales tempranas de optimismo o temor entre los inversores.</w:t>
      </w:r>
    </w:p>
    <w:p w14:paraId="240777DC" w14:textId="77777777" w:rsidR="00395FF2" w:rsidRDefault="00395FF2" w:rsidP="00A87558">
      <w:pPr>
        <w:pStyle w:val="NormalWeb"/>
        <w:jc w:val="both"/>
        <w:rPr>
          <w:color w:val="000000"/>
        </w:rPr>
      </w:pPr>
      <w:r>
        <w:rPr>
          <w:color w:val="000000"/>
        </w:rPr>
        <w:t>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mercado bursátil europeo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es el conjunto de bolsas de valores que operan en los países de Europa, donde se negocian instrumentos financieros como acciones, bonos, derivados y fondos cotizados. Este mercado desempeña un papel fundamental en la economía del continente, ya que permite a empresas europeas captar inversión y a los inversores gestionar su capital a través de activos financieros.</w:t>
      </w:r>
    </w:p>
    <w:p w14:paraId="4D8E08CA" w14:textId="77777777" w:rsidR="00395FF2" w:rsidRDefault="00395FF2" w:rsidP="00A87558">
      <w:pPr>
        <w:pStyle w:val="NormalWeb"/>
        <w:jc w:val="both"/>
        <w:rPr>
          <w:color w:val="000000"/>
        </w:rPr>
      </w:pPr>
      <w:r>
        <w:rPr>
          <w:color w:val="000000"/>
        </w:rPr>
        <w:lastRenderedPageBreak/>
        <w:t>Las principales bolsas europeas incluyen:</w:t>
      </w:r>
    </w:p>
    <w:p w14:paraId="5CF40D5D" w14:textId="77777777" w:rsidR="00395FF2" w:rsidRDefault="00395FF2" w:rsidP="00A87558">
      <w:pPr>
        <w:pStyle w:val="NormalWeb"/>
        <w:numPr>
          <w:ilvl w:val="0"/>
          <w:numId w:val="11"/>
        </w:numPr>
        <w:jc w:val="both"/>
        <w:rPr>
          <w:color w:val="000000"/>
        </w:rPr>
      </w:pPr>
      <w:r>
        <w:rPr>
          <w:rStyle w:val="Strong"/>
          <w:rFonts w:eastAsiaTheme="majorEastAsia"/>
          <w:color w:val="000000"/>
        </w:rPr>
        <w:t>Euronext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(con presencia en París, Ámsterdam, Bruselas, Lisboa, Dublín, entre otras),</w:t>
      </w:r>
    </w:p>
    <w:p w14:paraId="19B19CC7" w14:textId="77777777" w:rsidR="00395FF2" w:rsidRDefault="00395FF2" w:rsidP="00A87558">
      <w:pPr>
        <w:pStyle w:val="NormalWeb"/>
        <w:numPr>
          <w:ilvl w:val="0"/>
          <w:numId w:val="11"/>
        </w:numPr>
        <w:jc w:val="both"/>
        <w:rPr>
          <w:color w:val="000000"/>
        </w:rPr>
      </w:pPr>
      <w:r>
        <w:rPr>
          <w:rStyle w:val="Strong"/>
          <w:rFonts w:eastAsiaTheme="majorEastAsia"/>
          <w:color w:val="000000"/>
        </w:rPr>
        <w:t>Deutsche Börse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(Fráncfort, Alemania),</w:t>
      </w:r>
    </w:p>
    <w:p w14:paraId="4DD838A9" w14:textId="77777777" w:rsidR="00395FF2" w:rsidRDefault="00395FF2" w:rsidP="00A87558">
      <w:pPr>
        <w:pStyle w:val="NormalWeb"/>
        <w:numPr>
          <w:ilvl w:val="0"/>
          <w:numId w:val="11"/>
        </w:numPr>
        <w:jc w:val="both"/>
        <w:rPr>
          <w:color w:val="000000"/>
        </w:rPr>
      </w:pPr>
      <w:r>
        <w:rPr>
          <w:rStyle w:val="Strong"/>
          <w:rFonts w:eastAsiaTheme="majorEastAsia"/>
          <w:color w:val="000000"/>
        </w:rPr>
        <w:t>London Stock Exchange (LSE)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(Reino Unido),</w:t>
      </w:r>
    </w:p>
    <w:p w14:paraId="7B029856" w14:textId="77777777" w:rsidR="00395FF2" w:rsidRDefault="00395FF2" w:rsidP="00A87558">
      <w:pPr>
        <w:pStyle w:val="NormalWeb"/>
        <w:numPr>
          <w:ilvl w:val="0"/>
          <w:numId w:val="11"/>
        </w:numPr>
        <w:jc w:val="both"/>
        <w:rPr>
          <w:color w:val="000000"/>
        </w:rPr>
      </w:pPr>
      <w:r>
        <w:rPr>
          <w:rStyle w:val="Strong"/>
          <w:rFonts w:eastAsiaTheme="majorEastAsia"/>
          <w:color w:val="000000"/>
        </w:rPr>
        <w:t>BME – Bolsas y Mercados Españoles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(España),</w:t>
      </w:r>
    </w:p>
    <w:p w14:paraId="2D9B1F7E" w14:textId="77777777" w:rsidR="00395FF2" w:rsidRDefault="00395FF2" w:rsidP="00A87558">
      <w:pPr>
        <w:pStyle w:val="NormalWeb"/>
        <w:numPr>
          <w:ilvl w:val="0"/>
          <w:numId w:val="11"/>
        </w:numPr>
        <w:jc w:val="both"/>
        <w:rPr>
          <w:color w:val="000000"/>
        </w:rPr>
      </w:pPr>
      <w:r>
        <w:rPr>
          <w:rStyle w:val="Strong"/>
          <w:rFonts w:eastAsiaTheme="majorEastAsia"/>
          <w:color w:val="000000"/>
        </w:rPr>
        <w:t>Swiss Exchange (SIX)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(Suiza),</w:t>
      </w:r>
    </w:p>
    <w:p w14:paraId="1ECB795A" w14:textId="77777777" w:rsidR="00395FF2" w:rsidRDefault="00395FF2" w:rsidP="00A87558">
      <w:pPr>
        <w:pStyle w:val="NormalWeb"/>
        <w:jc w:val="both"/>
        <w:rPr>
          <w:color w:val="000000"/>
        </w:rPr>
      </w:pPr>
      <w:r>
        <w:rPr>
          <w:color w:val="000000"/>
        </w:rPr>
        <w:t>Estas bolsas están interconectadas y son reguladas por entidades nacionales e internacionales que garantizan transparencia, legalidad y eficiencia en las transacciones.</w:t>
      </w:r>
    </w:p>
    <w:p w14:paraId="7EFB29AA" w14:textId="77777777" w:rsidR="00395FF2" w:rsidRDefault="00395FF2" w:rsidP="00A87558">
      <w:pPr>
        <w:pStyle w:val="NormalWeb"/>
        <w:jc w:val="both"/>
        <w:rPr>
          <w:color w:val="000000"/>
        </w:rPr>
      </w:pPr>
      <w:r>
        <w:rPr>
          <w:color w:val="000000"/>
        </w:rPr>
        <w:t>El funcionamiento del mercado bursátil europeo se basa en la ley de oferta y demanda, y sus precios se ven influenciados no solo por indicadores económicos y financieros, sino también por factores externos como noticias políticas, eventos geopolíticos y, especialmente, la percepción colectiva de los inversores.</w:t>
      </w:r>
    </w:p>
    <w:p w14:paraId="696A6F13" w14:textId="16461070" w:rsidR="00115B17" w:rsidRDefault="00395FF2" w:rsidP="00A87558">
      <w:pPr>
        <w:pStyle w:val="NormalWeb"/>
        <w:jc w:val="both"/>
      </w:pPr>
      <w:r>
        <w:rPr>
          <w:color w:val="000000"/>
        </w:rPr>
        <w:t>En este contexto, 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análisis de sentimiento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se ha convertido en una herramienta poderosa para los analistas e inversionistas. Al analizar lo que se comunica en medios financieros, redes sociales y portales especializados en Europa, es posible detectar cambios en el estado de ánimo del mercado (optimismo, temor, incertidumbre) y anticipar posibles movimientos alcistas o bajistas en los precios de las acciones y otros activos.</w:t>
      </w:r>
      <w:r w:rsidRPr="00115B17">
        <w:t xml:space="preserve"> </w:t>
      </w:r>
    </w:p>
    <w:p w14:paraId="05721EBB" w14:textId="77777777" w:rsidR="00395FF2" w:rsidRPr="00115B17" w:rsidRDefault="00395FF2" w:rsidP="00395FF2">
      <w:pPr>
        <w:pStyle w:val="NormalWeb"/>
      </w:pPr>
    </w:p>
    <w:p w14:paraId="3B401E70" w14:textId="395C26E8" w:rsidR="00261304" w:rsidRDefault="00DB4662" w:rsidP="00EC6CD2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>
        <w:t>Hipótesis del estudio</w:t>
      </w:r>
    </w:p>
    <w:p w14:paraId="5F628161" w14:textId="77777777" w:rsidR="00E3333D" w:rsidRDefault="00E3333D" w:rsidP="00E3333D">
      <w:pPr>
        <w:pStyle w:val="ListParagraph"/>
        <w:spacing w:before="100" w:beforeAutospacing="1" w:after="100" w:afterAutospacing="1"/>
      </w:pPr>
    </w:p>
    <w:p w14:paraId="295CB9EE" w14:textId="77777777" w:rsidR="001E3F13" w:rsidRDefault="00E3333D" w:rsidP="00E3333D">
      <w:pPr>
        <w:pStyle w:val="NormalWeb"/>
        <w:rPr>
          <w:rStyle w:val="Strong"/>
          <w:rFonts w:eastAsiaTheme="majorEastAsia"/>
          <w:color w:val="000000"/>
        </w:rPr>
      </w:pPr>
      <w:r>
        <w:rPr>
          <w:rStyle w:val="Strong"/>
          <w:rFonts w:eastAsiaTheme="majorEastAsia"/>
          <w:color w:val="000000"/>
        </w:rPr>
        <w:t>Hipótesis nula (H₀):</w:t>
      </w:r>
    </w:p>
    <w:p w14:paraId="162199B5" w14:textId="569EE8FB" w:rsidR="00E3333D" w:rsidRDefault="00E3333D" w:rsidP="00857CFA">
      <w:pPr>
        <w:pStyle w:val="NormalWeb"/>
        <w:jc w:val="both"/>
        <w:rPr>
          <w:color w:val="000000"/>
        </w:rPr>
      </w:pPr>
      <w:r>
        <w:rPr>
          <w:color w:val="000000"/>
        </w:rPr>
        <w:br/>
      </w:r>
      <w:r>
        <w:rPr>
          <w:rStyle w:val="Emphasis"/>
          <w:rFonts w:eastAsiaTheme="majorEastAsia"/>
          <w:color w:val="000000"/>
        </w:rPr>
        <w:t xml:space="preserve">El sentimiento expresado </w:t>
      </w:r>
      <w:r w:rsidR="00460596">
        <w:rPr>
          <w:rStyle w:val="Emphasis"/>
          <w:rFonts w:eastAsiaTheme="majorEastAsia"/>
          <w:color w:val="000000"/>
        </w:rPr>
        <w:t>en l</w:t>
      </w:r>
      <w:r w:rsidR="001E3F13">
        <w:rPr>
          <w:rStyle w:val="Emphasis"/>
          <w:rFonts w:eastAsiaTheme="majorEastAsia"/>
          <w:color w:val="000000"/>
        </w:rPr>
        <w:t>os titulares de</w:t>
      </w:r>
      <w:r w:rsidR="00460596">
        <w:rPr>
          <w:rStyle w:val="Emphasis"/>
          <w:rFonts w:eastAsiaTheme="majorEastAsia"/>
          <w:color w:val="000000"/>
        </w:rPr>
        <w:t xml:space="preserve"> prensa </w:t>
      </w:r>
      <w:r w:rsidR="001E3F13">
        <w:rPr>
          <w:rStyle w:val="Emphasis"/>
          <w:rFonts w:eastAsiaTheme="majorEastAsia"/>
          <w:color w:val="000000"/>
        </w:rPr>
        <w:t>NO</w:t>
      </w:r>
      <w:r>
        <w:rPr>
          <w:rStyle w:val="Emphasis"/>
          <w:rFonts w:eastAsiaTheme="majorEastAsia"/>
          <w:color w:val="000000"/>
        </w:rPr>
        <w:t xml:space="preserve"> tiene un efecto significativo en la variación de los precios de las acciones</w:t>
      </w:r>
      <w:r w:rsidR="001E3F13" w:rsidRPr="001E3F13">
        <w:rPr>
          <w:rStyle w:val="Emphasis"/>
          <w:rFonts w:eastAsiaTheme="majorEastAsia"/>
          <w:color w:val="000000"/>
        </w:rPr>
        <w:t xml:space="preserve"> </w:t>
      </w:r>
      <w:r w:rsidR="001E3F13">
        <w:rPr>
          <w:rStyle w:val="Emphasis"/>
          <w:rFonts w:eastAsiaTheme="majorEastAsia"/>
          <w:color w:val="000000"/>
        </w:rPr>
        <w:t>sobre el mercado bursátil europeo.</w:t>
      </w:r>
    </w:p>
    <w:p w14:paraId="1FA9860A" w14:textId="77777777" w:rsidR="00857CFA" w:rsidRDefault="00E3333D" w:rsidP="00857CFA">
      <w:pPr>
        <w:pStyle w:val="NormalWeb"/>
        <w:rPr>
          <w:rStyle w:val="Strong"/>
          <w:rFonts w:eastAsiaTheme="majorEastAsia"/>
          <w:color w:val="000000"/>
        </w:rPr>
      </w:pPr>
      <w:r>
        <w:rPr>
          <w:rStyle w:val="Strong"/>
          <w:rFonts w:eastAsiaTheme="majorEastAsia"/>
          <w:color w:val="000000"/>
        </w:rPr>
        <w:t>Hipótesis alternativa (H₁):</w:t>
      </w:r>
    </w:p>
    <w:p w14:paraId="22127DA9" w14:textId="2D25D6AD" w:rsidR="00E3333D" w:rsidRDefault="00E3333D" w:rsidP="00857CFA">
      <w:pPr>
        <w:pStyle w:val="NormalWeb"/>
        <w:rPr>
          <w:color w:val="000000"/>
        </w:rPr>
      </w:pPr>
      <w:r>
        <w:rPr>
          <w:color w:val="000000"/>
        </w:rPr>
        <w:br/>
      </w:r>
      <w:r w:rsidR="001E3F13">
        <w:rPr>
          <w:rStyle w:val="Emphasis"/>
          <w:rFonts w:eastAsiaTheme="majorEastAsia"/>
          <w:color w:val="000000"/>
        </w:rPr>
        <w:t>El sentimiento expresado en la prensa tiene un efecto significativo en la variación de los precios de las acciones</w:t>
      </w:r>
      <w:r w:rsidR="001E3F13" w:rsidRPr="001E3F13">
        <w:rPr>
          <w:rStyle w:val="Emphasis"/>
          <w:rFonts w:eastAsiaTheme="majorEastAsia"/>
          <w:color w:val="000000"/>
        </w:rPr>
        <w:t xml:space="preserve"> </w:t>
      </w:r>
      <w:r w:rsidR="001E3F13">
        <w:rPr>
          <w:rStyle w:val="Emphasis"/>
          <w:rFonts w:eastAsiaTheme="majorEastAsia"/>
          <w:color w:val="000000"/>
        </w:rPr>
        <w:t>sobre el mercado bursátil europeo.</w:t>
      </w:r>
    </w:p>
    <w:p w14:paraId="5B218C7B" w14:textId="77777777" w:rsidR="000072C3" w:rsidRPr="0083778B" w:rsidRDefault="000072C3" w:rsidP="00857CFA">
      <w:pPr>
        <w:spacing w:before="100" w:beforeAutospacing="1" w:after="100" w:afterAutospacing="1"/>
        <w:jc w:val="both"/>
      </w:pPr>
    </w:p>
    <w:p w14:paraId="72252B9F" w14:textId="294A7E98" w:rsidR="00450819" w:rsidRDefault="00DB4662" w:rsidP="00857CFA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</w:pPr>
      <w:r w:rsidRPr="00DD3F8B">
        <w:t>Alcance del proyecto (temporal, geográfico, sectorial)</w:t>
      </w:r>
    </w:p>
    <w:p w14:paraId="260D339F" w14:textId="77777777" w:rsidR="00857CFA" w:rsidRDefault="00857CFA" w:rsidP="00857CFA">
      <w:pPr>
        <w:pStyle w:val="NormalWeb"/>
        <w:jc w:val="both"/>
        <w:rPr>
          <w:color w:val="000000"/>
        </w:rPr>
      </w:pPr>
      <w:r>
        <w:rPr>
          <w:color w:val="000000"/>
        </w:rPr>
        <w:t>Este proyecto tiene como objetivo analizar el impacto del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sentimiento expresado en titulares de la prensa económica europea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sobre la evolución del mercado bursátil, con un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enfoque específico en España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como caso de estudio. Se busca determinar si el análisis de contenido textual </w:t>
      </w:r>
      <w:r>
        <w:rPr>
          <w:color w:val="000000"/>
        </w:rPr>
        <w:lastRenderedPageBreak/>
        <w:t>relacionado con noticias financieras permite predecir con mayor precisión el comportamiento de los precios de las acciones, principalmente del índice IBEX 35.</w:t>
      </w:r>
    </w:p>
    <w:p w14:paraId="63821BDF" w14:textId="77777777" w:rsidR="00857CFA" w:rsidRDefault="00857CFA" w:rsidP="00857CFA">
      <w:pPr>
        <w:pStyle w:val="Heading4"/>
        <w:jc w:val="both"/>
        <w:rPr>
          <w:color w:val="000000"/>
        </w:rPr>
      </w:pPr>
      <w:r>
        <w:rPr>
          <w:rStyle w:val="Strong"/>
          <w:b w:val="0"/>
          <w:bCs w:val="0"/>
          <w:color w:val="000000"/>
        </w:rPr>
        <w:t>Delimitación temporal:</w:t>
      </w:r>
    </w:p>
    <w:p w14:paraId="1174344C" w14:textId="40DF888C" w:rsidR="00857CFA" w:rsidRDefault="00857CFA" w:rsidP="00857CFA">
      <w:pPr>
        <w:pStyle w:val="NormalWeb"/>
        <w:jc w:val="both"/>
        <w:rPr>
          <w:color w:val="000000"/>
        </w:rPr>
      </w:pPr>
      <w:r>
        <w:rPr>
          <w:color w:val="000000"/>
        </w:rPr>
        <w:t>El análisis se desarrollará utilizando datos comprendidos entre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 xml:space="preserve">enero de 2020 y </w:t>
      </w:r>
      <w:r w:rsidR="006B218D">
        <w:rPr>
          <w:rStyle w:val="Strong"/>
          <w:rFonts w:eastAsiaTheme="majorEastAsia"/>
          <w:color w:val="000000"/>
        </w:rPr>
        <w:t>agosto</w:t>
      </w:r>
      <w:r>
        <w:rPr>
          <w:rStyle w:val="Strong"/>
          <w:rFonts w:eastAsiaTheme="majorEastAsia"/>
          <w:color w:val="000000"/>
        </w:rPr>
        <w:t xml:space="preserve"> de 2025</w:t>
      </w:r>
      <w:r>
        <w:rPr>
          <w:color w:val="000000"/>
        </w:rPr>
        <w:t>, un periodo caracterizado por eventos económicos de gran impacto (como la pandemia de COVID-19, la recuperación post-crisis, la inflación y la guerra en Ucrania), que generaron abundante información periodística y fuertes fluctuaciones en los mercados.</w:t>
      </w:r>
    </w:p>
    <w:p w14:paraId="32070BDF" w14:textId="77777777" w:rsidR="00857CFA" w:rsidRDefault="00857CFA" w:rsidP="00857CFA">
      <w:pPr>
        <w:pStyle w:val="Heading4"/>
        <w:jc w:val="both"/>
        <w:rPr>
          <w:color w:val="000000"/>
        </w:rPr>
      </w:pPr>
      <w:r>
        <w:rPr>
          <w:rStyle w:val="Strong"/>
          <w:b w:val="0"/>
          <w:bCs w:val="0"/>
          <w:color w:val="000000"/>
        </w:rPr>
        <w:t>Delimitación geográfica:</w:t>
      </w:r>
    </w:p>
    <w:p w14:paraId="535F2FB2" w14:textId="77777777" w:rsidR="00857CFA" w:rsidRDefault="00857CFA" w:rsidP="00857CFA">
      <w:pPr>
        <w:pStyle w:val="NormalWeb"/>
        <w:jc w:val="both"/>
        <w:rPr>
          <w:color w:val="000000"/>
        </w:rPr>
      </w:pPr>
      <w:r>
        <w:rPr>
          <w:color w:val="000000"/>
        </w:rPr>
        <w:t>La investigación se centrará 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titulares de la prensa económica del ámbito europeo</w:t>
      </w:r>
      <w:r>
        <w:rPr>
          <w:color w:val="000000"/>
        </w:rPr>
        <w:t>, con prioridad en medios españoles y fuentes oficiales como el Instituto Nacional de Estadística (INE), la Comisión Nacional del Mercado de Valores (CNMV), el Banco de España y plataformas informativas como El Economista, Expansión, Reuters, Bloomberg EU, entre otros.</w:t>
      </w:r>
    </w:p>
    <w:p w14:paraId="05B596A9" w14:textId="77777777" w:rsidR="00857CFA" w:rsidRDefault="00857CFA" w:rsidP="00857CFA">
      <w:pPr>
        <w:pStyle w:val="Heading4"/>
        <w:jc w:val="both"/>
        <w:rPr>
          <w:color w:val="000000"/>
        </w:rPr>
      </w:pPr>
      <w:r>
        <w:rPr>
          <w:rStyle w:val="Strong"/>
          <w:b w:val="0"/>
          <w:bCs w:val="0"/>
          <w:color w:val="000000"/>
        </w:rPr>
        <w:t>Delimitación técnica:</w:t>
      </w:r>
    </w:p>
    <w:p w14:paraId="138B75A1" w14:textId="60C79B7F" w:rsidR="003D35FF" w:rsidRDefault="00857CFA" w:rsidP="00857CFA">
      <w:pPr>
        <w:pStyle w:val="NormalWeb"/>
        <w:jc w:val="both"/>
        <w:rPr>
          <w:color w:val="000000"/>
        </w:rPr>
      </w:pPr>
      <w:r>
        <w:rPr>
          <w:color w:val="000000"/>
        </w:rPr>
        <w:t>No se contemplan limitaciones técnicas relevantes, ya que se utilizarán herramientas y lenguajes de programación de acceso abierto. Se aplicarán técnicas de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procesamiento de lenguaje natural (NLP)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análisis de sentimiento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modelado predictivo</w:t>
      </w:r>
      <w:r>
        <w:rPr>
          <w:color w:val="000000"/>
        </w:rPr>
        <w:t>, en conjunto con datos históricos bursátiles, para construir modelos que permitan identificar patrones y relaciones significativas entre la percepción del mercado y el comportamiento real de los activos.</w:t>
      </w:r>
    </w:p>
    <w:p w14:paraId="3595FBF8" w14:textId="77777777" w:rsidR="00857CFA" w:rsidRPr="00857CFA" w:rsidRDefault="00857CFA" w:rsidP="00857CFA">
      <w:pPr>
        <w:pStyle w:val="NormalWeb"/>
        <w:rPr>
          <w:color w:val="000000"/>
        </w:rPr>
      </w:pPr>
    </w:p>
    <w:p w14:paraId="5645EFC0" w14:textId="44072777" w:rsidR="00450819" w:rsidRDefault="00450819" w:rsidP="00EC6CD2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>
        <w:t>¿Como lo haremos?</w:t>
      </w:r>
    </w:p>
    <w:p w14:paraId="528DCF98" w14:textId="77777777" w:rsidR="000072C3" w:rsidRDefault="000072C3" w:rsidP="000072C3">
      <w:pPr>
        <w:pStyle w:val="ListParagraph"/>
      </w:pPr>
    </w:p>
    <w:p w14:paraId="0C8DBFA9" w14:textId="3C9C292E" w:rsidR="000072C3" w:rsidRDefault="3B6759F8" w:rsidP="7143B5F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s-ES"/>
        </w:rPr>
      </w:pPr>
      <w:r w:rsidRPr="7143B5F8">
        <w:rPr>
          <w:lang w:val="es-ES"/>
        </w:rPr>
        <w:t>Comparación</w:t>
      </w:r>
      <w:r w:rsidR="000072C3" w:rsidRPr="7143B5F8">
        <w:rPr>
          <w:lang w:val="es-ES"/>
        </w:rPr>
        <w:t xml:space="preserve"> de estado de resultado</w:t>
      </w:r>
      <w:r w:rsidR="13EC96C3" w:rsidRPr="7143B5F8">
        <w:rPr>
          <w:lang w:val="es-ES"/>
        </w:rPr>
        <w:t xml:space="preserve"> financieros de pymes</w:t>
      </w:r>
      <w:r w:rsidR="00057541" w:rsidRPr="7143B5F8">
        <w:rPr>
          <w:lang w:val="es-ES"/>
        </w:rPr>
        <w:t xml:space="preserve">. </w:t>
      </w:r>
      <w:r w:rsidR="2351F65F" w:rsidRPr="7143B5F8">
        <w:rPr>
          <w:u w:val="single"/>
          <w:lang w:val="es-ES"/>
        </w:rPr>
        <w:t>Extracción de datos</w:t>
      </w:r>
    </w:p>
    <w:p w14:paraId="43E811C9" w14:textId="73DCFA6C" w:rsidR="000072C3" w:rsidRDefault="1784991D" w:rsidP="7143B5F8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lang w:val="es-ES"/>
        </w:rPr>
      </w:pPr>
      <w:r w:rsidRPr="7143B5F8">
        <w:rPr>
          <w:lang w:val="es-ES"/>
        </w:rPr>
        <w:t>Fuentes:</w:t>
      </w:r>
    </w:p>
    <w:p w14:paraId="6264DD61" w14:textId="037288B0" w:rsidR="000072C3" w:rsidRDefault="1784991D" w:rsidP="7143B5F8">
      <w:pPr>
        <w:pStyle w:val="ListParagraph"/>
        <w:numPr>
          <w:ilvl w:val="2"/>
          <w:numId w:val="8"/>
        </w:numPr>
        <w:spacing w:before="100" w:beforeAutospacing="1" w:after="100" w:afterAutospacing="1"/>
        <w:rPr>
          <w:lang w:val="es-ES"/>
        </w:rPr>
      </w:pPr>
      <w:proofErr w:type="spellStart"/>
      <w:r w:rsidRPr="7143B5F8">
        <w:rPr>
          <w:lang w:val="es-ES"/>
        </w:rPr>
        <w:t>Yahoo</w:t>
      </w:r>
      <w:proofErr w:type="spellEnd"/>
      <w:r w:rsidRPr="7143B5F8">
        <w:rPr>
          <w:lang w:val="es-ES"/>
        </w:rPr>
        <w:t xml:space="preserve"> </w:t>
      </w:r>
      <w:proofErr w:type="spellStart"/>
      <w:r w:rsidRPr="7143B5F8">
        <w:rPr>
          <w:lang w:val="es-ES"/>
        </w:rPr>
        <w:t>Finance</w:t>
      </w:r>
      <w:proofErr w:type="spellEnd"/>
    </w:p>
    <w:p w14:paraId="72061E21" w14:textId="529FB462" w:rsidR="008033C1" w:rsidRPr="00875580" w:rsidRDefault="61B3E7F7" w:rsidP="00875580">
      <w:pPr>
        <w:pStyle w:val="ListParagraph"/>
        <w:numPr>
          <w:ilvl w:val="2"/>
          <w:numId w:val="8"/>
        </w:numPr>
        <w:spacing w:beforeAutospacing="1" w:afterAutospacing="1"/>
        <w:rPr>
          <w:lang w:val="es-ES"/>
        </w:rPr>
      </w:pPr>
      <w:proofErr w:type="spellStart"/>
      <w:r w:rsidRPr="7143B5F8">
        <w:rPr>
          <w:lang w:val="es-ES"/>
        </w:rPr>
        <w:t>Finance</w:t>
      </w:r>
      <w:proofErr w:type="spellEnd"/>
      <w:r w:rsidRPr="7143B5F8">
        <w:rPr>
          <w:lang w:val="es-ES"/>
        </w:rPr>
        <w:t xml:space="preserve"> </w:t>
      </w:r>
      <w:proofErr w:type="spellStart"/>
      <w:r w:rsidRPr="7143B5F8">
        <w:rPr>
          <w:lang w:val="es-ES"/>
        </w:rPr>
        <w:t>Database</w:t>
      </w:r>
      <w:proofErr w:type="spellEnd"/>
    </w:p>
    <w:p w14:paraId="4BA7146A" w14:textId="6FF19823" w:rsidR="000072C3" w:rsidRDefault="6976581D" w:rsidP="7143B5F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es-ES"/>
        </w:rPr>
      </w:pPr>
      <w:r w:rsidRPr="7143B5F8">
        <w:rPr>
          <w:lang w:val="es-ES"/>
        </w:rPr>
        <w:t>Análisis</w:t>
      </w:r>
      <w:r w:rsidR="000072C3" w:rsidRPr="7143B5F8">
        <w:rPr>
          <w:lang w:val="es-ES"/>
        </w:rPr>
        <w:t xml:space="preserve"> de </w:t>
      </w:r>
      <w:r w:rsidR="45711C8C" w:rsidRPr="7143B5F8">
        <w:rPr>
          <w:lang w:val="es-ES"/>
        </w:rPr>
        <w:t>proyección</w:t>
      </w:r>
      <w:r w:rsidR="000072C3" w:rsidRPr="7143B5F8">
        <w:rPr>
          <w:lang w:val="es-ES"/>
        </w:rPr>
        <w:t xml:space="preserve"> de deuda e </w:t>
      </w:r>
      <w:r w:rsidR="6D95B954" w:rsidRPr="7143B5F8">
        <w:rPr>
          <w:lang w:val="es-ES"/>
        </w:rPr>
        <w:t>inversión</w:t>
      </w:r>
      <w:r w:rsidR="00057541" w:rsidRPr="7143B5F8">
        <w:rPr>
          <w:lang w:val="es-ES"/>
        </w:rPr>
        <w:t xml:space="preserve">. </w:t>
      </w:r>
      <w:r w:rsidR="00057541" w:rsidRPr="7143B5F8">
        <w:rPr>
          <w:u w:val="single"/>
          <w:lang w:val="es-ES"/>
        </w:rPr>
        <w:t>Modelado de datos</w:t>
      </w:r>
      <w:r w:rsidR="00057541" w:rsidRPr="7143B5F8">
        <w:rPr>
          <w:lang w:val="es-ES"/>
        </w:rPr>
        <w:t xml:space="preserve"> </w:t>
      </w:r>
    </w:p>
    <w:p w14:paraId="7200493F" w14:textId="59BD0B88" w:rsidR="36962D4A" w:rsidRDefault="36962D4A" w:rsidP="7143B5F8">
      <w:pPr>
        <w:pStyle w:val="ListParagraph"/>
        <w:numPr>
          <w:ilvl w:val="1"/>
          <w:numId w:val="8"/>
        </w:numPr>
        <w:spacing w:beforeAutospacing="1" w:afterAutospacing="1"/>
      </w:pPr>
      <w:r>
        <w:t>Fuentes:</w:t>
      </w:r>
    </w:p>
    <w:p w14:paraId="7D166057" w14:textId="339E2A2E" w:rsidR="36962D4A" w:rsidRDefault="36962D4A" w:rsidP="7143B5F8">
      <w:pPr>
        <w:pStyle w:val="ListParagraph"/>
        <w:numPr>
          <w:ilvl w:val="2"/>
          <w:numId w:val="8"/>
        </w:numPr>
        <w:spacing w:beforeAutospacing="1" w:afterAutospacing="1"/>
        <w:rPr>
          <w:lang w:val="es-ES"/>
        </w:rPr>
      </w:pPr>
      <w:proofErr w:type="spellStart"/>
      <w:r w:rsidRPr="7143B5F8">
        <w:rPr>
          <w:lang w:val="es-ES"/>
        </w:rPr>
        <w:t>Finance</w:t>
      </w:r>
      <w:proofErr w:type="spellEnd"/>
      <w:r w:rsidRPr="7143B5F8">
        <w:rPr>
          <w:lang w:val="es-ES"/>
        </w:rPr>
        <w:t xml:space="preserve"> </w:t>
      </w:r>
      <w:proofErr w:type="spellStart"/>
      <w:r w:rsidRPr="7143B5F8">
        <w:rPr>
          <w:lang w:val="es-ES"/>
        </w:rPr>
        <w:t>Toolkits</w:t>
      </w:r>
      <w:proofErr w:type="spellEnd"/>
    </w:p>
    <w:p w14:paraId="5F2FAD98" w14:textId="71B55EAD" w:rsidR="000072C3" w:rsidRPr="00117D5B" w:rsidRDefault="6AF56136" w:rsidP="7143B5F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u w:val="single"/>
          <w:lang w:val="es-ES"/>
        </w:rPr>
      </w:pPr>
      <w:r w:rsidRPr="7143B5F8">
        <w:rPr>
          <w:lang w:val="es-ES"/>
        </w:rPr>
        <w:t>Análisis</w:t>
      </w:r>
      <w:r w:rsidR="000072C3" w:rsidRPr="7143B5F8">
        <w:rPr>
          <w:lang w:val="es-ES"/>
        </w:rPr>
        <w:t xml:space="preserve"> de </w:t>
      </w:r>
      <w:r w:rsidR="42E84B3B" w:rsidRPr="7143B5F8">
        <w:rPr>
          <w:lang w:val="es-ES"/>
        </w:rPr>
        <w:t>precepción</w:t>
      </w:r>
      <w:r w:rsidR="00057541" w:rsidRPr="7143B5F8">
        <w:rPr>
          <w:lang w:val="es-ES"/>
        </w:rPr>
        <w:t xml:space="preserve"> del mercado: </w:t>
      </w:r>
      <w:r w:rsidR="00057541" w:rsidRPr="7143B5F8">
        <w:rPr>
          <w:u w:val="single"/>
          <w:lang w:val="es-ES"/>
        </w:rPr>
        <w:t xml:space="preserve">Text </w:t>
      </w:r>
      <w:proofErr w:type="spellStart"/>
      <w:r w:rsidR="00057541" w:rsidRPr="7143B5F8">
        <w:rPr>
          <w:u w:val="single"/>
          <w:lang w:val="es-ES"/>
        </w:rPr>
        <w:t>mining</w:t>
      </w:r>
      <w:proofErr w:type="spellEnd"/>
      <w:r w:rsidR="1C25DD09" w:rsidRPr="7143B5F8">
        <w:rPr>
          <w:u w:val="single"/>
          <w:lang w:val="es-ES"/>
        </w:rPr>
        <w:t xml:space="preserve"> y </w:t>
      </w:r>
      <w:proofErr w:type="spellStart"/>
      <w:r w:rsidR="1C25DD09" w:rsidRPr="7143B5F8">
        <w:rPr>
          <w:u w:val="single"/>
          <w:lang w:val="es-ES"/>
        </w:rPr>
        <w:t>scrapping</w:t>
      </w:r>
      <w:proofErr w:type="spellEnd"/>
    </w:p>
    <w:p w14:paraId="4DB21211" w14:textId="351FC521" w:rsidR="1C25DD09" w:rsidRDefault="1C25DD09" w:rsidP="7143B5F8">
      <w:pPr>
        <w:pStyle w:val="ListParagraph"/>
        <w:numPr>
          <w:ilvl w:val="1"/>
          <w:numId w:val="8"/>
        </w:numPr>
        <w:spacing w:beforeAutospacing="1" w:afterAutospacing="1"/>
        <w:rPr>
          <w:lang w:val="es-ES"/>
        </w:rPr>
      </w:pPr>
      <w:r w:rsidRPr="7143B5F8">
        <w:rPr>
          <w:lang w:val="es-ES"/>
        </w:rPr>
        <w:t>Fuentes:</w:t>
      </w:r>
      <w:r w:rsidR="206026C6" w:rsidRPr="7143B5F8">
        <w:rPr>
          <w:lang w:val="es-ES"/>
        </w:rPr>
        <w:t xml:space="preserve"> (</w:t>
      </w:r>
      <w:proofErr w:type="spellStart"/>
      <w:r w:rsidR="206026C6" w:rsidRPr="7143B5F8">
        <w:rPr>
          <w:lang w:val="es-ES"/>
        </w:rPr>
        <w:t>scrapping</w:t>
      </w:r>
      <w:proofErr w:type="spellEnd"/>
      <w:r w:rsidR="206026C6" w:rsidRPr="7143B5F8">
        <w:rPr>
          <w:lang w:val="es-ES"/>
        </w:rPr>
        <w:t>)</w:t>
      </w:r>
    </w:p>
    <w:p w14:paraId="2FBE065B" w14:textId="5021E467" w:rsidR="1C25DD09" w:rsidRDefault="1C25DD09" w:rsidP="7143B5F8">
      <w:pPr>
        <w:pStyle w:val="ListParagraph"/>
        <w:numPr>
          <w:ilvl w:val="2"/>
          <w:numId w:val="8"/>
        </w:numPr>
        <w:spacing w:beforeAutospacing="1" w:afterAutospacing="1"/>
        <w:rPr>
          <w:lang w:val="es-ES"/>
        </w:rPr>
      </w:pPr>
      <w:r w:rsidRPr="7143B5F8">
        <w:rPr>
          <w:lang w:val="es-ES"/>
        </w:rPr>
        <w:t>Data GOB - España</w:t>
      </w:r>
    </w:p>
    <w:p w14:paraId="2EE3738A" w14:textId="64500E9F" w:rsidR="277DCA08" w:rsidRDefault="277DCA08" w:rsidP="7143B5F8">
      <w:pPr>
        <w:pStyle w:val="ListParagraph"/>
        <w:numPr>
          <w:ilvl w:val="1"/>
          <w:numId w:val="8"/>
        </w:numPr>
        <w:spacing w:beforeAutospacing="1" w:afterAutospacing="1"/>
        <w:rPr>
          <w:lang w:val="es-ES"/>
        </w:rPr>
      </w:pPr>
      <w:r w:rsidRPr="7143B5F8">
        <w:rPr>
          <w:lang w:val="es-ES"/>
        </w:rPr>
        <w:t>Noticias</w:t>
      </w:r>
      <w:r w:rsidR="70A3BE8D" w:rsidRPr="7143B5F8">
        <w:rPr>
          <w:lang w:val="es-ES"/>
        </w:rPr>
        <w:t>: (</w:t>
      </w:r>
      <w:proofErr w:type="spellStart"/>
      <w:r w:rsidR="70A3BE8D" w:rsidRPr="7143B5F8">
        <w:rPr>
          <w:lang w:val="es-ES"/>
        </w:rPr>
        <w:t>text</w:t>
      </w:r>
      <w:proofErr w:type="spellEnd"/>
      <w:r w:rsidR="70A3BE8D" w:rsidRPr="7143B5F8">
        <w:rPr>
          <w:lang w:val="es-ES"/>
        </w:rPr>
        <w:t xml:space="preserve"> </w:t>
      </w:r>
      <w:proofErr w:type="spellStart"/>
      <w:r w:rsidR="70A3BE8D" w:rsidRPr="7143B5F8">
        <w:rPr>
          <w:lang w:val="es-ES"/>
        </w:rPr>
        <w:t>mining</w:t>
      </w:r>
      <w:proofErr w:type="spellEnd"/>
      <w:r w:rsidR="5834FDB7" w:rsidRPr="7143B5F8">
        <w:rPr>
          <w:lang w:val="es-ES"/>
        </w:rPr>
        <w:t xml:space="preserve"> + </w:t>
      </w:r>
      <w:proofErr w:type="spellStart"/>
      <w:r w:rsidR="5834FDB7" w:rsidRPr="7143B5F8">
        <w:rPr>
          <w:lang w:val="es-ES"/>
        </w:rPr>
        <w:t>scrapping</w:t>
      </w:r>
      <w:proofErr w:type="spellEnd"/>
      <w:r w:rsidR="70A3BE8D" w:rsidRPr="7143B5F8">
        <w:rPr>
          <w:lang w:val="es-ES"/>
        </w:rPr>
        <w:t>)</w:t>
      </w:r>
    </w:p>
    <w:p w14:paraId="43DE2189" w14:textId="4E62536F" w:rsidR="70A3BE8D" w:rsidRDefault="70A3BE8D" w:rsidP="7143B5F8">
      <w:pPr>
        <w:pStyle w:val="ListParagraph"/>
        <w:numPr>
          <w:ilvl w:val="2"/>
          <w:numId w:val="8"/>
        </w:numPr>
        <w:spacing w:beforeAutospacing="1" w:afterAutospacing="1"/>
        <w:rPr>
          <w:lang w:val="es-ES"/>
        </w:rPr>
      </w:pPr>
      <w:r w:rsidRPr="7143B5F8">
        <w:rPr>
          <w:lang w:val="es-ES"/>
        </w:rPr>
        <w:t xml:space="preserve">Cinco </w:t>
      </w:r>
      <w:proofErr w:type="spellStart"/>
      <w:r w:rsidRPr="7143B5F8">
        <w:rPr>
          <w:lang w:val="es-ES"/>
        </w:rPr>
        <w:t>Dias</w:t>
      </w:r>
      <w:proofErr w:type="spellEnd"/>
    </w:p>
    <w:p w14:paraId="71F53FDF" w14:textId="66FD1245" w:rsidR="70A3BE8D" w:rsidRDefault="70A3BE8D" w:rsidP="7143B5F8">
      <w:pPr>
        <w:pStyle w:val="ListParagraph"/>
        <w:numPr>
          <w:ilvl w:val="2"/>
          <w:numId w:val="8"/>
        </w:numPr>
        <w:spacing w:beforeAutospacing="1" w:afterAutospacing="1"/>
        <w:rPr>
          <w:lang w:val="es-ES"/>
        </w:rPr>
      </w:pPr>
      <w:proofErr w:type="spellStart"/>
      <w:r w:rsidRPr="7143B5F8">
        <w:rPr>
          <w:lang w:val="es-ES"/>
        </w:rPr>
        <w:t>Expansion</w:t>
      </w:r>
      <w:proofErr w:type="spellEnd"/>
    </w:p>
    <w:p w14:paraId="1FCF8B40" w14:textId="2D695350" w:rsidR="70A3BE8D" w:rsidRDefault="70A3BE8D" w:rsidP="7143B5F8">
      <w:pPr>
        <w:pStyle w:val="ListParagraph"/>
        <w:numPr>
          <w:ilvl w:val="2"/>
          <w:numId w:val="8"/>
        </w:numPr>
        <w:spacing w:beforeAutospacing="1" w:afterAutospacing="1"/>
        <w:rPr>
          <w:lang w:val="es-ES"/>
        </w:rPr>
      </w:pPr>
      <w:r w:rsidRPr="7143B5F8">
        <w:rPr>
          <w:lang w:val="es-ES"/>
        </w:rPr>
        <w:t>El Economista</w:t>
      </w:r>
    </w:p>
    <w:p w14:paraId="7E236C09" w14:textId="7247A75B" w:rsidR="00875580" w:rsidRDefault="001347E9" w:rsidP="7143B5F8">
      <w:pPr>
        <w:pStyle w:val="ListParagraph"/>
        <w:numPr>
          <w:ilvl w:val="2"/>
          <w:numId w:val="8"/>
        </w:numPr>
        <w:spacing w:beforeAutospacing="1" w:afterAutospacing="1"/>
        <w:rPr>
          <w:lang w:val="es-ES"/>
        </w:rPr>
      </w:pPr>
      <w:proofErr w:type="spellStart"/>
      <w:r>
        <w:rPr>
          <w:lang w:val="es-ES"/>
        </w:rPr>
        <w:t>W</w:t>
      </w:r>
      <w:r w:rsidR="00875580">
        <w:rPr>
          <w:lang w:val="es-ES"/>
        </w:rPr>
        <w:t>ayback</w:t>
      </w:r>
      <w:proofErr w:type="spellEnd"/>
    </w:p>
    <w:p w14:paraId="02DCFCA1" w14:textId="620D5564" w:rsidR="00117D5B" w:rsidRPr="005A323D" w:rsidRDefault="005A323D" w:rsidP="7143B5F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u w:val="single"/>
          <w:lang w:val="es-ES"/>
        </w:rPr>
      </w:pPr>
      <w:r w:rsidRPr="7143B5F8">
        <w:rPr>
          <w:lang w:val="es-ES"/>
        </w:rPr>
        <w:t xml:space="preserve">Escalabilidad del producto. </w:t>
      </w:r>
      <w:proofErr w:type="spellStart"/>
      <w:r w:rsidR="62A07481" w:rsidRPr="7143B5F8">
        <w:rPr>
          <w:u w:val="single"/>
          <w:lang w:val="es-ES"/>
        </w:rPr>
        <w:t>Productivizar</w:t>
      </w:r>
      <w:proofErr w:type="spellEnd"/>
      <w:r w:rsidR="62A07481" w:rsidRPr="7143B5F8">
        <w:rPr>
          <w:u w:val="single"/>
          <w:lang w:val="es-ES"/>
        </w:rPr>
        <w:t xml:space="preserve"> el modelo</w:t>
      </w:r>
    </w:p>
    <w:p w14:paraId="2C22F4FE" w14:textId="33477576" w:rsidR="62A07481" w:rsidRPr="001347E9" w:rsidRDefault="62A07481" w:rsidP="001347E9">
      <w:pPr>
        <w:pStyle w:val="ListParagraph"/>
        <w:numPr>
          <w:ilvl w:val="0"/>
          <w:numId w:val="13"/>
        </w:numPr>
        <w:spacing w:beforeAutospacing="1" w:afterAutospacing="1"/>
        <w:rPr>
          <w:lang w:val="es-ES"/>
        </w:rPr>
      </w:pPr>
      <w:r w:rsidRPr="001347E9">
        <w:rPr>
          <w:lang w:val="es-ES"/>
        </w:rPr>
        <w:t>Herramientas:</w:t>
      </w:r>
    </w:p>
    <w:p w14:paraId="5D334C09" w14:textId="2DD1DE8B" w:rsidR="62A07481" w:rsidRDefault="62A07481" w:rsidP="7143B5F8">
      <w:pPr>
        <w:pStyle w:val="ListParagraph"/>
        <w:numPr>
          <w:ilvl w:val="2"/>
          <w:numId w:val="8"/>
        </w:numPr>
        <w:spacing w:beforeAutospacing="1" w:afterAutospacing="1"/>
        <w:rPr>
          <w:lang w:val="es-ES"/>
        </w:rPr>
      </w:pPr>
      <w:r w:rsidRPr="7143B5F8">
        <w:rPr>
          <w:lang w:val="es-ES"/>
        </w:rPr>
        <w:lastRenderedPageBreak/>
        <w:t>Azure / Google Cloud</w:t>
      </w:r>
    </w:p>
    <w:p w14:paraId="45F3721E" w14:textId="3B80BF8E" w:rsidR="0012650E" w:rsidRDefault="0012650E" w:rsidP="7143B5F8">
      <w:pPr>
        <w:pStyle w:val="ListParagraph"/>
        <w:numPr>
          <w:ilvl w:val="2"/>
          <w:numId w:val="8"/>
        </w:numPr>
        <w:spacing w:beforeAutospacing="1" w:afterAutospacing="1"/>
        <w:rPr>
          <w:lang w:val="es-ES"/>
        </w:rPr>
      </w:pPr>
      <w:proofErr w:type="spellStart"/>
      <w:r w:rsidRPr="0012650E">
        <w:rPr>
          <w:lang w:val="es-ES"/>
        </w:rPr>
        <w:t>PyPortfolioOpt</w:t>
      </w:r>
      <w:proofErr w:type="spellEnd"/>
    </w:p>
    <w:p w14:paraId="4A2F418D" w14:textId="1374592D" w:rsidR="0012650E" w:rsidRDefault="0012650E" w:rsidP="7143B5F8">
      <w:pPr>
        <w:pStyle w:val="ListParagraph"/>
        <w:numPr>
          <w:ilvl w:val="2"/>
          <w:numId w:val="8"/>
        </w:numPr>
        <w:spacing w:beforeAutospacing="1" w:afterAutospacing="1"/>
        <w:rPr>
          <w:lang w:val="es-ES"/>
        </w:rPr>
      </w:pPr>
      <w:proofErr w:type="spellStart"/>
      <w:r>
        <w:rPr>
          <w:lang w:val="es-ES"/>
        </w:rPr>
        <w:t>M</w:t>
      </w:r>
      <w:r w:rsidRPr="0012650E">
        <w:rPr>
          <w:lang w:val="es-ES"/>
        </w:rPr>
        <w:t>plfinance</w:t>
      </w:r>
      <w:proofErr w:type="spellEnd"/>
    </w:p>
    <w:p w14:paraId="481CBF89" w14:textId="6685FFA9" w:rsidR="0012650E" w:rsidRDefault="00183E8D" w:rsidP="7143B5F8">
      <w:pPr>
        <w:pStyle w:val="ListParagraph"/>
        <w:numPr>
          <w:ilvl w:val="2"/>
          <w:numId w:val="8"/>
        </w:numPr>
        <w:spacing w:beforeAutospacing="1" w:afterAutospacing="1"/>
        <w:rPr>
          <w:lang w:val="es-ES"/>
        </w:rPr>
      </w:pPr>
      <w:proofErr w:type="spellStart"/>
      <w:r w:rsidRPr="00183E8D">
        <w:rPr>
          <w:lang w:val="es-ES"/>
        </w:rPr>
        <w:t>Quant-Finance-Resources</w:t>
      </w:r>
      <w:proofErr w:type="spellEnd"/>
    </w:p>
    <w:p w14:paraId="58107BFE" w14:textId="77777777" w:rsidR="005A323D" w:rsidRDefault="005A323D" w:rsidP="00C30E74">
      <w:pPr>
        <w:spacing w:before="100" w:beforeAutospacing="1" w:after="100" w:afterAutospacing="1"/>
      </w:pPr>
    </w:p>
    <w:p w14:paraId="4C33463F" w14:textId="77777777" w:rsidR="00450819" w:rsidRDefault="00450819" w:rsidP="00450819">
      <w:pPr>
        <w:spacing w:before="100" w:beforeAutospacing="1" w:after="100" w:afterAutospacing="1"/>
      </w:pPr>
    </w:p>
    <w:p w14:paraId="69F19557" w14:textId="77777777" w:rsidR="00276E96" w:rsidRPr="00DB4662" w:rsidRDefault="00276E96" w:rsidP="00C316E0">
      <w:pPr>
        <w:jc w:val="both"/>
      </w:pPr>
    </w:p>
    <w:sectPr w:rsidR="00276E96" w:rsidRPr="00DB4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y5UWIvwIhZLR/" int2:id="nFrN9mdN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67B4"/>
    <w:multiLevelType w:val="hybridMultilevel"/>
    <w:tmpl w:val="B2088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5C31"/>
    <w:multiLevelType w:val="hybridMultilevel"/>
    <w:tmpl w:val="C64A8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1522C"/>
    <w:multiLevelType w:val="multilevel"/>
    <w:tmpl w:val="5D8C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53A48"/>
    <w:multiLevelType w:val="hybridMultilevel"/>
    <w:tmpl w:val="CA2EC0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B1C9D"/>
    <w:multiLevelType w:val="multilevel"/>
    <w:tmpl w:val="F76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631B5"/>
    <w:multiLevelType w:val="hybridMultilevel"/>
    <w:tmpl w:val="44BE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74851"/>
    <w:multiLevelType w:val="hybridMultilevel"/>
    <w:tmpl w:val="2E78386C"/>
    <w:lvl w:ilvl="0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50232492"/>
    <w:multiLevelType w:val="multilevel"/>
    <w:tmpl w:val="7264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79704D"/>
    <w:multiLevelType w:val="hybridMultilevel"/>
    <w:tmpl w:val="1226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15BE9"/>
    <w:multiLevelType w:val="multilevel"/>
    <w:tmpl w:val="69DC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A3AE3"/>
    <w:multiLevelType w:val="hybridMultilevel"/>
    <w:tmpl w:val="B830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B66BB"/>
    <w:multiLevelType w:val="multilevel"/>
    <w:tmpl w:val="B06E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D61EF"/>
    <w:multiLevelType w:val="multilevel"/>
    <w:tmpl w:val="8DB4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197337">
    <w:abstractNumId w:val="4"/>
  </w:num>
  <w:num w:numId="2" w16cid:durableId="32585918">
    <w:abstractNumId w:val="5"/>
  </w:num>
  <w:num w:numId="3" w16cid:durableId="2003042656">
    <w:abstractNumId w:val="10"/>
  </w:num>
  <w:num w:numId="4" w16cid:durableId="1166676819">
    <w:abstractNumId w:val="7"/>
  </w:num>
  <w:num w:numId="5" w16cid:durableId="1320886165">
    <w:abstractNumId w:val="0"/>
  </w:num>
  <w:num w:numId="6" w16cid:durableId="1117217951">
    <w:abstractNumId w:val="2"/>
  </w:num>
  <w:num w:numId="7" w16cid:durableId="761921654">
    <w:abstractNumId w:val="8"/>
  </w:num>
  <w:num w:numId="8" w16cid:durableId="481389027">
    <w:abstractNumId w:val="3"/>
  </w:num>
  <w:num w:numId="9" w16cid:durableId="1159618006">
    <w:abstractNumId w:val="12"/>
  </w:num>
  <w:num w:numId="10" w16cid:durableId="1713967447">
    <w:abstractNumId w:val="1"/>
  </w:num>
  <w:num w:numId="11" w16cid:durableId="1583178962">
    <w:abstractNumId w:val="9"/>
  </w:num>
  <w:num w:numId="12" w16cid:durableId="221327342">
    <w:abstractNumId w:val="11"/>
  </w:num>
  <w:num w:numId="13" w16cid:durableId="35665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E0"/>
    <w:rsid w:val="000072C3"/>
    <w:rsid w:val="00041949"/>
    <w:rsid w:val="00052084"/>
    <w:rsid w:val="00057541"/>
    <w:rsid w:val="00092B61"/>
    <w:rsid w:val="000E775D"/>
    <w:rsid w:val="000F260E"/>
    <w:rsid w:val="00115B17"/>
    <w:rsid w:val="00117D5B"/>
    <w:rsid w:val="0012650E"/>
    <w:rsid w:val="001347E9"/>
    <w:rsid w:val="00145DA7"/>
    <w:rsid w:val="00183E8D"/>
    <w:rsid w:val="001A267B"/>
    <w:rsid w:val="001B2CD5"/>
    <w:rsid w:val="001E3F13"/>
    <w:rsid w:val="00226BB6"/>
    <w:rsid w:val="00261304"/>
    <w:rsid w:val="00276E96"/>
    <w:rsid w:val="00296CAA"/>
    <w:rsid w:val="002F2287"/>
    <w:rsid w:val="002F6F1B"/>
    <w:rsid w:val="00326708"/>
    <w:rsid w:val="00395FF2"/>
    <w:rsid w:val="003D35FF"/>
    <w:rsid w:val="003E457E"/>
    <w:rsid w:val="003E4777"/>
    <w:rsid w:val="00400B8C"/>
    <w:rsid w:val="00422A01"/>
    <w:rsid w:val="00450819"/>
    <w:rsid w:val="00460596"/>
    <w:rsid w:val="00472319"/>
    <w:rsid w:val="005A323D"/>
    <w:rsid w:val="005C1A44"/>
    <w:rsid w:val="005E4618"/>
    <w:rsid w:val="00636DB3"/>
    <w:rsid w:val="00694949"/>
    <w:rsid w:val="00696992"/>
    <w:rsid w:val="006B218D"/>
    <w:rsid w:val="00725056"/>
    <w:rsid w:val="008033C1"/>
    <w:rsid w:val="0080355D"/>
    <w:rsid w:val="00806843"/>
    <w:rsid w:val="0083778B"/>
    <w:rsid w:val="00857CFA"/>
    <w:rsid w:val="00875580"/>
    <w:rsid w:val="00875701"/>
    <w:rsid w:val="008E0613"/>
    <w:rsid w:val="008E18CF"/>
    <w:rsid w:val="008F60FE"/>
    <w:rsid w:val="00967331"/>
    <w:rsid w:val="00975A22"/>
    <w:rsid w:val="009E1D96"/>
    <w:rsid w:val="00A429C5"/>
    <w:rsid w:val="00A872B5"/>
    <w:rsid w:val="00A87558"/>
    <w:rsid w:val="00B27BB5"/>
    <w:rsid w:val="00BA5733"/>
    <w:rsid w:val="00C246CF"/>
    <w:rsid w:val="00C30E74"/>
    <w:rsid w:val="00C316E0"/>
    <w:rsid w:val="00C7194A"/>
    <w:rsid w:val="00D45AAF"/>
    <w:rsid w:val="00DB4662"/>
    <w:rsid w:val="00E13D4C"/>
    <w:rsid w:val="00E20511"/>
    <w:rsid w:val="00E3333D"/>
    <w:rsid w:val="00E458F6"/>
    <w:rsid w:val="00E74A2A"/>
    <w:rsid w:val="00EB2BD6"/>
    <w:rsid w:val="00EC6CD2"/>
    <w:rsid w:val="00ED5FD0"/>
    <w:rsid w:val="00F01F4E"/>
    <w:rsid w:val="00F146F7"/>
    <w:rsid w:val="00F81875"/>
    <w:rsid w:val="00FEFA20"/>
    <w:rsid w:val="0BE5CAD3"/>
    <w:rsid w:val="101243C2"/>
    <w:rsid w:val="110659C5"/>
    <w:rsid w:val="11A6E20F"/>
    <w:rsid w:val="13EC96C3"/>
    <w:rsid w:val="148DE275"/>
    <w:rsid w:val="16035D04"/>
    <w:rsid w:val="175353B5"/>
    <w:rsid w:val="1784991D"/>
    <w:rsid w:val="1C25DD09"/>
    <w:rsid w:val="206026C6"/>
    <w:rsid w:val="2351F65F"/>
    <w:rsid w:val="277DCA08"/>
    <w:rsid w:val="27C5FF3F"/>
    <w:rsid w:val="2860A3E2"/>
    <w:rsid w:val="288BB596"/>
    <w:rsid w:val="30255010"/>
    <w:rsid w:val="30946FD8"/>
    <w:rsid w:val="36962D4A"/>
    <w:rsid w:val="3B6759F8"/>
    <w:rsid w:val="42E84B3B"/>
    <w:rsid w:val="45711C8C"/>
    <w:rsid w:val="5834FDB7"/>
    <w:rsid w:val="58DA59B9"/>
    <w:rsid w:val="5D252C02"/>
    <w:rsid w:val="5EA8F17F"/>
    <w:rsid w:val="5F7F4213"/>
    <w:rsid w:val="61B3E7F7"/>
    <w:rsid w:val="62A07481"/>
    <w:rsid w:val="633719B0"/>
    <w:rsid w:val="6976581D"/>
    <w:rsid w:val="6AF56136"/>
    <w:rsid w:val="6B1935B2"/>
    <w:rsid w:val="6D95B954"/>
    <w:rsid w:val="70A3BE8D"/>
    <w:rsid w:val="7143B5F8"/>
    <w:rsid w:val="7244F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9D0B"/>
  <w15:chartTrackingRefBased/>
  <w15:docId w15:val="{D4B0B2EC-5725-4B41-B447-412EF5E5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87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6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6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6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6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1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1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6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6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16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C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CD5"/>
    <w:rPr>
      <w:color w:val="96607D" w:themeColor="followedHyperlink"/>
      <w:u w:val="single"/>
    </w:rPr>
  </w:style>
  <w:style w:type="character" w:customStyle="1" w:styleId="relative">
    <w:name w:val="relative"/>
    <w:basedOn w:val="DefaultParagraphFont"/>
    <w:rsid w:val="001B2CD5"/>
  </w:style>
  <w:style w:type="paragraph" w:styleId="NormalWeb">
    <w:name w:val="Normal (Web)"/>
    <w:basedOn w:val="Normal"/>
    <w:uiPriority w:val="99"/>
    <w:unhideWhenUsed/>
    <w:rsid w:val="00092B6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0355D"/>
    <w:rPr>
      <w:b/>
      <w:bCs/>
    </w:rPr>
  </w:style>
  <w:style w:type="table" w:styleId="GridTable5Dark-Accent1">
    <w:name w:val="Grid Table 5 Dark Accent 1"/>
    <w:basedOn w:val="TableNormal"/>
    <w:uiPriority w:val="50"/>
    <w:rsid w:val="00145D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Emphasis">
    <w:name w:val="Emphasis"/>
    <w:basedOn w:val="DefaultParagraphFont"/>
    <w:uiPriority w:val="20"/>
    <w:qFormat/>
    <w:rsid w:val="00261304"/>
    <w:rPr>
      <w:i/>
      <w:iCs/>
    </w:rPr>
  </w:style>
  <w:style w:type="character" w:customStyle="1" w:styleId="ms-1">
    <w:name w:val="ms-1"/>
    <w:basedOn w:val="DefaultParagraphFont"/>
    <w:rsid w:val="00694949"/>
  </w:style>
  <w:style w:type="character" w:customStyle="1" w:styleId="max-w-full">
    <w:name w:val="max-w-full"/>
    <w:basedOn w:val="DefaultParagraphFont"/>
    <w:rsid w:val="00694949"/>
  </w:style>
  <w:style w:type="character" w:customStyle="1" w:styleId="-me-1">
    <w:name w:val="-me-1"/>
    <w:basedOn w:val="DefaultParagraphFont"/>
    <w:rsid w:val="00694949"/>
  </w:style>
  <w:style w:type="character" w:customStyle="1" w:styleId="apple-converted-space">
    <w:name w:val="apple-converted-space"/>
    <w:basedOn w:val="DefaultParagraphFont"/>
    <w:rsid w:val="00400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mendieta</dc:creator>
  <cp:keywords/>
  <dc:description/>
  <cp:lastModifiedBy>marco mendieta</cp:lastModifiedBy>
  <cp:revision>70</cp:revision>
  <dcterms:created xsi:type="dcterms:W3CDTF">2025-05-13T16:42:00Z</dcterms:created>
  <dcterms:modified xsi:type="dcterms:W3CDTF">2025-06-19T18:47:00Z</dcterms:modified>
</cp:coreProperties>
</file>