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1FB4" w14:textId="77777777" w:rsidR="00B347CD" w:rsidRPr="00D56308" w:rsidRDefault="00B347CD">
      <w:pPr>
        <w:spacing w:after="1840"/>
      </w:pPr>
    </w:p>
    <w:p w14:paraId="1DE21303" w14:textId="77777777" w:rsidR="00B347CD" w:rsidRPr="00D56308" w:rsidRDefault="00000000">
      <w:pPr>
        <w:spacing w:after="320"/>
        <w:jc w:val="center"/>
      </w:pPr>
      <w:r w:rsidRPr="00D56308">
        <w:rPr>
          <w:rFonts w:eastAsia="Calibri"/>
          <w:b/>
          <w:color w:val="167D8D"/>
          <w:sz w:val="21"/>
        </w:rPr>
        <w:t>COMP6841 PROJECT REPORT</w:t>
      </w:r>
    </w:p>
    <w:p w14:paraId="05000CAC" w14:textId="77777777" w:rsidR="00B347CD" w:rsidRPr="00D56308" w:rsidRDefault="00000000">
      <w:pPr>
        <w:spacing w:after="160"/>
        <w:jc w:val="center"/>
      </w:pPr>
      <w:r w:rsidRPr="00D56308">
        <w:rPr>
          <w:rFonts w:eastAsia="Calibri"/>
          <w:b/>
          <w:color w:val="1F4D78"/>
          <w:sz w:val="60"/>
        </w:rPr>
        <w:t>Signal Forge CTF</w:t>
      </w:r>
    </w:p>
    <w:p w14:paraId="6DF2C6E6" w14:textId="77777777" w:rsidR="00B347CD" w:rsidRPr="00D56308" w:rsidRDefault="00000000">
      <w:pPr>
        <w:spacing w:after="560"/>
        <w:jc w:val="center"/>
      </w:pPr>
      <w:r w:rsidRPr="00D56308">
        <w:rPr>
          <w:rFonts w:eastAsia="Calibri"/>
          <w:color w:val="2E74B5"/>
          <w:sz w:val="30"/>
        </w:rPr>
        <w:t>A Sim-First Contested-Spectrum Cybersecurity Training Environment</w:t>
      </w:r>
    </w:p>
    <w:p w14:paraId="15C54A09" w14:textId="05702A53" w:rsidR="00B347CD" w:rsidRPr="00D56308" w:rsidRDefault="00000000">
      <w:pPr>
        <w:spacing w:after="1920"/>
        <w:jc w:val="center"/>
      </w:pPr>
      <w:r w:rsidRPr="00D56308">
        <w:rPr>
          <w:rFonts w:eastAsia="Calibri"/>
          <w:i/>
          <w:color w:val="667085"/>
          <w:sz w:val="21"/>
        </w:rPr>
        <w:t>20 July 2026</w:t>
      </w:r>
    </w:p>
    <w:p w14:paraId="4CB60513" w14:textId="77777777" w:rsidR="00B347CD" w:rsidRPr="00D56308" w:rsidRDefault="00000000">
      <w:pPr>
        <w:spacing w:after="80"/>
        <w:jc w:val="center"/>
      </w:pPr>
      <w:r w:rsidRPr="00D56308">
        <w:rPr>
          <w:rFonts w:eastAsia="Calibri"/>
          <w:b/>
          <w:color w:val="1F4D78"/>
          <w:sz w:val="24"/>
        </w:rPr>
        <w:t>COMP6841 Cyber Security Engineering</w:t>
      </w:r>
    </w:p>
    <w:p w14:paraId="1B684742" w14:textId="77777777" w:rsidR="00B347CD" w:rsidRPr="00D56308" w:rsidRDefault="00000000">
      <w:pPr>
        <w:pStyle w:val="Heading1"/>
      </w:pPr>
      <w:r w:rsidRPr="00D56308">
        <w:t>Abstract</w:t>
      </w:r>
    </w:p>
    <w:p w14:paraId="0A8279D5" w14:textId="54ACDEA0" w:rsidR="00B347CD" w:rsidRPr="00D56308" w:rsidRDefault="00000000">
      <w:r w:rsidRPr="00D56308">
        <w:rPr>
          <w:rFonts w:eastAsia="Calibri"/>
        </w:rPr>
        <w:t>Signal Forge is a browser-based capture-the-flag environment for learning how radio-frequency (RF) signals, embedded systems, and conventional cybersecurity controls interact. The project uses synthetic civilian scenarios rather than live transmission, allowing learners to practi</w:t>
      </w:r>
      <w:r w:rsidR="00EE764B">
        <w:rPr>
          <w:rFonts w:eastAsia="Calibri"/>
        </w:rPr>
        <w:t>c</w:t>
      </w:r>
      <w:r w:rsidRPr="00D56308">
        <w:rPr>
          <w:rFonts w:eastAsia="Calibri"/>
        </w:rPr>
        <w:t>e receiver tuning, waveform inspection, packet decoding, controlled interference, protocol analysis, reverse engineering, and defensive comparison in a local</w:t>
      </w:r>
      <w:r w:rsidR="00EE764B">
        <w:rPr>
          <w:rFonts w:eastAsia="Calibri"/>
        </w:rPr>
        <w:t xml:space="preserve"> safe</w:t>
      </w:r>
      <w:r w:rsidRPr="00D56308">
        <w:rPr>
          <w:rFonts w:eastAsia="Calibri"/>
        </w:rPr>
        <w:t xml:space="preserve"> environment. The current implementation contains 22 challenges across six contexts and three difficulty levels. A dependency-free Python backend provides session-specific flags, RF command handling, intentionally vulnerable training endpoints, and secure comparison endpoints. The browser interface provides a 1024-bin streaming waterfall, receiver controls, local-only transmit actions, challenge artefacts, and a scriptable terminal. </w:t>
      </w:r>
      <w:r w:rsidR="0031645B">
        <w:rPr>
          <w:rFonts w:eastAsia="Calibri"/>
        </w:rPr>
        <w:t xml:space="preserve">Signalling data and resources have been generated using GNU radio from a developed set of flow graphs whose outputs are streamed to the page. </w:t>
      </w:r>
    </w:p>
    <w:p w14:paraId="4A88A576" w14:textId="77777777" w:rsidR="00B347CD" w:rsidRPr="00D56308" w:rsidRDefault="00000000">
      <w:pPr>
        <w:pStyle w:val="ReportCallout"/>
      </w:pPr>
      <w:r w:rsidRPr="00D56308">
        <w:rPr>
          <w:rFonts w:eastAsia="Calibri"/>
          <w:b/>
          <w:color w:val="1F4D78"/>
          <w:sz w:val="21"/>
        </w:rPr>
        <w:t xml:space="preserve">Scope and ethics: </w:t>
      </w:r>
      <w:r w:rsidRPr="00D56308">
        <w:rPr>
          <w:rFonts w:eastAsia="Calibri"/>
          <w:sz w:val="21"/>
        </w:rPr>
        <w:t>Signal Forge is designed for authorised, local education. It does not require SDR hardware, does not transmit over the air, and does not target real radio systems, restricted frequencies, or operational infrastructure.</w:t>
      </w:r>
    </w:p>
    <w:p w14:paraId="77408BD6" w14:textId="77777777" w:rsidR="00B347CD" w:rsidRPr="00D56308" w:rsidRDefault="00000000">
      <w:pPr>
        <w:pStyle w:val="Heading1"/>
      </w:pPr>
      <w:r w:rsidRPr="00D56308">
        <w:lastRenderedPageBreak/>
        <w:t>1. Introduction</w:t>
      </w:r>
    </w:p>
    <w:p w14:paraId="168FC7B3" w14:textId="77777777" w:rsidR="00B347CD" w:rsidRDefault="00A22B9B" w:rsidP="00A22B9B">
      <w:pPr>
        <w:pStyle w:val="Heading2"/>
      </w:pPr>
      <w:r w:rsidRPr="00A22B9B">
        <w:t>1.1 Context</w:t>
      </w:r>
    </w:p>
    <w:p w14:paraId="3DB0F5D9" w14:textId="77777777" w:rsidR="00B347CD" w:rsidRDefault="00000000" w:rsidP="00BA4B70">
      <w:commentRangeStart w:id="0"/>
      <w:r w:rsidRPr="006B2C2F">
        <w:t xml:space="preserve">Wireless systems increasingly sit at the boundary between physical communications and conventional software security. RF signals </w:t>
      </w:r>
      <w:r w:rsidR="008C1785" w:rsidRPr="008C1785">
        <w:t>can</w:t>
      </w:r>
      <w:r w:rsidRPr="006B2C2F">
        <w:t xml:space="preserve"> carry telemetry, control messages, operator notes, identifiers, </w:t>
      </w:r>
      <w:r w:rsidR="008C1785" w:rsidRPr="008C1785">
        <w:t>and</w:t>
      </w:r>
      <w:r w:rsidRPr="006B2C2F">
        <w:t xml:space="preserve"> protocol fields that later influence web services, databases, embedded parsers, and user decisions. </w:t>
      </w:r>
      <w:r w:rsidR="008C1785" w:rsidRPr="008C1785">
        <w:t>Weaknesses</w:t>
      </w:r>
      <w:r w:rsidRPr="006B2C2F">
        <w:t xml:space="preserve"> in signal </w:t>
      </w:r>
      <w:r w:rsidR="008C1785" w:rsidRPr="008C1785">
        <w:t>capture</w:t>
      </w:r>
      <w:r w:rsidRPr="006B2C2F">
        <w:t xml:space="preserve">, decoding, trust handling, or backend validation can </w:t>
      </w:r>
      <w:r w:rsidR="008C1785" w:rsidRPr="008C1785">
        <w:t xml:space="preserve">therefore </w:t>
      </w:r>
      <w:r w:rsidRPr="006B2C2F">
        <w:t>become cybersecurity issues rather than purely communications problems.</w:t>
      </w:r>
      <w:r>
        <w:t xml:space="preserve"> </w:t>
      </w:r>
      <w:r w:rsidR="008C1785" w:rsidRPr="008C1785">
        <w:t>Unlike many software attacks, which can be emulated safely in sandboxed environments, RF experimentation is constrained by strict legal limits on interference and often requires expensive specialist equipment. As a result, hardware-focused learners may have limited opportunities to explore realistic RF threat models and the practical risks they create.</w:t>
      </w:r>
    </w:p>
    <w:p w14:paraId="0BA4A988" w14:textId="77777777" w:rsidR="00B347CD" w:rsidRDefault="000079DC" w:rsidP="00FD5CAB">
      <w:r w:rsidRPr="000079DC">
        <w:t>Historically, this risk was limited by the small number of people with the specialised knowledge needed to target these systems. Recent</w:t>
      </w:r>
      <w:r w:rsidR="00000000">
        <w:t xml:space="preserve"> </w:t>
      </w:r>
      <w:r w:rsidR="00000000">
        <w:t>advances in unman</w:t>
      </w:r>
      <w:r w:rsidR="00000000">
        <w:t xml:space="preserve">ned </w:t>
      </w:r>
      <w:r w:rsidRPr="000079DC">
        <w:t xml:space="preserve">and </w:t>
      </w:r>
      <w:r w:rsidR="00000000">
        <w:t>defence</w:t>
      </w:r>
      <w:r w:rsidRPr="000079DC">
        <w:t xml:space="preserve">-related technologies, however, have increased </w:t>
      </w:r>
      <w:r w:rsidR="00000000">
        <w:t>re</w:t>
      </w:r>
      <w:r w:rsidR="00000000">
        <w:t>search</w:t>
      </w:r>
      <w:r w:rsidRPr="000079DC">
        <w:t xml:space="preserve">, </w:t>
      </w:r>
      <w:r w:rsidR="00000000">
        <w:t>funding</w:t>
      </w:r>
      <w:r w:rsidRPr="000079DC">
        <w:t>, and access to relevant</w:t>
      </w:r>
      <w:r w:rsidR="00000000">
        <w:t xml:space="preserve"> counter</w:t>
      </w:r>
      <w:r w:rsidR="00000000">
        <w:t>measures</w:t>
      </w:r>
      <w:r w:rsidRPr="000079DC">
        <w:t>. This has broadened the</w:t>
      </w:r>
      <w:r w:rsidR="00000000">
        <w:t xml:space="preserve"> </w:t>
      </w:r>
      <w:r w:rsidR="00000000">
        <w:t xml:space="preserve">group of </w:t>
      </w:r>
      <w:r w:rsidR="00000000">
        <w:t>peopl</w:t>
      </w:r>
      <w:r w:rsidR="00000000">
        <w:t xml:space="preserve">e </w:t>
      </w:r>
      <w:r w:rsidRPr="000079DC">
        <w:t xml:space="preserve">capable of interacting </w:t>
      </w:r>
      <w:r w:rsidR="00000000">
        <w:t xml:space="preserve">with </w:t>
      </w:r>
      <w:r w:rsidRPr="000079DC">
        <w:t>RF-enabled systems and expanded the potential</w:t>
      </w:r>
      <w:r w:rsidR="00000000">
        <w:t xml:space="preserve"> att</w:t>
      </w:r>
      <w:r w:rsidR="00000000">
        <w:t>ack</w:t>
      </w:r>
      <w:r w:rsidR="00000000">
        <w:t xml:space="preserve"> surface.</w:t>
      </w:r>
    </w:p>
    <w:p w14:paraId="50EE7AC6" w14:textId="6C14A1F1" w:rsidR="00B347CD" w:rsidRDefault="00000000" w:rsidP="00EC0DB3">
      <w:r w:rsidRPr="001E13EE">
        <w:t xml:space="preserve">Despite this overlap, cybersecurity education often treats software exploitation and RF signal analysis as separate disciplines. Hardware-focused learners may not see how decoded fields </w:t>
      </w:r>
      <w:r w:rsidR="00841D08" w:rsidRPr="00841D08">
        <w:t xml:space="preserve">can </w:t>
      </w:r>
      <w:r w:rsidRPr="001E13EE">
        <w:t xml:space="preserve">become attacker-controlled inputs, while software-focused learners may </w:t>
      </w:r>
      <w:r w:rsidR="00841D08" w:rsidRPr="00841D08">
        <w:t>miss</w:t>
      </w:r>
      <w:r w:rsidRPr="001E13EE">
        <w:t xml:space="preserve"> how physical-layer assumptions affect application-layer security. </w:t>
      </w:r>
      <w:r w:rsidRPr="001E13EE">
        <w:t xml:space="preserve">Signal Forge </w:t>
      </w:r>
      <w:r w:rsidR="00841D08" w:rsidRPr="00841D08">
        <w:t>addresses</w:t>
      </w:r>
      <w:r w:rsidRPr="001E13EE">
        <w:t xml:space="preserve"> this gap </w:t>
      </w:r>
      <w:r w:rsidR="00841D08" w:rsidRPr="00841D08">
        <w:t>by providing</w:t>
      </w:r>
      <w:r w:rsidRPr="001E13EE">
        <w:t xml:space="preserve"> a safe, synthetic environment </w:t>
      </w:r>
      <w:r w:rsidR="00841D08" w:rsidRPr="00841D08">
        <w:t>where</w:t>
      </w:r>
      <w:r w:rsidRPr="001E13EE">
        <w:t xml:space="preserve"> both perspectives </w:t>
      </w:r>
      <w:r w:rsidR="00841D08" w:rsidRPr="00841D08">
        <w:t xml:space="preserve">can be practised </w:t>
      </w:r>
      <w:r w:rsidRPr="001E13EE">
        <w:t>together.</w:t>
      </w:r>
      <w:commentRangeEnd w:id="0"/>
      <w:r w:rsidR="007D32B2">
        <w:rPr>
          <w:rStyle w:val="CommentReference"/>
          <w:sz w:val="22"/>
          <w:szCs w:val="22"/>
        </w:rPr>
        <w:commentReference w:id="0"/>
      </w:r>
    </w:p>
    <w:p w14:paraId="38B56DAC" w14:textId="77777777" w:rsidR="001E13EE" w:rsidRDefault="001E13EE">
      <w:pPr>
        <w:pStyle w:val="Heading2"/>
        <w:rPr>
          <w:kern w:val="2"/>
          <w:lang w:eastAsia="en-AU"/>
          <w14:ligatures w14:val="standardContextual"/>
        </w:rPr>
      </w:pPr>
      <w:r>
        <w:t>1.2 Problem Statement</w:t>
      </w:r>
    </w:p>
    <w:p w14:paraId="0FCD13B9" w14:textId="77777777" w:rsidR="001E13EE" w:rsidRDefault="001E13EE">
      <w:pPr>
        <w:rPr>
          <w:kern w:val="2"/>
          <w:lang w:eastAsia="en-AU"/>
          <w14:ligatures w14:val="standardContextual"/>
        </w:rPr>
      </w:pPr>
      <w:r>
        <w:t>The project problem is to provide realistic contested-spectrum cybersecurity training without requiring specialist SDR hardware, live RF transmission, or interaction with real systems. Signal Forge addresses this by combining RF acquisition, protocol interpretation, familiar cyber weaknesses, and defensive comparison in a local simulation-first CTF workflow.</w:t>
      </w:r>
    </w:p>
    <w:p w14:paraId="754CBF7B" w14:textId="77777777" w:rsidR="00B347CD" w:rsidRDefault="00000000" w:rsidP="001601D3">
      <w:pPr>
        <w:pStyle w:val="Heading2"/>
      </w:pPr>
      <w:r w:rsidRPr="00D56308">
        <w:t>1.</w:t>
      </w:r>
      <w:r w:rsidR="001601D3" w:rsidRPr="001601D3">
        <w:t>3</w:t>
      </w:r>
      <w:r w:rsidRPr="00D56308">
        <w:t xml:space="preserve"> Project Objectives</w:t>
      </w:r>
    </w:p>
    <w:p w14:paraId="3F91453A" w14:textId="77777777" w:rsidR="00B347CD" w:rsidRPr="00D56308" w:rsidRDefault="00000000">
      <w:pPr>
        <w:pStyle w:val="ReportBullet"/>
        <w:numPr>
          <w:ilvl w:val="0"/>
          <w:numId w:val="1"/>
        </w:numPr>
      </w:pPr>
      <w:r w:rsidRPr="00D56308">
        <w:rPr>
          <w:rFonts w:eastAsia="Calibri"/>
        </w:rPr>
        <w:t>Create a progressive learning path from basic waveform reading and tuning to protocol analysis, reverse engineering, fuzzing, and controlled exploitation.</w:t>
      </w:r>
    </w:p>
    <w:p w14:paraId="43199CBC" w14:textId="77777777" w:rsidR="00B347CD" w:rsidRPr="00D56308" w:rsidRDefault="00000000">
      <w:pPr>
        <w:pStyle w:val="ReportBullet"/>
        <w:numPr>
          <w:ilvl w:val="0"/>
          <w:numId w:val="1"/>
        </w:numPr>
      </w:pPr>
      <w:r w:rsidRPr="00D56308">
        <w:rPr>
          <w:rFonts w:eastAsia="Calibri"/>
        </w:rPr>
        <w:t>Connect RF-origin data to backend security consequences such as replay, injection, SQL injection, unsafe rendering, parser faults, and authorisation failures.</w:t>
      </w:r>
    </w:p>
    <w:p w14:paraId="489EA9E5" w14:textId="77777777" w:rsidR="00B347CD" w:rsidRPr="00D56308" w:rsidRDefault="00000000">
      <w:pPr>
        <w:pStyle w:val="ReportBullet"/>
        <w:numPr>
          <w:ilvl w:val="0"/>
          <w:numId w:val="1"/>
        </w:numPr>
      </w:pPr>
      <w:r w:rsidRPr="00D56308">
        <w:rPr>
          <w:rFonts w:eastAsia="Calibri"/>
        </w:rPr>
        <w:t>Provide reproducible downloadable artefacts that can be analysed without SDR hardware.</w:t>
      </w:r>
    </w:p>
    <w:p w14:paraId="38CDC162" w14:textId="77777777" w:rsidR="00B347CD" w:rsidRPr="00D56308" w:rsidRDefault="00000000">
      <w:pPr>
        <w:pStyle w:val="ReportBullet"/>
        <w:numPr>
          <w:ilvl w:val="0"/>
          <w:numId w:val="1"/>
        </w:numPr>
      </w:pPr>
      <w:r w:rsidRPr="00D56308">
        <w:rPr>
          <w:rFonts w:eastAsia="Calibri"/>
        </w:rPr>
        <w:t>Maintain civilian, synthetic, and local-only scenarios with explicit ethical boundaries.</w:t>
      </w:r>
    </w:p>
    <w:p w14:paraId="01BBFFCE" w14:textId="77777777" w:rsidR="00B347CD" w:rsidRDefault="00000000" w:rsidP="00C66D05">
      <w:pPr>
        <w:pStyle w:val="Heading2"/>
      </w:pPr>
      <w:r w:rsidRPr="00D56308">
        <w:t>1.</w:t>
      </w:r>
      <w:r w:rsidR="00C66D05" w:rsidRPr="00C66D05">
        <w:t>4</w:t>
      </w:r>
      <w:r w:rsidRPr="00D56308">
        <w:t xml:space="preserve"> Main Contributions</w:t>
      </w:r>
    </w:p>
    <w:p w14:paraId="085347B0" w14:textId="77777777" w:rsidR="00B347CD" w:rsidRPr="00D56308" w:rsidRDefault="00000000">
      <w:pPr>
        <w:pStyle w:val="ReportBullet"/>
        <w:numPr>
          <w:ilvl w:val="0"/>
          <w:numId w:val="1"/>
        </w:numPr>
      </w:pPr>
      <w:r w:rsidRPr="00D56308">
        <w:rPr>
          <w:rFonts w:eastAsia="Calibri"/>
        </w:rPr>
        <w:t>A self-contained browser workbench with waterfall, spectrum trace, time-series inspection, receiver controls, transmit controls, and a task-aware terminal.</w:t>
      </w:r>
    </w:p>
    <w:p w14:paraId="7DF1D3B2" w14:textId="77777777" w:rsidR="00B347CD" w:rsidRPr="00D56308" w:rsidRDefault="00000000">
      <w:pPr>
        <w:pStyle w:val="ReportBullet"/>
        <w:numPr>
          <w:ilvl w:val="0"/>
          <w:numId w:val="1"/>
        </w:numPr>
      </w:pPr>
      <w:r w:rsidRPr="00D56308">
        <w:rPr>
          <w:rFonts w:eastAsia="Calibri"/>
        </w:rPr>
        <w:t>A data-driven catalogue of 22 challenges across signal analysis, cyber exploitation, and cyber-electromagnetic activities (CEMA).</w:t>
      </w:r>
    </w:p>
    <w:p w14:paraId="33B149D0" w14:textId="77777777" w:rsidR="00B347CD" w:rsidRPr="00D56308" w:rsidRDefault="00000000">
      <w:pPr>
        <w:pStyle w:val="ReportBullet"/>
        <w:numPr>
          <w:ilvl w:val="0"/>
          <w:numId w:val="1"/>
        </w:numPr>
      </w:pPr>
      <w:r w:rsidRPr="00D56308">
        <w:rPr>
          <w:rFonts w:eastAsia="Calibri"/>
        </w:rPr>
        <w:lastRenderedPageBreak/>
        <w:t>A reproducible RF artefact pipeline based on editable signal profiles, generated capture previews, optional IQ data, and SigMF metadata.</w:t>
      </w:r>
    </w:p>
    <w:p w14:paraId="3369768C" w14:textId="77777777" w:rsidR="00B347CD" w:rsidRPr="00D56308" w:rsidRDefault="00000000">
      <w:pPr>
        <w:pStyle w:val="ReportBullet"/>
        <w:numPr>
          <w:ilvl w:val="0"/>
          <w:numId w:val="1"/>
        </w:numPr>
      </w:pPr>
      <w:r w:rsidRPr="00D56308">
        <w:rPr>
          <w:rFonts w:eastAsia="Calibri"/>
        </w:rPr>
        <w:t>Local reverse-engineering, parser, firmware, HDL, and scripting artefacts that connect signal observations to implementation-level security decisions.</w:t>
      </w:r>
    </w:p>
    <w:p w14:paraId="6FF5A55C" w14:textId="1CD3886E" w:rsidR="00B347CD" w:rsidRDefault="00000000">
      <w:pPr>
        <w:pStyle w:val="Heading1"/>
      </w:pPr>
      <w:r w:rsidRPr="00D56308">
        <w:t xml:space="preserve">2. </w:t>
      </w:r>
      <w:r w:rsidR="00876126">
        <w:t>Thread Modelling</w:t>
      </w:r>
      <w:r w:rsidR="002A39F8">
        <w:t xml:space="preserve"> and Research </w:t>
      </w:r>
    </w:p>
    <w:p w14:paraId="13EF5EA8" w14:textId="77777777" w:rsidR="002A39F8" w:rsidRPr="002A39F8" w:rsidRDefault="002A39F8" w:rsidP="002A39F8"/>
    <w:p w14:paraId="3DD5A5B8" w14:textId="77777777" w:rsidR="00B347CD" w:rsidRPr="00D56308" w:rsidRDefault="00000000">
      <w:pPr>
        <w:pStyle w:val="Heading2"/>
      </w:pPr>
      <w:r w:rsidRPr="00D56308">
        <w:t>2.1 Software-Defined Radio and Reproducible Artefacts</w:t>
      </w:r>
    </w:p>
    <w:p w14:paraId="484361E1" w14:textId="77777777" w:rsidR="00B347CD" w:rsidRPr="00D56308" w:rsidRDefault="00000000">
      <w:r w:rsidRPr="00D56308">
        <w:rPr>
          <w:rFonts w:eastAsia="Calibri"/>
        </w:rPr>
        <w:t>GNU Radio provides reusable signal-processing blocks for software radios and can operate with external RF hardware or in a simulation-like environment [1]. This makes it suitable as an artefact-generation path: signals can be produced and inspected without making live transmission part of the assessed build. Signal Forge documents a GNU Radio Companion workflow but keeps the default experience browser-based so that setup complexity does not block the learning objectives.</w:t>
      </w:r>
    </w:p>
    <w:p w14:paraId="5C0ECD01" w14:textId="77777777" w:rsidR="00B347CD" w:rsidRPr="00D56308" w:rsidRDefault="00000000">
      <w:r w:rsidRPr="00D56308">
        <w:rPr>
          <w:rFonts w:eastAsia="Calibri"/>
        </w:rPr>
        <w:t>The Signal Metadata Format (SigMF) describes recorded digital samples together with JSON metadata, including information about the dataset and the system or process that generated it [2]. Signal Forge uses .sigmf-data and .sigmf-meta files where IQ artefacts are required, alongside compact JSON previews that drive the browser waterfall. This separation keeps captures portable while preserving a clear source-of-truth contract for regeneration.</w:t>
      </w:r>
    </w:p>
    <w:p w14:paraId="3EDB7827" w14:textId="77777777" w:rsidR="00B347CD" w:rsidRPr="00D56308" w:rsidRDefault="00000000">
      <w:pPr>
        <w:pStyle w:val="Heading2"/>
      </w:pPr>
      <w:r w:rsidRPr="00D56308">
        <w:t>2.2 RF-to-Application Trust Boundaries</w:t>
      </w:r>
    </w:p>
    <w:p w14:paraId="049D5361" w14:textId="77777777" w:rsidR="00B347CD" w:rsidRPr="00D56308" w:rsidRDefault="00000000">
      <w:r w:rsidRPr="00D56308">
        <w:rPr>
          <w:rFonts w:eastAsia="Calibri"/>
        </w:rPr>
        <w:t>The project treats decoded RF fields as attacker-controlled input. Two deliberately vulnerable examples make this boundary visible. First, an event lookup endpoint demonstrates how concatenating user input into a database query can create SQL injection; the secure endpoint uses parameterised queries, consistent with OWASP's primary recommendation [3]. Second, an operator-note field recovered from a simulated intercept is rendered as HTML in Attack Mode but as text in Secure Mode. OWASP identifies context-appropriate output encoding and safe sinks such as textContent as key XSS defences [4].</w:t>
      </w:r>
    </w:p>
    <w:p w14:paraId="2294503C" w14:textId="77777777" w:rsidR="00B347CD" w:rsidRPr="00D56308" w:rsidRDefault="00000000">
      <w:pPr>
        <w:pStyle w:val="Heading2"/>
      </w:pPr>
      <w:r w:rsidRPr="00D56308">
        <w:t>2.3 Threat Model and Safety Position</w:t>
      </w:r>
    </w:p>
    <w:p w14:paraId="2ED6D6C7" w14:textId="77777777" w:rsidR="00B347CD" w:rsidRPr="00D56308" w:rsidRDefault="00000000">
      <w:r w:rsidRPr="00D56308">
        <w:rPr>
          <w:rFonts w:eastAsia="Calibri"/>
        </w:rPr>
        <w:t>The learner is modelled as an authorised participant attacking synthetic services on localhost. Assets include challenge flags, simulated telemetry, toll events, receiver state, operator notes, and control messages. Trust boundaries exist between RF artefacts, the browser, the Python API, SQLite data, and local parser or firmware exercises. The model excludes real organisations, live RF interference, operational waveforms, restricted frequencies, and uncontrolled targets.</w:t>
      </w:r>
    </w:p>
    <w:p w14:paraId="02FA66FD" w14:textId="77777777" w:rsidR="00B347CD" w:rsidRPr="00D56308" w:rsidRDefault="00000000">
      <w:pPr>
        <w:pStyle w:val="ReportCallout"/>
      </w:pPr>
      <w:r w:rsidRPr="00D56308">
        <w:rPr>
          <w:rFonts w:eastAsia="Calibri"/>
          <w:b/>
          <w:color w:val="1F4D78"/>
          <w:sz w:val="21"/>
        </w:rPr>
        <w:t xml:space="preserve">Educational intent: </w:t>
      </w:r>
      <w:r w:rsidRPr="00D56308">
        <w:rPr>
          <w:rFonts w:eastAsia="Calibri"/>
          <w:sz w:val="21"/>
        </w:rPr>
        <w:t>The project demonstrates attacker mindsets so that learners can recognise threats and evaluate countermeasures. It does not endorse illegal access, harmful interference, or misuse of radio systems.</w:t>
      </w:r>
    </w:p>
    <w:p w14:paraId="5B4DB174" w14:textId="77777777" w:rsidR="00B347CD" w:rsidRPr="00D56308" w:rsidRDefault="00000000">
      <w:pPr>
        <w:pStyle w:val="Heading1"/>
      </w:pPr>
      <w:r w:rsidRPr="00D56308">
        <w:t>3. Scope and Requirements</w:t>
      </w:r>
    </w:p>
    <w:p w14:paraId="4E9D9C2A" w14:textId="77777777" w:rsidR="00B347CD" w:rsidRPr="00D56308" w:rsidRDefault="00000000">
      <w:r w:rsidRPr="00D56308">
        <w:rPr>
          <w:rFonts w:eastAsia="Calibri"/>
        </w:rPr>
        <w:t>The implementation translates the planning document into the following verifiable requirements and boundaries.</w:t>
      </w:r>
    </w:p>
    <w:tbl>
      <w:tblPr>
        <w:tblStyle w:val="TableGrid"/>
        <w:tblW w:w="9360" w:type="dxa"/>
        <w:tblInd w:w="120" w:type="dxa"/>
        <w:tblLayout w:type="fixed"/>
        <w:tblLook w:val="04A0" w:firstRow="1" w:lastRow="0" w:firstColumn="1" w:lastColumn="0" w:noHBand="0" w:noVBand="1"/>
      </w:tblPr>
      <w:tblGrid>
        <w:gridCol w:w="2300"/>
        <w:gridCol w:w="5660"/>
        <w:gridCol w:w="1400"/>
      </w:tblGrid>
      <w:tr w:rsidR="00B347CD" w:rsidRPr="00D56308" w14:paraId="6B49AD53" w14:textId="77777777">
        <w:trPr>
          <w:cantSplit/>
          <w:tblHeader/>
        </w:trPr>
        <w:tc>
          <w:tcPr>
            <w:tcW w:w="2300" w:type="dxa"/>
            <w:shd w:val="clear" w:color="auto" w:fill="2E74B5"/>
            <w:tcMar>
              <w:top w:w="80" w:type="dxa"/>
              <w:left w:w="120" w:type="dxa"/>
              <w:bottom w:w="80" w:type="dxa"/>
              <w:right w:w="120" w:type="dxa"/>
            </w:tcMar>
            <w:vAlign w:val="center"/>
          </w:tcPr>
          <w:p w14:paraId="0F7CCCC1" w14:textId="77777777" w:rsidR="00B347CD" w:rsidRPr="00D56308" w:rsidRDefault="00000000">
            <w:pPr>
              <w:keepNext/>
              <w:spacing w:after="0" w:line="240" w:lineRule="auto"/>
            </w:pPr>
            <w:r w:rsidRPr="00D56308">
              <w:rPr>
                <w:rFonts w:eastAsia="Calibri"/>
                <w:b/>
                <w:color w:val="FFFFFF"/>
                <w:sz w:val="18"/>
              </w:rPr>
              <w:lastRenderedPageBreak/>
              <w:t>Requirement</w:t>
            </w:r>
          </w:p>
        </w:tc>
        <w:tc>
          <w:tcPr>
            <w:tcW w:w="5660" w:type="dxa"/>
            <w:shd w:val="clear" w:color="auto" w:fill="2E74B5"/>
            <w:tcMar>
              <w:top w:w="80" w:type="dxa"/>
              <w:left w:w="120" w:type="dxa"/>
              <w:bottom w:w="80" w:type="dxa"/>
              <w:right w:w="120" w:type="dxa"/>
            </w:tcMar>
            <w:vAlign w:val="center"/>
          </w:tcPr>
          <w:p w14:paraId="41C7C541" w14:textId="77777777" w:rsidR="00B347CD" w:rsidRPr="00D56308" w:rsidRDefault="00000000">
            <w:pPr>
              <w:keepNext/>
              <w:spacing w:after="0" w:line="240" w:lineRule="auto"/>
            </w:pPr>
            <w:r w:rsidRPr="00D56308">
              <w:rPr>
                <w:rFonts w:eastAsia="Calibri"/>
                <w:b/>
                <w:color w:val="FFFFFF"/>
                <w:sz w:val="18"/>
              </w:rPr>
              <w:t>Current evidence</w:t>
            </w:r>
          </w:p>
        </w:tc>
        <w:tc>
          <w:tcPr>
            <w:tcW w:w="1400" w:type="dxa"/>
            <w:shd w:val="clear" w:color="auto" w:fill="2E74B5"/>
            <w:tcMar>
              <w:top w:w="80" w:type="dxa"/>
              <w:left w:w="120" w:type="dxa"/>
              <w:bottom w:w="80" w:type="dxa"/>
              <w:right w:w="120" w:type="dxa"/>
            </w:tcMar>
            <w:vAlign w:val="center"/>
          </w:tcPr>
          <w:p w14:paraId="27E730D9" w14:textId="77777777" w:rsidR="00B347CD" w:rsidRPr="00D56308" w:rsidRDefault="00000000">
            <w:pPr>
              <w:keepNext/>
              <w:spacing w:after="0" w:line="240" w:lineRule="auto"/>
            </w:pPr>
            <w:r w:rsidRPr="00D56308">
              <w:rPr>
                <w:rFonts w:eastAsia="Calibri"/>
                <w:b/>
                <w:color w:val="FFFFFF"/>
                <w:sz w:val="18"/>
              </w:rPr>
              <w:t>Status</w:t>
            </w:r>
          </w:p>
        </w:tc>
      </w:tr>
      <w:tr w:rsidR="00B347CD" w:rsidRPr="00D56308" w14:paraId="1DED47CF" w14:textId="77777777">
        <w:trPr>
          <w:cantSplit/>
        </w:trPr>
        <w:tc>
          <w:tcPr>
            <w:tcW w:w="2300" w:type="dxa"/>
            <w:tcMar>
              <w:top w:w="80" w:type="dxa"/>
              <w:left w:w="120" w:type="dxa"/>
              <w:bottom w:w="80" w:type="dxa"/>
              <w:right w:w="120" w:type="dxa"/>
            </w:tcMar>
            <w:vAlign w:val="center"/>
          </w:tcPr>
          <w:p w14:paraId="048B47B6" w14:textId="77777777" w:rsidR="00B347CD" w:rsidRPr="00D56308" w:rsidRDefault="00000000">
            <w:pPr>
              <w:spacing w:after="0" w:line="240" w:lineRule="auto"/>
            </w:pPr>
            <w:r w:rsidRPr="00D56308">
              <w:rPr>
                <w:rFonts w:eastAsia="Calibri"/>
                <w:b/>
                <w:sz w:val="18"/>
              </w:rPr>
              <w:t>Hardware-free operation</w:t>
            </w:r>
          </w:p>
        </w:tc>
        <w:tc>
          <w:tcPr>
            <w:tcW w:w="5660" w:type="dxa"/>
            <w:tcMar>
              <w:top w:w="80" w:type="dxa"/>
              <w:left w:w="120" w:type="dxa"/>
              <w:bottom w:w="80" w:type="dxa"/>
              <w:right w:w="120" w:type="dxa"/>
            </w:tcMar>
            <w:vAlign w:val="center"/>
          </w:tcPr>
          <w:p w14:paraId="6E4ABCA6" w14:textId="77777777" w:rsidR="00B347CD" w:rsidRPr="00D56308" w:rsidRDefault="00000000">
            <w:pPr>
              <w:spacing w:after="0" w:line="240" w:lineRule="auto"/>
            </w:pPr>
            <w:r w:rsidRPr="00D56308">
              <w:rPr>
                <w:rFonts w:eastAsia="Calibri"/>
                <w:sz w:val="18"/>
              </w:rPr>
              <w:t>Python server, browser interface, generated captures, and local APIs</w:t>
            </w:r>
          </w:p>
        </w:tc>
        <w:tc>
          <w:tcPr>
            <w:tcW w:w="1400" w:type="dxa"/>
            <w:tcMar>
              <w:top w:w="80" w:type="dxa"/>
              <w:left w:w="120" w:type="dxa"/>
              <w:bottom w:w="80" w:type="dxa"/>
              <w:right w:w="120" w:type="dxa"/>
            </w:tcMar>
            <w:vAlign w:val="center"/>
          </w:tcPr>
          <w:p w14:paraId="44341A99" w14:textId="77777777" w:rsidR="00B347CD" w:rsidRPr="00D56308" w:rsidRDefault="00000000">
            <w:pPr>
              <w:spacing w:after="0" w:line="240" w:lineRule="auto"/>
            </w:pPr>
            <w:r w:rsidRPr="00D56308">
              <w:rPr>
                <w:rFonts w:eastAsia="Calibri"/>
                <w:sz w:val="18"/>
              </w:rPr>
              <w:t>Implemented</w:t>
            </w:r>
          </w:p>
        </w:tc>
      </w:tr>
      <w:tr w:rsidR="00B347CD" w:rsidRPr="00D56308" w14:paraId="7D3C2AB7" w14:textId="77777777">
        <w:trPr>
          <w:cantSplit/>
        </w:trPr>
        <w:tc>
          <w:tcPr>
            <w:tcW w:w="2300" w:type="dxa"/>
            <w:shd w:val="clear" w:color="auto" w:fill="F2F4F7"/>
            <w:tcMar>
              <w:top w:w="80" w:type="dxa"/>
              <w:left w:w="120" w:type="dxa"/>
              <w:bottom w:w="80" w:type="dxa"/>
              <w:right w:w="120" w:type="dxa"/>
            </w:tcMar>
            <w:vAlign w:val="center"/>
          </w:tcPr>
          <w:p w14:paraId="32E89D14" w14:textId="77777777" w:rsidR="00B347CD" w:rsidRPr="00D56308" w:rsidRDefault="00000000">
            <w:pPr>
              <w:spacing w:after="0" w:line="240" w:lineRule="auto"/>
            </w:pPr>
            <w:r w:rsidRPr="00D56308">
              <w:rPr>
                <w:rFonts w:eastAsia="Calibri"/>
                <w:b/>
                <w:sz w:val="18"/>
              </w:rPr>
              <w:t>Progressive learning</w:t>
            </w:r>
          </w:p>
        </w:tc>
        <w:tc>
          <w:tcPr>
            <w:tcW w:w="5660" w:type="dxa"/>
            <w:shd w:val="clear" w:color="auto" w:fill="F2F4F7"/>
            <w:tcMar>
              <w:top w:w="80" w:type="dxa"/>
              <w:left w:w="120" w:type="dxa"/>
              <w:bottom w:w="80" w:type="dxa"/>
              <w:right w:w="120" w:type="dxa"/>
            </w:tcMar>
            <w:vAlign w:val="center"/>
          </w:tcPr>
          <w:p w14:paraId="20DEC9AE" w14:textId="77777777" w:rsidR="00B347CD" w:rsidRPr="00D56308" w:rsidRDefault="00000000">
            <w:pPr>
              <w:spacing w:after="0" w:line="240" w:lineRule="auto"/>
            </w:pPr>
            <w:r w:rsidRPr="00D56308">
              <w:rPr>
                <w:rFonts w:eastAsia="Calibri"/>
                <w:sz w:val="18"/>
              </w:rPr>
              <w:t>8 Basic, 6 Moderate, and 8 Advanced challenges</w:t>
            </w:r>
          </w:p>
        </w:tc>
        <w:tc>
          <w:tcPr>
            <w:tcW w:w="1400" w:type="dxa"/>
            <w:shd w:val="clear" w:color="auto" w:fill="F2F4F7"/>
            <w:tcMar>
              <w:top w:w="80" w:type="dxa"/>
              <w:left w:w="120" w:type="dxa"/>
              <w:bottom w:w="80" w:type="dxa"/>
              <w:right w:w="120" w:type="dxa"/>
            </w:tcMar>
            <w:vAlign w:val="center"/>
          </w:tcPr>
          <w:p w14:paraId="1DEBE1A5" w14:textId="77777777" w:rsidR="00B347CD" w:rsidRPr="00D56308" w:rsidRDefault="00000000">
            <w:pPr>
              <w:spacing w:after="0" w:line="240" w:lineRule="auto"/>
            </w:pPr>
            <w:r w:rsidRPr="00D56308">
              <w:rPr>
                <w:rFonts w:eastAsia="Calibri"/>
                <w:sz w:val="18"/>
              </w:rPr>
              <w:t>Implemented</w:t>
            </w:r>
          </w:p>
        </w:tc>
      </w:tr>
      <w:tr w:rsidR="00B347CD" w:rsidRPr="00D56308" w14:paraId="15742E50" w14:textId="77777777">
        <w:trPr>
          <w:cantSplit/>
        </w:trPr>
        <w:tc>
          <w:tcPr>
            <w:tcW w:w="2300" w:type="dxa"/>
            <w:tcMar>
              <w:top w:w="80" w:type="dxa"/>
              <w:left w:w="120" w:type="dxa"/>
              <w:bottom w:w="80" w:type="dxa"/>
              <w:right w:w="120" w:type="dxa"/>
            </w:tcMar>
            <w:vAlign w:val="center"/>
          </w:tcPr>
          <w:p w14:paraId="083F9C08" w14:textId="77777777" w:rsidR="00B347CD" w:rsidRPr="00D56308" w:rsidRDefault="00000000">
            <w:pPr>
              <w:spacing w:after="0" w:line="240" w:lineRule="auto"/>
            </w:pPr>
            <w:r w:rsidRPr="00D56308">
              <w:rPr>
                <w:rFonts w:eastAsia="Calibri"/>
                <w:b/>
                <w:sz w:val="18"/>
              </w:rPr>
              <w:t>RF artefact export</w:t>
            </w:r>
          </w:p>
        </w:tc>
        <w:tc>
          <w:tcPr>
            <w:tcW w:w="5660" w:type="dxa"/>
            <w:tcMar>
              <w:top w:w="80" w:type="dxa"/>
              <w:left w:w="120" w:type="dxa"/>
              <w:bottom w:w="80" w:type="dxa"/>
              <w:right w:w="120" w:type="dxa"/>
            </w:tcMar>
            <w:vAlign w:val="center"/>
          </w:tcPr>
          <w:p w14:paraId="0B51819A" w14:textId="77777777" w:rsidR="00B347CD" w:rsidRPr="00D56308" w:rsidRDefault="00000000">
            <w:pPr>
              <w:spacing w:after="0" w:line="240" w:lineRule="auto"/>
            </w:pPr>
            <w:r w:rsidRPr="00D56308">
              <w:rPr>
                <w:rFonts w:eastAsia="Calibri"/>
                <w:sz w:val="18"/>
              </w:rPr>
              <w:t>Capture JSON, SigMF metadata, IQ data, and raw IQ API</w:t>
            </w:r>
          </w:p>
        </w:tc>
        <w:tc>
          <w:tcPr>
            <w:tcW w:w="1400" w:type="dxa"/>
            <w:tcMar>
              <w:top w:w="80" w:type="dxa"/>
              <w:left w:w="120" w:type="dxa"/>
              <w:bottom w:w="80" w:type="dxa"/>
              <w:right w:w="120" w:type="dxa"/>
            </w:tcMar>
            <w:vAlign w:val="center"/>
          </w:tcPr>
          <w:p w14:paraId="50E5A83E" w14:textId="77777777" w:rsidR="00B347CD" w:rsidRPr="00D56308" w:rsidRDefault="00000000">
            <w:pPr>
              <w:spacing w:after="0" w:line="240" w:lineRule="auto"/>
            </w:pPr>
            <w:r w:rsidRPr="00D56308">
              <w:rPr>
                <w:rFonts w:eastAsia="Calibri"/>
                <w:sz w:val="18"/>
              </w:rPr>
              <w:t>Implemented</w:t>
            </w:r>
          </w:p>
        </w:tc>
      </w:tr>
      <w:tr w:rsidR="00B347CD" w:rsidRPr="00D56308" w14:paraId="007BD139" w14:textId="77777777">
        <w:trPr>
          <w:cantSplit/>
        </w:trPr>
        <w:tc>
          <w:tcPr>
            <w:tcW w:w="2300" w:type="dxa"/>
            <w:shd w:val="clear" w:color="auto" w:fill="F2F4F7"/>
            <w:tcMar>
              <w:top w:w="80" w:type="dxa"/>
              <w:left w:w="120" w:type="dxa"/>
              <w:bottom w:w="80" w:type="dxa"/>
              <w:right w:w="120" w:type="dxa"/>
            </w:tcMar>
            <w:vAlign w:val="center"/>
          </w:tcPr>
          <w:p w14:paraId="25217A19" w14:textId="77777777" w:rsidR="00B347CD" w:rsidRPr="00D56308" w:rsidRDefault="00000000">
            <w:pPr>
              <w:spacing w:after="0" w:line="240" w:lineRule="auto"/>
            </w:pPr>
            <w:r w:rsidRPr="00D56308">
              <w:rPr>
                <w:rFonts w:eastAsia="Calibri"/>
                <w:b/>
                <w:sz w:val="18"/>
              </w:rPr>
              <w:t>Session variation</w:t>
            </w:r>
          </w:p>
        </w:tc>
        <w:tc>
          <w:tcPr>
            <w:tcW w:w="5660" w:type="dxa"/>
            <w:shd w:val="clear" w:color="auto" w:fill="F2F4F7"/>
            <w:tcMar>
              <w:top w:w="80" w:type="dxa"/>
              <w:left w:w="120" w:type="dxa"/>
              <w:bottom w:w="80" w:type="dxa"/>
              <w:right w:w="120" w:type="dxa"/>
            </w:tcMar>
            <w:vAlign w:val="center"/>
          </w:tcPr>
          <w:p w14:paraId="1055CC0E" w14:textId="77777777" w:rsidR="00B347CD" w:rsidRPr="00D56308" w:rsidRDefault="00000000">
            <w:pPr>
              <w:spacing w:after="0" w:line="240" w:lineRule="auto"/>
            </w:pPr>
            <w:r w:rsidRPr="00D56308">
              <w:rPr>
                <w:rFonts w:eastAsia="Calibri"/>
                <w:sz w:val="18"/>
              </w:rPr>
              <w:t>Server secret plus session and challenge identifiers derive unique flags</w:t>
            </w:r>
          </w:p>
        </w:tc>
        <w:tc>
          <w:tcPr>
            <w:tcW w:w="1400" w:type="dxa"/>
            <w:shd w:val="clear" w:color="auto" w:fill="F2F4F7"/>
            <w:tcMar>
              <w:top w:w="80" w:type="dxa"/>
              <w:left w:w="120" w:type="dxa"/>
              <w:bottom w:w="80" w:type="dxa"/>
              <w:right w:w="120" w:type="dxa"/>
            </w:tcMar>
            <w:vAlign w:val="center"/>
          </w:tcPr>
          <w:p w14:paraId="4681E6B0" w14:textId="77777777" w:rsidR="00B347CD" w:rsidRPr="00D56308" w:rsidRDefault="00000000">
            <w:pPr>
              <w:spacing w:after="0" w:line="240" w:lineRule="auto"/>
            </w:pPr>
            <w:r w:rsidRPr="00D56308">
              <w:rPr>
                <w:rFonts w:eastAsia="Calibri"/>
                <w:sz w:val="18"/>
              </w:rPr>
              <w:t>Implemented</w:t>
            </w:r>
          </w:p>
        </w:tc>
      </w:tr>
      <w:tr w:rsidR="00B347CD" w:rsidRPr="00D56308" w14:paraId="1C06B5C5" w14:textId="77777777">
        <w:trPr>
          <w:cantSplit/>
        </w:trPr>
        <w:tc>
          <w:tcPr>
            <w:tcW w:w="2300" w:type="dxa"/>
            <w:tcMar>
              <w:top w:w="80" w:type="dxa"/>
              <w:left w:w="120" w:type="dxa"/>
              <w:bottom w:w="80" w:type="dxa"/>
              <w:right w:w="120" w:type="dxa"/>
            </w:tcMar>
            <w:vAlign w:val="center"/>
          </w:tcPr>
          <w:p w14:paraId="29161EAC" w14:textId="77777777" w:rsidR="00B347CD" w:rsidRPr="00D56308" w:rsidRDefault="00000000">
            <w:pPr>
              <w:spacing w:after="0" w:line="240" w:lineRule="auto"/>
            </w:pPr>
            <w:r w:rsidRPr="00D56308">
              <w:rPr>
                <w:rFonts w:eastAsia="Calibri"/>
                <w:b/>
                <w:sz w:val="18"/>
              </w:rPr>
              <w:t>Civilian scenarios</w:t>
            </w:r>
          </w:p>
        </w:tc>
        <w:tc>
          <w:tcPr>
            <w:tcW w:w="5660" w:type="dxa"/>
            <w:tcMar>
              <w:top w:w="80" w:type="dxa"/>
              <w:left w:w="120" w:type="dxa"/>
              <w:bottom w:w="80" w:type="dxa"/>
              <w:right w:w="120" w:type="dxa"/>
            </w:tcMar>
            <w:vAlign w:val="center"/>
          </w:tcPr>
          <w:p w14:paraId="50A37158" w14:textId="77777777" w:rsidR="00B347CD" w:rsidRPr="00D56308" w:rsidRDefault="00000000">
            <w:pPr>
              <w:spacing w:after="0" w:line="240" w:lineRule="auto"/>
            </w:pPr>
            <w:r w:rsidRPr="00D56308">
              <w:rPr>
                <w:rFonts w:eastAsia="Calibri"/>
                <w:sz w:val="18"/>
              </w:rPr>
              <w:t>Tunnel signs, broadcast metadata, weather audio, emergency messages, bushfire relays, and farm gates</w:t>
            </w:r>
          </w:p>
        </w:tc>
        <w:tc>
          <w:tcPr>
            <w:tcW w:w="1400" w:type="dxa"/>
            <w:tcMar>
              <w:top w:w="80" w:type="dxa"/>
              <w:left w:w="120" w:type="dxa"/>
              <w:bottom w:w="80" w:type="dxa"/>
              <w:right w:w="120" w:type="dxa"/>
            </w:tcMar>
            <w:vAlign w:val="center"/>
          </w:tcPr>
          <w:p w14:paraId="29401F8A" w14:textId="77777777" w:rsidR="00B347CD" w:rsidRPr="00D56308" w:rsidRDefault="00000000">
            <w:pPr>
              <w:spacing w:after="0" w:line="240" w:lineRule="auto"/>
            </w:pPr>
            <w:r w:rsidRPr="00D56308">
              <w:rPr>
                <w:rFonts w:eastAsia="Calibri"/>
                <w:sz w:val="18"/>
              </w:rPr>
              <w:t>Implemented</w:t>
            </w:r>
          </w:p>
        </w:tc>
      </w:tr>
      <w:tr w:rsidR="00B347CD" w:rsidRPr="00D56308" w14:paraId="1D5C1D8F" w14:textId="77777777">
        <w:trPr>
          <w:cantSplit/>
        </w:trPr>
        <w:tc>
          <w:tcPr>
            <w:tcW w:w="2300" w:type="dxa"/>
            <w:shd w:val="clear" w:color="auto" w:fill="F2F4F7"/>
            <w:tcMar>
              <w:top w:w="80" w:type="dxa"/>
              <w:left w:w="120" w:type="dxa"/>
              <w:bottom w:w="80" w:type="dxa"/>
              <w:right w:w="120" w:type="dxa"/>
            </w:tcMar>
            <w:vAlign w:val="center"/>
          </w:tcPr>
          <w:p w14:paraId="487808BA" w14:textId="77777777" w:rsidR="00B347CD" w:rsidRPr="00D56308" w:rsidRDefault="00000000">
            <w:pPr>
              <w:spacing w:after="0" w:line="240" w:lineRule="auto"/>
            </w:pPr>
            <w:r w:rsidRPr="00D56308">
              <w:rPr>
                <w:rFonts w:eastAsia="Calibri"/>
                <w:b/>
                <w:sz w:val="18"/>
              </w:rPr>
              <w:t>Attack/defence comparison</w:t>
            </w:r>
          </w:p>
        </w:tc>
        <w:tc>
          <w:tcPr>
            <w:tcW w:w="5660" w:type="dxa"/>
            <w:shd w:val="clear" w:color="auto" w:fill="F2F4F7"/>
            <w:tcMar>
              <w:top w:w="80" w:type="dxa"/>
              <w:left w:w="120" w:type="dxa"/>
              <w:bottom w:w="80" w:type="dxa"/>
              <w:right w:w="120" w:type="dxa"/>
            </w:tcMar>
            <w:vAlign w:val="center"/>
          </w:tcPr>
          <w:p w14:paraId="3FF3B052" w14:textId="77777777" w:rsidR="00B347CD" w:rsidRPr="00D56308" w:rsidRDefault="00000000">
            <w:pPr>
              <w:spacing w:after="0" w:line="240" w:lineRule="auto"/>
            </w:pPr>
            <w:r w:rsidRPr="00D56308">
              <w:rPr>
                <w:rFonts w:eastAsia="Calibri"/>
                <w:sz w:val="18"/>
              </w:rPr>
              <w:t>Attack Mode and Secure Mode expose paired vulnerable and defensive behaviours</w:t>
            </w:r>
          </w:p>
        </w:tc>
        <w:tc>
          <w:tcPr>
            <w:tcW w:w="1400" w:type="dxa"/>
            <w:shd w:val="clear" w:color="auto" w:fill="F2F4F7"/>
            <w:tcMar>
              <w:top w:w="80" w:type="dxa"/>
              <w:left w:w="120" w:type="dxa"/>
              <w:bottom w:w="80" w:type="dxa"/>
              <w:right w:w="120" w:type="dxa"/>
            </w:tcMar>
            <w:vAlign w:val="center"/>
          </w:tcPr>
          <w:p w14:paraId="02C01116" w14:textId="77777777" w:rsidR="00B347CD" w:rsidRPr="00D56308" w:rsidRDefault="00000000">
            <w:pPr>
              <w:spacing w:after="0" w:line="240" w:lineRule="auto"/>
            </w:pPr>
            <w:r w:rsidRPr="00D56308">
              <w:rPr>
                <w:rFonts w:eastAsia="Calibri"/>
                <w:sz w:val="18"/>
              </w:rPr>
              <w:t>Implemented</w:t>
            </w:r>
          </w:p>
        </w:tc>
      </w:tr>
      <w:tr w:rsidR="00B347CD" w:rsidRPr="00D56308" w14:paraId="50E5568A" w14:textId="77777777">
        <w:trPr>
          <w:cantSplit/>
        </w:trPr>
        <w:tc>
          <w:tcPr>
            <w:tcW w:w="2300" w:type="dxa"/>
            <w:tcMar>
              <w:top w:w="80" w:type="dxa"/>
              <w:left w:w="120" w:type="dxa"/>
              <w:bottom w:w="80" w:type="dxa"/>
              <w:right w:w="120" w:type="dxa"/>
            </w:tcMar>
            <w:vAlign w:val="center"/>
          </w:tcPr>
          <w:p w14:paraId="71E6C300" w14:textId="77777777" w:rsidR="00B347CD" w:rsidRPr="00D56308" w:rsidRDefault="00000000">
            <w:pPr>
              <w:spacing w:after="0" w:line="240" w:lineRule="auto"/>
            </w:pPr>
            <w:r w:rsidRPr="00D56308">
              <w:rPr>
                <w:rFonts w:eastAsia="Calibri"/>
                <w:b/>
                <w:sz w:val="18"/>
              </w:rPr>
              <w:t>Live RF transmission</w:t>
            </w:r>
          </w:p>
        </w:tc>
        <w:tc>
          <w:tcPr>
            <w:tcW w:w="5660" w:type="dxa"/>
            <w:tcMar>
              <w:top w:w="80" w:type="dxa"/>
              <w:left w:w="120" w:type="dxa"/>
              <w:bottom w:w="80" w:type="dxa"/>
              <w:right w:w="120" w:type="dxa"/>
            </w:tcMar>
            <w:vAlign w:val="center"/>
          </w:tcPr>
          <w:p w14:paraId="3CD3D5DB" w14:textId="77777777" w:rsidR="00B347CD" w:rsidRPr="00D56308" w:rsidRDefault="00000000">
            <w:pPr>
              <w:spacing w:after="0" w:line="240" w:lineRule="auto"/>
            </w:pPr>
            <w:r w:rsidRPr="00D56308">
              <w:rPr>
                <w:rFonts w:eastAsia="Calibri"/>
                <w:sz w:val="18"/>
              </w:rPr>
              <w:t>Explicitly excluded; generation and analysis are local-only</w:t>
            </w:r>
          </w:p>
        </w:tc>
        <w:tc>
          <w:tcPr>
            <w:tcW w:w="1400" w:type="dxa"/>
            <w:tcMar>
              <w:top w:w="80" w:type="dxa"/>
              <w:left w:w="120" w:type="dxa"/>
              <w:bottom w:w="80" w:type="dxa"/>
              <w:right w:w="120" w:type="dxa"/>
            </w:tcMar>
            <w:vAlign w:val="center"/>
          </w:tcPr>
          <w:p w14:paraId="25BFF9F8" w14:textId="77777777" w:rsidR="00B347CD" w:rsidRPr="00D56308" w:rsidRDefault="00000000">
            <w:pPr>
              <w:spacing w:after="0" w:line="240" w:lineRule="auto"/>
            </w:pPr>
            <w:r w:rsidRPr="00D56308">
              <w:rPr>
                <w:rFonts w:eastAsia="Calibri"/>
                <w:sz w:val="18"/>
              </w:rPr>
              <w:t>Out of scope</w:t>
            </w:r>
          </w:p>
        </w:tc>
      </w:tr>
      <w:tr w:rsidR="00B347CD" w:rsidRPr="00D56308" w14:paraId="1A520C87" w14:textId="77777777">
        <w:trPr>
          <w:cantSplit/>
        </w:trPr>
        <w:tc>
          <w:tcPr>
            <w:tcW w:w="2300" w:type="dxa"/>
            <w:shd w:val="clear" w:color="auto" w:fill="F2F4F7"/>
            <w:tcMar>
              <w:top w:w="80" w:type="dxa"/>
              <w:left w:w="120" w:type="dxa"/>
              <w:bottom w:w="80" w:type="dxa"/>
              <w:right w:w="120" w:type="dxa"/>
            </w:tcMar>
            <w:vAlign w:val="center"/>
          </w:tcPr>
          <w:p w14:paraId="0935D5DC" w14:textId="77777777" w:rsidR="00B347CD" w:rsidRPr="00D56308" w:rsidRDefault="00000000">
            <w:pPr>
              <w:spacing w:after="0" w:line="240" w:lineRule="auto"/>
            </w:pPr>
            <w:r w:rsidRPr="00D56308">
              <w:rPr>
                <w:rFonts w:eastAsia="Calibri"/>
                <w:b/>
                <w:sz w:val="18"/>
              </w:rPr>
              <w:t>Formal usability study</w:t>
            </w:r>
          </w:p>
        </w:tc>
        <w:tc>
          <w:tcPr>
            <w:tcW w:w="5660" w:type="dxa"/>
            <w:shd w:val="clear" w:color="auto" w:fill="F2F4F7"/>
            <w:tcMar>
              <w:top w:w="80" w:type="dxa"/>
              <w:left w:w="120" w:type="dxa"/>
              <w:bottom w:w="80" w:type="dxa"/>
              <w:right w:w="120" w:type="dxa"/>
            </w:tcMar>
            <w:vAlign w:val="center"/>
          </w:tcPr>
          <w:p w14:paraId="715A17B6" w14:textId="77777777" w:rsidR="00B347CD" w:rsidRPr="00D56308" w:rsidRDefault="00000000">
            <w:pPr>
              <w:spacing w:after="0" w:line="240" w:lineRule="auto"/>
            </w:pPr>
            <w:r w:rsidRPr="00D56308">
              <w:rPr>
                <w:rFonts w:eastAsia="Calibri"/>
                <w:sz w:val="18"/>
              </w:rPr>
              <w:t>No participant study or structured learning assessment is present</w:t>
            </w:r>
          </w:p>
        </w:tc>
        <w:tc>
          <w:tcPr>
            <w:tcW w:w="1400" w:type="dxa"/>
            <w:shd w:val="clear" w:color="auto" w:fill="F2F4F7"/>
            <w:tcMar>
              <w:top w:w="80" w:type="dxa"/>
              <w:left w:w="120" w:type="dxa"/>
              <w:bottom w:w="80" w:type="dxa"/>
              <w:right w:w="120" w:type="dxa"/>
            </w:tcMar>
            <w:vAlign w:val="center"/>
          </w:tcPr>
          <w:p w14:paraId="284C8333" w14:textId="77777777" w:rsidR="00B347CD" w:rsidRPr="00D56308" w:rsidRDefault="00000000">
            <w:pPr>
              <w:spacing w:after="0" w:line="240" w:lineRule="auto"/>
            </w:pPr>
            <w:r w:rsidRPr="00D56308">
              <w:rPr>
                <w:rFonts w:eastAsia="Calibri"/>
                <w:sz w:val="18"/>
              </w:rPr>
              <w:t>Future work</w:t>
            </w:r>
          </w:p>
        </w:tc>
      </w:tr>
    </w:tbl>
    <w:p w14:paraId="58B75814" w14:textId="77777777" w:rsidR="00B347CD" w:rsidRPr="00D56308" w:rsidRDefault="00B347CD">
      <w:pPr>
        <w:spacing w:after="0"/>
      </w:pPr>
    </w:p>
    <w:p w14:paraId="694B3378" w14:textId="358AA7D9" w:rsidR="00361DEA" w:rsidRPr="00361DEA" w:rsidRDefault="00000000" w:rsidP="00361DEA">
      <w:pPr>
        <w:pStyle w:val="Heading1"/>
      </w:pPr>
      <w:r w:rsidRPr="00D56308">
        <w:t>4. Methodology and Implementation</w:t>
      </w:r>
    </w:p>
    <w:p w14:paraId="79C61E82" w14:textId="77777777" w:rsidR="00B347CD" w:rsidRPr="00D56308" w:rsidRDefault="00000000">
      <w:pPr>
        <w:pStyle w:val="Heading2"/>
      </w:pPr>
      <w:r w:rsidRPr="00D56308">
        <w:t>4.1 Development Approach</w:t>
      </w:r>
    </w:p>
    <w:p w14:paraId="160DAD3D" w14:textId="77777777" w:rsidR="00B347CD" w:rsidRDefault="00000000" w:rsidP="003926F6">
      <w:r w:rsidRPr="00BB3E83">
        <w:t xml:space="preserve">Because my </w:t>
      </w:r>
      <w:r w:rsidRPr="00BB3E83">
        <w:t xml:space="preserve">web development </w:t>
      </w:r>
      <w:r w:rsidR="000B268E" w:rsidRPr="000B268E">
        <w:t xml:space="preserve">experience </w:t>
      </w:r>
      <w:r w:rsidRPr="00BB3E83">
        <w:t xml:space="preserve">was limited, I used </w:t>
      </w:r>
      <w:r w:rsidRPr="00BB3E83">
        <w:t xml:space="preserve">Codex to </w:t>
      </w:r>
      <w:r w:rsidR="000B268E" w:rsidRPr="000B268E">
        <w:t>support development of</w:t>
      </w:r>
      <w:r w:rsidRPr="00BB3E83">
        <w:t xml:space="preserve"> the front end and data-parsing interface. This </w:t>
      </w:r>
      <w:r w:rsidR="000B268E" w:rsidRPr="000B268E">
        <w:t>let</w:t>
      </w:r>
      <w:r w:rsidRPr="00BB3E83">
        <w:t xml:space="preserve"> me </w:t>
      </w:r>
      <w:r w:rsidR="000B268E" w:rsidRPr="000B268E">
        <w:t>focus</w:t>
      </w:r>
      <w:r w:rsidRPr="00BB3E83">
        <w:t xml:space="preserve"> more </w:t>
      </w:r>
      <w:r w:rsidRPr="00BB3E83">
        <w:t xml:space="preserve">time on the project’s core security </w:t>
      </w:r>
      <w:r w:rsidR="000B268E" w:rsidRPr="000B268E">
        <w:t>content</w:t>
      </w:r>
      <w:r w:rsidRPr="00BB3E83">
        <w:t xml:space="preserve">, while </w:t>
      </w:r>
      <w:r w:rsidR="000B268E" w:rsidRPr="000B268E">
        <w:t>still reviewing and refining the</w:t>
      </w:r>
      <w:r w:rsidRPr="00BB3E83">
        <w:t xml:space="preserve"> </w:t>
      </w:r>
      <w:r w:rsidRPr="00BB3E83">
        <w:t xml:space="preserve">generated code to ensure the interface met the required UI and functional </w:t>
      </w:r>
      <w:r w:rsidR="000B268E" w:rsidRPr="000B268E">
        <w:t>requirements.</w:t>
      </w:r>
      <w:r w:rsidRPr="00BB3E83">
        <w:t xml:space="preserve"> My </w:t>
      </w:r>
      <w:r w:rsidR="000B268E" w:rsidRPr="000B268E">
        <w:t>primary</w:t>
      </w:r>
      <w:r w:rsidRPr="00BB3E83">
        <w:t xml:space="preserve"> hands-on </w:t>
      </w:r>
      <w:r w:rsidR="000B268E" w:rsidRPr="000B268E">
        <w:t>work involved</w:t>
      </w:r>
      <w:r w:rsidRPr="00BB3E83">
        <w:t xml:space="preserve"> designing the secure and </w:t>
      </w:r>
      <w:r w:rsidR="000B268E" w:rsidRPr="000B268E">
        <w:t xml:space="preserve">vulnerable </w:t>
      </w:r>
      <w:r w:rsidRPr="00BB3E83">
        <w:t xml:space="preserve">waveforms, developing the attack strategies used to analyse them, and creating each scenario through </w:t>
      </w:r>
      <w:r w:rsidR="000B268E" w:rsidRPr="000B268E">
        <w:t>independent</w:t>
      </w:r>
      <w:r w:rsidRPr="00BB3E83">
        <w:t xml:space="preserve"> brainstorming and research. I also </w:t>
      </w:r>
      <w:r w:rsidR="000B268E" w:rsidRPr="000B268E">
        <w:t xml:space="preserve">built the </w:t>
      </w:r>
      <w:r w:rsidRPr="00BB3E83">
        <w:t xml:space="preserve">signal chains and staged vulnerable code used </w:t>
      </w:r>
      <w:r w:rsidR="000B268E" w:rsidRPr="000B268E">
        <w:t>throughout</w:t>
      </w:r>
      <w:r w:rsidRPr="00BB3E83">
        <w:t xml:space="preserve"> the challenges. Additional research and development was </w:t>
      </w:r>
      <w:r w:rsidR="000B268E" w:rsidRPr="000B268E">
        <w:t>required</w:t>
      </w:r>
      <w:r w:rsidRPr="00BB3E83">
        <w:t xml:space="preserve"> to add security features beyond basic waveform behaviour. Encryption was </w:t>
      </w:r>
      <w:r w:rsidR="000B268E" w:rsidRPr="000B268E">
        <w:t>largely</w:t>
      </w:r>
      <w:r w:rsidRPr="00BB3E83">
        <w:t xml:space="preserve"> avoided </w:t>
      </w:r>
      <w:r w:rsidR="000B268E" w:rsidRPr="000B268E">
        <w:t>to keep</w:t>
      </w:r>
      <w:r w:rsidRPr="00BB3E83">
        <w:t xml:space="preserve"> the learning curve across </w:t>
      </w:r>
      <w:r w:rsidRPr="00BB3E83">
        <w:t xml:space="preserve">RF and cybersecurity concepts </w:t>
      </w:r>
      <w:r w:rsidR="000B268E" w:rsidRPr="000B268E">
        <w:t>manageable; it</w:t>
      </w:r>
      <w:r>
        <w:t xml:space="preserve"> is </w:t>
      </w:r>
      <w:r w:rsidR="000B268E" w:rsidRPr="000B268E">
        <w:t xml:space="preserve">also </w:t>
      </w:r>
      <w:r>
        <w:t xml:space="preserve">only one </w:t>
      </w:r>
      <w:r>
        <w:t xml:space="preserve">layer </w:t>
      </w:r>
      <w:r>
        <w:t xml:space="preserve">of </w:t>
      </w:r>
      <w:r w:rsidR="000B268E" w:rsidRPr="000B268E">
        <w:t>defence,</w:t>
      </w:r>
      <w:r>
        <w:t xml:space="preserve"> not a </w:t>
      </w:r>
      <w:r w:rsidR="000B268E" w:rsidRPr="000B268E">
        <w:t>complete solution</w:t>
      </w:r>
      <w:r>
        <w:t>.</w:t>
      </w:r>
    </w:p>
    <w:p w14:paraId="408D4CE6" w14:textId="43D7FEEC" w:rsidR="00B347CD" w:rsidRPr="00D56308" w:rsidRDefault="00000000">
      <w:r w:rsidRPr="00D56308">
        <w:rPr>
          <w:rFonts w:eastAsia="Calibri"/>
        </w:rPr>
        <w:t>Development followed a vertical-slice approach. Each slice links a scenario, signal scheme, downloadable evidence, user interaction, server-side success condition, and session-specific flag. Challenge content is stored in JSON rather than embedded throughout the interface, which makes task descriptions and artefact links easier to revise. Security controls are demonstrated as comparisons: the vulnerable behaviour remains available for learning, while the secure path shows the intended mitigation.</w:t>
      </w:r>
    </w:p>
    <w:p w14:paraId="07CBEE26" w14:textId="77777777" w:rsidR="00B347CD" w:rsidRPr="00D56308" w:rsidRDefault="00000000">
      <w:pPr>
        <w:pStyle w:val="ReportNumber"/>
        <w:numPr>
          <w:ilvl w:val="0"/>
          <w:numId w:val="5"/>
        </w:numPr>
      </w:pPr>
      <w:r w:rsidRPr="00D56308">
        <w:rPr>
          <w:rFonts w:eastAsia="Calibri"/>
        </w:rPr>
        <w:t>Define a civilian scenario and its learning objective.</w:t>
      </w:r>
    </w:p>
    <w:p w14:paraId="357BCC12" w14:textId="77777777" w:rsidR="00B347CD" w:rsidRPr="00D56308" w:rsidRDefault="00000000">
      <w:pPr>
        <w:pStyle w:val="ReportNumber"/>
        <w:numPr>
          <w:ilvl w:val="0"/>
          <w:numId w:val="5"/>
        </w:numPr>
      </w:pPr>
      <w:r w:rsidRPr="00D56308">
        <w:rPr>
          <w:rFonts w:eastAsia="Calibri"/>
        </w:rPr>
        <w:t>Attach a unique RF or protocol scheme and reproducible artefacts.</w:t>
      </w:r>
    </w:p>
    <w:p w14:paraId="6950A514" w14:textId="77777777" w:rsidR="00B347CD" w:rsidRPr="00D56308" w:rsidRDefault="00000000">
      <w:pPr>
        <w:pStyle w:val="ReportNumber"/>
        <w:numPr>
          <w:ilvl w:val="0"/>
          <w:numId w:val="5"/>
        </w:numPr>
      </w:pPr>
      <w:r w:rsidRPr="00D56308">
        <w:rPr>
          <w:rFonts w:eastAsia="Calibri"/>
        </w:rPr>
        <w:t>Implement the browser interaction and terminal command sequence.</w:t>
      </w:r>
    </w:p>
    <w:p w14:paraId="55D9E899" w14:textId="77777777" w:rsidR="00B347CD" w:rsidRPr="00D56308" w:rsidRDefault="00000000">
      <w:pPr>
        <w:pStyle w:val="ReportNumber"/>
        <w:numPr>
          <w:ilvl w:val="0"/>
          <w:numId w:val="5"/>
        </w:numPr>
      </w:pPr>
      <w:r w:rsidRPr="00D56308">
        <w:rPr>
          <w:rFonts w:eastAsia="Calibri"/>
        </w:rPr>
        <w:t>Enforce success on the Python backend and release a session-bound flag.</w:t>
      </w:r>
    </w:p>
    <w:p w14:paraId="23BD2AD9" w14:textId="77777777" w:rsidR="00B347CD" w:rsidRPr="00D56308" w:rsidRDefault="00000000">
      <w:pPr>
        <w:pStyle w:val="ReportNumber"/>
        <w:numPr>
          <w:ilvl w:val="0"/>
          <w:numId w:val="5"/>
        </w:numPr>
      </w:pPr>
      <w:r w:rsidRPr="00D56308">
        <w:rPr>
          <w:rFonts w:eastAsia="Calibri"/>
        </w:rPr>
        <w:t>Add defensive comparison, documentation, and extension notes.</w:t>
      </w:r>
    </w:p>
    <w:p w14:paraId="2B218493" w14:textId="77777777" w:rsidR="00B347CD" w:rsidRPr="00D56308" w:rsidRDefault="00000000">
      <w:pPr>
        <w:pStyle w:val="Heading2"/>
      </w:pPr>
      <w:r w:rsidRPr="00D56308">
        <w:lastRenderedPageBreak/>
        <w:t>4.2 System Architecture</w:t>
      </w:r>
    </w:p>
    <w:tbl>
      <w:tblPr>
        <w:tblStyle w:val="TableGrid"/>
        <w:tblW w:w="9360" w:type="dxa"/>
        <w:tblInd w:w="120" w:type="dxa"/>
        <w:tblLayout w:type="fixed"/>
        <w:tblLook w:val="04A0" w:firstRow="1" w:lastRow="0" w:firstColumn="1" w:lastColumn="0" w:noHBand="0" w:noVBand="1"/>
      </w:tblPr>
      <w:tblGrid>
        <w:gridCol w:w="1700"/>
        <w:gridCol w:w="3180"/>
        <w:gridCol w:w="4480"/>
      </w:tblGrid>
      <w:tr w:rsidR="00B347CD" w:rsidRPr="00D56308" w14:paraId="345233BF" w14:textId="77777777">
        <w:trPr>
          <w:cantSplit/>
          <w:tblHeader/>
        </w:trPr>
        <w:tc>
          <w:tcPr>
            <w:tcW w:w="1700" w:type="dxa"/>
            <w:shd w:val="clear" w:color="auto" w:fill="2E74B5"/>
            <w:tcMar>
              <w:top w:w="80" w:type="dxa"/>
              <w:left w:w="120" w:type="dxa"/>
              <w:bottom w:w="80" w:type="dxa"/>
              <w:right w:w="120" w:type="dxa"/>
            </w:tcMar>
            <w:vAlign w:val="center"/>
          </w:tcPr>
          <w:p w14:paraId="3FE7C8A7" w14:textId="77777777" w:rsidR="00B347CD" w:rsidRPr="00D56308" w:rsidRDefault="00000000">
            <w:pPr>
              <w:keepNext/>
              <w:spacing w:after="0" w:line="240" w:lineRule="auto"/>
            </w:pPr>
            <w:r w:rsidRPr="00D56308">
              <w:rPr>
                <w:rFonts w:eastAsia="Calibri"/>
                <w:b/>
                <w:color w:val="FFFFFF"/>
                <w:sz w:val="18"/>
              </w:rPr>
              <w:t>Layer</w:t>
            </w:r>
          </w:p>
        </w:tc>
        <w:tc>
          <w:tcPr>
            <w:tcW w:w="3180" w:type="dxa"/>
            <w:shd w:val="clear" w:color="auto" w:fill="2E74B5"/>
            <w:tcMar>
              <w:top w:w="80" w:type="dxa"/>
              <w:left w:w="120" w:type="dxa"/>
              <w:bottom w:w="80" w:type="dxa"/>
              <w:right w:w="120" w:type="dxa"/>
            </w:tcMar>
            <w:vAlign w:val="center"/>
          </w:tcPr>
          <w:p w14:paraId="3A0992EC" w14:textId="77777777" w:rsidR="00B347CD" w:rsidRPr="00D56308" w:rsidRDefault="00000000">
            <w:pPr>
              <w:keepNext/>
              <w:spacing w:after="0" w:line="240" w:lineRule="auto"/>
            </w:pPr>
            <w:r w:rsidRPr="00D56308">
              <w:rPr>
                <w:rFonts w:eastAsia="Calibri"/>
                <w:b/>
                <w:color w:val="FFFFFF"/>
                <w:sz w:val="18"/>
              </w:rPr>
              <w:t>Primary components</w:t>
            </w:r>
          </w:p>
        </w:tc>
        <w:tc>
          <w:tcPr>
            <w:tcW w:w="4480" w:type="dxa"/>
            <w:shd w:val="clear" w:color="auto" w:fill="2E74B5"/>
            <w:tcMar>
              <w:top w:w="80" w:type="dxa"/>
              <w:left w:w="120" w:type="dxa"/>
              <w:bottom w:w="80" w:type="dxa"/>
              <w:right w:w="120" w:type="dxa"/>
            </w:tcMar>
            <w:vAlign w:val="center"/>
          </w:tcPr>
          <w:p w14:paraId="1C5642ED" w14:textId="77777777" w:rsidR="00B347CD" w:rsidRPr="00D56308" w:rsidRDefault="00000000">
            <w:pPr>
              <w:keepNext/>
              <w:spacing w:after="0" w:line="240" w:lineRule="auto"/>
            </w:pPr>
            <w:r w:rsidRPr="00D56308">
              <w:rPr>
                <w:rFonts w:eastAsia="Calibri"/>
                <w:b/>
                <w:color w:val="FFFFFF"/>
                <w:sz w:val="18"/>
              </w:rPr>
              <w:t>Responsibility</w:t>
            </w:r>
          </w:p>
        </w:tc>
      </w:tr>
      <w:tr w:rsidR="00B347CD" w:rsidRPr="00D56308" w14:paraId="6D79527C" w14:textId="77777777">
        <w:trPr>
          <w:cantSplit/>
        </w:trPr>
        <w:tc>
          <w:tcPr>
            <w:tcW w:w="1700" w:type="dxa"/>
            <w:tcMar>
              <w:top w:w="80" w:type="dxa"/>
              <w:left w:w="120" w:type="dxa"/>
              <w:bottom w:w="80" w:type="dxa"/>
              <w:right w:w="120" w:type="dxa"/>
            </w:tcMar>
            <w:vAlign w:val="center"/>
          </w:tcPr>
          <w:p w14:paraId="50980253" w14:textId="77777777" w:rsidR="00B347CD" w:rsidRPr="00D56308" w:rsidRDefault="00000000">
            <w:pPr>
              <w:spacing w:after="0" w:line="240" w:lineRule="auto"/>
            </w:pPr>
            <w:r w:rsidRPr="00D56308">
              <w:rPr>
                <w:rFonts w:eastAsia="Calibri"/>
                <w:b/>
                <w:sz w:val="18"/>
              </w:rPr>
              <w:t>Browser interface</w:t>
            </w:r>
          </w:p>
        </w:tc>
        <w:tc>
          <w:tcPr>
            <w:tcW w:w="3180" w:type="dxa"/>
            <w:tcMar>
              <w:top w:w="80" w:type="dxa"/>
              <w:left w:w="120" w:type="dxa"/>
              <w:bottom w:w="80" w:type="dxa"/>
              <w:right w:w="120" w:type="dxa"/>
            </w:tcMar>
            <w:vAlign w:val="center"/>
          </w:tcPr>
          <w:p w14:paraId="729DFF1E" w14:textId="77777777" w:rsidR="00B347CD" w:rsidRPr="00D56308" w:rsidRDefault="00000000">
            <w:pPr>
              <w:spacing w:after="0" w:line="240" w:lineRule="auto"/>
            </w:pPr>
            <w:r w:rsidRPr="00D56308">
              <w:rPr>
                <w:rFonts w:eastAsia="Calibri"/>
                <w:sz w:val="18"/>
              </w:rPr>
              <w:t>index.html, challenge.html, context.html, styles.css, JavaScript controllers</w:t>
            </w:r>
          </w:p>
        </w:tc>
        <w:tc>
          <w:tcPr>
            <w:tcW w:w="4480" w:type="dxa"/>
            <w:tcMar>
              <w:top w:w="80" w:type="dxa"/>
              <w:left w:w="120" w:type="dxa"/>
              <w:bottom w:w="80" w:type="dxa"/>
              <w:right w:w="120" w:type="dxa"/>
            </w:tcMar>
            <w:vAlign w:val="center"/>
          </w:tcPr>
          <w:p w14:paraId="3251215A" w14:textId="77777777" w:rsidR="00B347CD" w:rsidRPr="00D56308" w:rsidRDefault="00000000">
            <w:pPr>
              <w:spacing w:after="0" w:line="240" w:lineRule="auto"/>
            </w:pPr>
            <w:r w:rsidRPr="00D56308">
              <w:rPr>
                <w:rFonts w:eastAsia="Calibri"/>
                <w:sz w:val="18"/>
              </w:rPr>
              <w:t>Navigation, waterfall rendering, receiver controls, local TX controls, task views, and terminal interaction</w:t>
            </w:r>
          </w:p>
        </w:tc>
      </w:tr>
      <w:tr w:rsidR="00B347CD" w:rsidRPr="00D56308" w14:paraId="01D1D962" w14:textId="77777777">
        <w:trPr>
          <w:cantSplit/>
        </w:trPr>
        <w:tc>
          <w:tcPr>
            <w:tcW w:w="1700" w:type="dxa"/>
            <w:shd w:val="clear" w:color="auto" w:fill="F2F4F7"/>
            <w:tcMar>
              <w:top w:w="80" w:type="dxa"/>
              <w:left w:w="120" w:type="dxa"/>
              <w:bottom w:w="80" w:type="dxa"/>
              <w:right w:w="120" w:type="dxa"/>
            </w:tcMar>
            <w:vAlign w:val="center"/>
          </w:tcPr>
          <w:p w14:paraId="625E4240" w14:textId="77777777" w:rsidR="00B347CD" w:rsidRPr="00D56308" w:rsidRDefault="00000000">
            <w:pPr>
              <w:spacing w:after="0" w:line="240" w:lineRule="auto"/>
            </w:pPr>
            <w:r w:rsidRPr="00D56308">
              <w:rPr>
                <w:rFonts w:eastAsia="Calibri"/>
                <w:b/>
                <w:sz w:val="18"/>
              </w:rPr>
              <w:t>Application service</w:t>
            </w:r>
          </w:p>
        </w:tc>
        <w:tc>
          <w:tcPr>
            <w:tcW w:w="3180" w:type="dxa"/>
            <w:shd w:val="clear" w:color="auto" w:fill="F2F4F7"/>
            <w:tcMar>
              <w:top w:w="80" w:type="dxa"/>
              <w:left w:w="120" w:type="dxa"/>
              <w:bottom w:w="80" w:type="dxa"/>
              <w:right w:w="120" w:type="dxa"/>
            </w:tcMar>
            <w:vAlign w:val="center"/>
          </w:tcPr>
          <w:p w14:paraId="55207DF8" w14:textId="77777777" w:rsidR="00B347CD" w:rsidRPr="00D56308" w:rsidRDefault="00000000">
            <w:pPr>
              <w:spacing w:after="0" w:line="240" w:lineRule="auto"/>
            </w:pPr>
            <w:r w:rsidRPr="00D56308">
              <w:rPr>
                <w:rFonts w:eastAsia="Calibri"/>
                <w:sz w:val="18"/>
              </w:rPr>
              <w:t>server.py</w:t>
            </w:r>
          </w:p>
        </w:tc>
        <w:tc>
          <w:tcPr>
            <w:tcW w:w="4480" w:type="dxa"/>
            <w:shd w:val="clear" w:color="auto" w:fill="F2F4F7"/>
            <w:tcMar>
              <w:top w:w="80" w:type="dxa"/>
              <w:left w:w="120" w:type="dxa"/>
              <w:bottom w:w="80" w:type="dxa"/>
              <w:right w:w="120" w:type="dxa"/>
            </w:tcMar>
            <w:vAlign w:val="center"/>
          </w:tcPr>
          <w:p w14:paraId="5A8D8270" w14:textId="77777777" w:rsidR="00B347CD" w:rsidRPr="00D56308" w:rsidRDefault="00000000">
            <w:pPr>
              <w:spacing w:after="0" w:line="240" w:lineRule="auto"/>
            </w:pPr>
            <w:r w:rsidRPr="00D56308">
              <w:rPr>
                <w:rFonts w:eastAsia="Calibri"/>
                <w:sz w:val="18"/>
              </w:rPr>
              <w:t>Static serving, JSON APIs, session state, challenge validation, simulated targets, and mode switching</w:t>
            </w:r>
          </w:p>
        </w:tc>
      </w:tr>
      <w:tr w:rsidR="00B347CD" w:rsidRPr="00D56308" w14:paraId="75D2CCB5" w14:textId="77777777">
        <w:trPr>
          <w:cantSplit/>
        </w:trPr>
        <w:tc>
          <w:tcPr>
            <w:tcW w:w="1700" w:type="dxa"/>
            <w:tcMar>
              <w:top w:w="80" w:type="dxa"/>
              <w:left w:w="120" w:type="dxa"/>
              <w:bottom w:w="80" w:type="dxa"/>
              <w:right w:w="120" w:type="dxa"/>
            </w:tcMar>
            <w:vAlign w:val="center"/>
          </w:tcPr>
          <w:p w14:paraId="6A8D3E25" w14:textId="77777777" w:rsidR="00B347CD" w:rsidRPr="00D56308" w:rsidRDefault="00000000">
            <w:pPr>
              <w:spacing w:after="0" w:line="240" w:lineRule="auto"/>
            </w:pPr>
            <w:r w:rsidRPr="00D56308">
              <w:rPr>
                <w:rFonts w:eastAsia="Calibri"/>
                <w:b/>
                <w:sz w:val="18"/>
              </w:rPr>
              <w:t>Content and configuration</w:t>
            </w:r>
          </w:p>
        </w:tc>
        <w:tc>
          <w:tcPr>
            <w:tcW w:w="3180" w:type="dxa"/>
            <w:tcMar>
              <w:top w:w="80" w:type="dxa"/>
              <w:left w:w="120" w:type="dxa"/>
              <w:bottom w:w="80" w:type="dxa"/>
              <w:right w:w="120" w:type="dxa"/>
            </w:tcMar>
            <w:vAlign w:val="center"/>
          </w:tcPr>
          <w:p w14:paraId="4795FE77" w14:textId="77777777" w:rsidR="00B347CD" w:rsidRPr="00D56308" w:rsidRDefault="00000000">
            <w:pPr>
              <w:spacing w:after="0" w:line="240" w:lineRule="auto"/>
            </w:pPr>
            <w:r w:rsidRPr="00D56308">
              <w:rPr>
                <w:rFonts w:eastAsia="Calibri"/>
                <w:sz w:val="18"/>
              </w:rPr>
              <w:t>data/*.json, config/range.json</w:t>
            </w:r>
          </w:p>
        </w:tc>
        <w:tc>
          <w:tcPr>
            <w:tcW w:w="4480" w:type="dxa"/>
            <w:tcMar>
              <w:top w:w="80" w:type="dxa"/>
              <w:left w:w="120" w:type="dxa"/>
              <w:bottom w:w="80" w:type="dxa"/>
              <w:right w:w="120" w:type="dxa"/>
            </w:tcMar>
            <w:vAlign w:val="center"/>
          </w:tcPr>
          <w:p w14:paraId="604FF0B9" w14:textId="77777777" w:rsidR="00B347CD" w:rsidRPr="00D56308" w:rsidRDefault="00000000">
            <w:pPr>
              <w:spacing w:after="0" w:line="240" w:lineRule="auto"/>
            </w:pPr>
            <w:r w:rsidRPr="00D56308">
              <w:rPr>
                <w:rFonts w:eastAsia="Calibri"/>
                <w:sz w:val="18"/>
              </w:rPr>
              <w:t>Challenge catalogue, contexts, RF settings, telemetry values, and security parameters</w:t>
            </w:r>
          </w:p>
        </w:tc>
      </w:tr>
      <w:tr w:rsidR="00B347CD" w:rsidRPr="00D56308" w14:paraId="6AB24FFC" w14:textId="77777777">
        <w:trPr>
          <w:cantSplit/>
        </w:trPr>
        <w:tc>
          <w:tcPr>
            <w:tcW w:w="1700" w:type="dxa"/>
            <w:shd w:val="clear" w:color="auto" w:fill="F2F4F7"/>
            <w:tcMar>
              <w:top w:w="80" w:type="dxa"/>
              <w:left w:w="120" w:type="dxa"/>
              <w:bottom w:w="80" w:type="dxa"/>
              <w:right w:w="120" w:type="dxa"/>
            </w:tcMar>
            <w:vAlign w:val="center"/>
          </w:tcPr>
          <w:p w14:paraId="33044459" w14:textId="77777777" w:rsidR="00B347CD" w:rsidRPr="00D56308" w:rsidRDefault="00000000">
            <w:pPr>
              <w:spacing w:after="0" w:line="240" w:lineRule="auto"/>
            </w:pPr>
            <w:r w:rsidRPr="00D56308">
              <w:rPr>
                <w:rFonts w:eastAsia="Calibri"/>
                <w:b/>
                <w:sz w:val="18"/>
              </w:rPr>
              <w:t>RF artefacts</w:t>
            </w:r>
          </w:p>
        </w:tc>
        <w:tc>
          <w:tcPr>
            <w:tcW w:w="3180" w:type="dxa"/>
            <w:shd w:val="clear" w:color="auto" w:fill="F2F4F7"/>
            <w:tcMar>
              <w:top w:w="80" w:type="dxa"/>
              <w:left w:w="120" w:type="dxa"/>
              <w:bottom w:w="80" w:type="dxa"/>
              <w:right w:w="120" w:type="dxa"/>
            </w:tcMar>
            <w:vAlign w:val="center"/>
          </w:tcPr>
          <w:p w14:paraId="45BEE944" w14:textId="77777777" w:rsidR="00B347CD" w:rsidRPr="00D56308" w:rsidRDefault="00000000">
            <w:pPr>
              <w:spacing w:after="0" w:line="240" w:lineRule="auto"/>
            </w:pPr>
            <w:r w:rsidRPr="00D56308">
              <w:rPr>
                <w:rFonts w:eastAsia="Calibri"/>
                <w:sz w:val="18"/>
              </w:rPr>
              <w:t>radio/profiles, generator scripts, captures</w:t>
            </w:r>
          </w:p>
        </w:tc>
        <w:tc>
          <w:tcPr>
            <w:tcW w:w="4480" w:type="dxa"/>
            <w:shd w:val="clear" w:color="auto" w:fill="F2F4F7"/>
            <w:tcMar>
              <w:top w:w="80" w:type="dxa"/>
              <w:left w:w="120" w:type="dxa"/>
              <w:bottom w:w="80" w:type="dxa"/>
              <w:right w:w="120" w:type="dxa"/>
            </w:tcMar>
            <w:vAlign w:val="center"/>
          </w:tcPr>
          <w:p w14:paraId="4807B4DD" w14:textId="77777777" w:rsidR="00B347CD" w:rsidRPr="00D56308" w:rsidRDefault="00000000">
            <w:pPr>
              <w:spacing w:after="0" w:line="240" w:lineRule="auto"/>
            </w:pPr>
            <w:r w:rsidRPr="00D56308">
              <w:rPr>
                <w:rFonts w:eastAsia="Calibri"/>
                <w:sz w:val="18"/>
              </w:rPr>
              <w:t>Signal definitions, browser previews, SigMF metadata, and optional IQ samples</w:t>
            </w:r>
          </w:p>
        </w:tc>
      </w:tr>
      <w:tr w:rsidR="00B347CD" w:rsidRPr="00D56308" w14:paraId="613A1B0B" w14:textId="77777777">
        <w:trPr>
          <w:cantSplit/>
        </w:trPr>
        <w:tc>
          <w:tcPr>
            <w:tcW w:w="1700" w:type="dxa"/>
            <w:tcMar>
              <w:top w:w="80" w:type="dxa"/>
              <w:left w:w="120" w:type="dxa"/>
              <w:bottom w:w="80" w:type="dxa"/>
              <w:right w:w="120" w:type="dxa"/>
            </w:tcMar>
            <w:vAlign w:val="center"/>
          </w:tcPr>
          <w:p w14:paraId="55B35E3F" w14:textId="77777777" w:rsidR="00B347CD" w:rsidRPr="00D56308" w:rsidRDefault="00000000">
            <w:pPr>
              <w:spacing w:after="0" w:line="240" w:lineRule="auto"/>
            </w:pPr>
            <w:r w:rsidRPr="00D56308">
              <w:rPr>
                <w:rFonts w:eastAsia="Calibri"/>
                <w:b/>
                <w:sz w:val="18"/>
              </w:rPr>
              <w:t>Cyber artefacts</w:t>
            </w:r>
          </w:p>
        </w:tc>
        <w:tc>
          <w:tcPr>
            <w:tcW w:w="3180" w:type="dxa"/>
            <w:tcMar>
              <w:top w:w="80" w:type="dxa"/>
              <w:left w:w="120" w:type="dxa"/>
              <w:bottom w:w="80" w:type="dxa"/>
              <w:right w:w="120" w:type="dxa"/>
            </w:tcMar>
            <w:vAlign w:val="center"/>
          </w:tcPr>
          <w:p w14:paraId="5D337FB6" w14:textId="77777777" w:rsidR="00B347CD" w:rsidRPr="00D56308" w:rsidRDefault="00000000">
            <w:pPr>
              <w:spacing w:after="0" w:line="240" w:lineRule="auto"/>
            </w:pPr>
            <w:r w:rsidRPr="00D56308">
              <w:rPr>
                <w:rFonts w:eastAsia="Calibri"/>
                <w:sz w:val="18"/>
              </w:rPr>
              <w:t>tools and artifacts directories</w:t>
            </w:r>
          </w:p>
        </w:tc>
        <w:tc>
          <w:tcPr>
            <w:tcW w:w="4480" w:type="dxa"/>
            <w:tcMar>
              <w:top w:w="80" w:type="dxa"/>
              <w:left w:w="120" w:type="dxa"/>
              <w:bottom w:w="80" w:type="dxa"/>
              <w:right w:w="120" w:type="dxa"/>
            </w:tcMar>
            <w:vAlign w:val="center"/>
          </w:tcPr>
          <w:p w14:paraId="1BB74761" w14:textId="77777777" w:rsidR="00B347CD" w:rsidRPr="00D56308" w:rsidRDefault="00000000">
            <w:pPr>
              <w:spacing w:after="0" w:line="240" w:lineRule="auto"/>
            </w:pPr>
            <w:r w:rsidRPr="00D56308">
              <w:rPr>
                <w:rFonts w:eastAsia="Calibri"/>
                <w:sz w:val="18"/>
              </w:rPr>
              <w:t>Telemetry decoding, parser flaws, firmware review, HDL review, fuzzing, and script clients</w:t>
            </w:r>
          </w:p>
        </w:tc>
      </w:tr>
      <w:tr w:rsidR="00B347CD" w:rsidRPr="00D56308" w14:paraId="02484974" w14:textId="77777777">
        <w:trPr>
          <w:cantSplit/>
        </w:trPr>
        <w:tc>
          <w:tcPr>
            <w:tcW w:w="1700" w:type="dxa"/>
            <w:shd w:val="clear" w:color="auto" w:fill="F2F4F7"/>
            <w:tcMar>
              <w:top w:w="80" w:type="dxa"/>
              <w:left w:w="120" w:type="dxa"/>
              <w:bottom w:w="80" w:type="dxa"/>
              <w:right w:w="120" w:type="dxa"/>
            </w:tcMar>
            <w:vAlign w:val="center"/>
          </w:tcPr>
          <w:p w14:paraId="0D2C67CA" w14:textId="77777777" w:rsidR="00B347CD" w:rsidRPr="00D56308" w:rsidRDefault="00000000">
            <w:pPr>
              <w:spacing w:after="0" w:line="240" w:lineRule="auto"/>
            </w:pPr>
            <w:r w:rsidRPr="00D56308">
              <w:rPr>
                <w:rFonts w:eastAsia="Calibri"/>
                <w:b/>
                <w:sz w:val="18"/>
              </w:rPr>
              <w:t>Persistence</w:t>
            </w:r>
          </w:p>
        </w:tc>
        <w:tc>
          <w:tcPr>
            <w:tcW w:w="3180" w:type="dxa"/>
            <w:shd w:val="clear" w:color="auto" w:fill="F2F4F7"/>
            <w:tcMar>
              <w:top w:w="80" w:type="dxa"/>
              <w:left w:w="120" w:type="dxa"/>
              <w:bottom w:w="80" w:type="dxa"/>
              <w:right w:w="120" w:type="dxa"/>
            </w:tcMar>
            <w:vAlign w:val="center"/>
          </w:tcPr>
          <w:p w14:paraId="7B966E58" w14:textId="77777777" w:rsidR="00B347CD" w:rsidRPr="00D56308" w:rsidRDefault="00000000">
            <w:pPr>
              <w:spacing w:after="0" w:line="240" w:lineRule="auto"/>
            </w:pPr>
            <w:r w:rsidRPr="00D56308">
              <w:rPr>
                <w:rFonts w:eastAsia="Calibri"/>
                <w:sz w:val="18"/>
              </w:rPr>
              <w:t>SQLite tolling database</w:t>
            </w:r>
          </w:p>
        </w:tc>
        <w:tc>
          <w:tcPr>
            <w:tcW w:w="4480" w:type="dxa"/>
            <w:shd w:val="clear" w:color="auto" w:fill="F2F4F7"/>
            <w:tcMar>
              <w:top w:w="80" w:type="dxa"/>
              <w:left w:w="120" w:type="dxa"/>
              <w:bottom w:w="80" w:type="dxa"/>
              <w:right w:w="120" w:type="dxa"/>
            </w:tcMar>
            <w:vAlign w:val="center"/>
          </w:tcPr>
          <w:p w14:paraId="55142E7D" w14:textId="77777777" w:rsidR="00B347CD" w:rsidRPr="00D56308" w:rsidRDefault="00000000">
            <w:pPr>
              <w:spacing w:after="0" w:line="240" w:lineRule="auto"/>
            </w:pPr>
            <w:r w:rsidRPr="00D56308">
              <w:rPr>
                <w:rFonts w:eastAsia="Calibri"/>
                <w:sz w:val="18"/>
              </w:rPr>
              <w:t>Synthetic event records for vulnerable and secure query exercises</w:t>
            </w:r>
          </w:p>
        </w:tc>
      </w:tr>
    </w:tbl>
    <w:p w14:paraId="2A36AB07" w14:textId="77777777" w:rsidR="00B347CD" w:rsidRPr="00D56308" w:rsidRDefault="00B347CD">
      <w:pPr>
        <w:spacing w:after="0"/>
      </w:pPr>
    </w:p>
    <w:p w14:paraId="0E4BF4C1" w14:textId="77777777" w:rsidR="00B347CD" w:rsidRPr="00D56308" w:rsidRDefault="00000000">
      <w:pPr>
        <w:pStyle w:val="Heading2"/>
      </w:pPr>
      <w:r w:rsidRPr="00D56308">
        <w:t>4.3 Challenge Progression</w:t>
      </w:r>
    </w:p>
    <w:tbl>
      <w:tblPr>
        <w:tblStyle w:val="TableGrid"/>
        <w:tblW w:w="9360" w:type="dxa"/>
        <w:tblInd w:w="120" w:type="dxa"/>
        <w:tblLayout w:type="fixed"/>
        <w:tblLook w:val="04A0" w:firstRow="1" w:lastRow="0" w:firstColumn="1" w:lastColumn="0" w:noHBand="0" w:noVBand="1"/>
      </w:tblPr>
      <w:tblGrid>
        <w:gridCol w:w="1500"/>
        <w:gridCol w:w="1300"/>
        <w:gridCol w:w="6560"/>
      </w:tblGrid>
      <w:tr w:rsidR="00B347CD" w:rsidRPr="00D56308" w14:paraId="24D88C1D" w14:textId="77777777">
        <w:trPr>
          <w:cantSplit/>
          <w:tblHeader/>
        </w:trPr>
        <w:tc>
          <w:tcPr>
            <w:tcW w:w="1500" w:type="dxa"/>
            <w:shd w:val="clear" w:color="auto" w:fill="2E74B5"/>
            <w:tcMar>
              <w:top w:w="80" w:type="dxa"/>
              <w:left w:w="120" w:type="dxa"/>
              <w:bottom w:w="80" w:type="dxa"/>
              <w:right w:w="120" w:type="dxa"/>
            </w:tcMar>
            <w:vAlign w:val="center"/>
          </w:tcPr>
          <w:p w14:paraId="12F945FD" w14:textId="77777777" w:rsidR="00B347CD" w:rsidRPr="00D56308" w:rsidRDefault="00000000">
            <w:pPr>
              <w:keepNext/>
              <w:spacing w:after="0" w:line="240" w:lineRule="auto"/>
            </w:pPr>
            <w:r w:rsidRPr="00D56308">
              <w:rPr>
                <w:rFonts w:eastAsia="Calibri"/>
                <w:b/>
                <w:color w:val="FFFFFF"/>
                <w:sz w:val="18"/>
              </w:rPr>
              <w:t>Level</w:t>
            </w:r>
          </w:p>
        </w:tc>
        <w:tc>
          <w:tcPr>
            <w:tcW w:w="1300" w:type="dxa"/>
            <w:shd w:val="clear" w:color="auto" w:fill="2E74B5"/>
            <w:tcMar>
              <w:top w:w="80" w:type="dxa"/>
              <w:left w:w="120" w:type="dxa"/>
              <w:bottom w:w="80" w:type="dxa"/>
              <w:right w:w="120" w:type="dxa"/>
            </w:tcMar>
            <w:vAlign w:val="center"/>
          </w:tcPr>
          <w:p w14:paraId="7FFEC563" w14:textId="77777777" w:rsidR="00B347CD" w:rsidRPr="00D56308" w:rsidRDefault="00000000">
            <w:pPr>
              <w:keepNext/>
              <w:spacing w:after="0" w:line="240" w:lineRule="auto"/>
            </w:pPr>
            <w:r w:rsidRPr="00D56308">
              <w:rPr>
                <w:rFonts w:eastAsia="Calibri"/>
                <w:b/>
                <w:color w:val="FFFFFF"/>
                <w:sz w:val="18"/>
              </w:rPr>
              <w:t>Challenges</w:t>
            </w:r>
          </w:p>
        </w:tc>
        <w:tc>
          <w:tcPr>
            <w:tcW w:w="6560" w:type="dxa"/>
            <w:shd w:val="clear" w:color="auto" w:fill="2E74B5"/>
            <w:tcMar>
              <w:top w:w="80" w:type="dxa"/>
              <w:left w:w="120" w:type="dxa"/>
              <w:bottom w:w="80" w:type="dxa"/>
              <w:right w:w="120" w:type="dxa"/>
            </w:tcMar>
            <w:vAlign w:val="center"/>
          </w:tcPr>
          <w:p w14:paraId="6BE755EE" w14:textId="77777777" w:rsidR="00B347CD" w:rsidRPr="00D56308" w:rsidRDefault="00000000">
            <w:pPr>
              <w:keepNext/>
              <w:spacing w:after="0" w:line="240" w:lineRule="auto"/>
            </w:pPr>
            <w:r w:rsidRPr="00D56308">
              <w:rPr>
                <w:rFonts w:eastAsia="Calibri"/>
                <w:b/>
                <w:color w:val="FFFFFF"/>
                <w:sz w:val="18"/>
              </w:rPr>
              <w:t>Representative learning focus</w:t>
            </w:r>
          </w:p>
        </w:tc>
      </w:tr>
      <w:tr w:rsidR="00B347CD" w:rsidRPr="00D56308" w14:paraId="3AA116E7" w14:textId="77777777">
        <w:trPr>
          <w:cantSplit/>
        </w:trPr>
        <w:tc>
          <w:tcPr>
            <w:tcW w:w="1500" w:type="dxa"/>
            <w:tcMar>
              <w:top w:w="80" w:type="dxa"/>
              <w:left w:w="120" w:type="dxa"/>
              <w:bottom w:w="80" w:type="dxa"/>
              <w:right w:w="120" w:type="dxa"/>
            </w:tcMar>
            <w:vAlign w:val="center"/>
          </w:tcPr>
          <w:p w14:paraId="228409BB" w14:textId="77777777" w:rsidR="00B347CD" w:rsidRPr="00D56308" w:rsidRDefault="00000000">
            <w:pPr>
              <w:spacing w:after="0" w:line="240" w:lineRule="auto"/>
            </w:pPr>
            <w:r w:rsidRPr="00D56308">
              <w:rPr>
                <w:rFonts w:eastAsia="Calibri"/>
                <w:b/>
                <w:sz w:val="18"/>
              </w:rPr>
              <w:t>Basic</w:t>
            </w:r>
          </w:p>
        </w:tc>
        <w:tc>
          <w:tcPr>
            <w:tcW w:w="1300" w:type="dxa"/>
            <w:tcMar>
              <w:top w:w="80" w:type="dxa"/>
              <w:left w:w="120" w:type="dxa"/>
              <w:bottom w:w="80" w:type="dxa"/>
              <w:right w:w="120" w:type="dxa"/>
            </w:tcMar>
            <w:vAlign w:val="center"/>
          </w:tcPr>
          <w:p w14:paraId="3E761291" w14:textId="77777777" w:rsidR="00B347CD" w:rsidRPr="00D56308" w:rsidRDefault="00000000">
            <w:pPr>
              <w:spacing w:after="0" w:line="240" w:lineRule="auto"/>
            </w:pPr>
            <w:r w:rsidRPr="00D56308">
              <w:rPr>
                <w:rFonts w:eastAsia="Calibri"/>
                <w:sz w:val="18"/>
              </w:rPr>
              <w:t>8</w:t>
            </w:r>
          </w:p>
        </w:tc>
        <w:tc>
          <w:tcPr>
            <w:tcW w:w="6560" w:type="dxa"/>
            <w:tcMar>
              <w:top w:w="80" w:type="dxa"/>
              <w:left w:w="120" w:type="dxa"/>
              <w:bottom w:w="80" w:type="dxa"/>
              <w:right w:w="120" w:type="dxa"/>
            </w:tcMar>
            <w:vAlign w:val="center"/>
          </w:tcPr>
          <w:p w14:paraId="52B31107" w14:textId="77777777" w:rsidR="00B347CD" w:rsidRPr="00D56308" w:rsidRDefault="00000000">
            <w:pPr>
              <w:spacing w:after="0" w:line="240" w:lineRule="auto"/>
            </w:pPr>
            <w:r w:rsidRPr="00D56308">
              <w:rPr>
                <w:rFonts w:eastAsia="Calibri"/>
                <w:sz w:val="18"/>
              </w:rPr>
              <w:t>Waterfall reading, receiver tuning, OOK/ASK-style decoding, controlled denial of service, and local packet injection</w:t>
            </w:r>
          </w:p>
        </w:tc>
      </w:tr>
      <w:tr w:rsidR="00B347CD" w:rsidRPr="00D56308" w14:paraId="51691A0C" w14:textId="77777777">
        <w:trPr>
          <w:cantSplit/>
        </w:trPr>
        <w:tc>
          <w:tcPr>
            <w:tcW w:w="1500" w:type="dxa"/>
            <w:shd w:val="clear" w:color="auto" w:fill="F2F4F7"/>
            <w:tcMar>
              <w:top w:w="80" w:type="dxa"/>
              <w:left w:w="120" w:type="dxa"/>
              <w:bottom w:w="80" w:type="dxa"/>
              <w:right w:w="120" w:type="dxa"/>
            </w:tcMar>
            <w:vAlign w:val="center"/>
          </w:tcPr>
          <w:p w14:paraId="50F88232" w14:textId="77777777" w:rsidR="00B347CD" w:rsidRPr="00D56308" w:rsidRDefault="00000000">
            <w:pPr>
              <w:spacing w:after="0" w:line="240" w:lineRule="auto"/>
            </w:pPr>
            <w:r w:rsidRPr="00D56308">
              <w:rPr>
                <w:rFonts w:eastAsia="Calibri"/>
                <w:b/>
                <w:sz w:val="18"/>
              </w:rPr>
              <w:t>Moderate</w:t>
            </w:r>
          </w:p>
        </w:tc>
        <w:tc>
          <w:tcPr>
            <w:tcW w:w="1300" w:type="dxa"/>
            <w:shd w:val="clear" w:color="auto" w:fill="F2F4F7"/>
            <w:tcMar>
              <w:top w:w="80" w:type="dxa"/>
              <w:left w:w="120" w:type="dxa"/>
              <w:bottom w:w="80" w:type="dxa"/>
              <w:right w:w="120" w:type="dxa"/>
            </w:tcMar>
            <w:vAlign w:val="center"/>
          </w:tcPr>
          <w:p w14:paraId="68A78FAE" w14:textId="77777777" w:rsidR="00B347CD" w:rsidRPr="00D56308" w:rsidRDefault="00000000">
            <w:pPr>
              <w:spacing w:after="0" w:line="240" w:lineRule="auto"/>
            </w:pPr>
            <w:r w:rsidRPr="00D56308">
              <w:rPr>
                <w:rFonts w:eastAsia="Calibri"/>
                <w:sz w:val="18"/>
              </w:rPr>
              <w:t>6</w:t>
            </w:r>
          </w:p>
        </w:tc>
        <w:tc>
          <w:tcPr>
            <w:tcW w:w="6560" w:type="dxa"/>
            <w:shd w:val="clear" w:color="auto" w:fill="F2F4F7"/>
            <w:tcMar>
              <w:top w:w="80" w:type="dxa"/>
              <w:left w:w="120" w:type="dxa"/>
              <w:bottom w:w="80" w:type="dxa"/>
              <w:right w:w="120" w:type="dxa"/>
            </w:tcMar>
            <w:vAlign w:val="center"/>
          </w:tcPr>
          <w:p w14:paraId="7F3FE60A" w14:textId="77777777" w:rsidR="00B347CD" w:rsidRPr="00D56308" w:rsidRDefault="00000000">
            <w:pPr>
              <w:spacing w:after="0" w:line="240" w:lineRule="auto"/>
            </w:pPr>
            <w:r w:rsidRPr="00D56308">
              <w:rPr>
                <w:rFonts w:eastAsia="Calibri"/>
                <w:sz w:val="18"/>
              </w:rPr>
              <w:t>Frequency-hopping analysis, weak pseudorandom sequences, audio recovery, metadata reverse engineering, and accepted warning messages</w:t>
            </w:r>
          </w:p>
        </w:tc>
      </w:tr>
      <w:tr w:rsidR="00B347CD" w:rsidRPr="00D56308" w14:paraId="506B75F6" w14:textId="77777777">
        <w:trPr>
          <w:cantSplit/>
        </w:trPr>
        <w:tc>
          <w:tcPr>
            <w:tcW w:w="1500" w:type="dxa"/>
            <w:tcMar>
              <w:top w:w="80" w:type="dxa"/>
              <w:left w:w="120" w:type="dxa"/>
              <w:bottom w:w="80" w:type="dxa"/>
              <w:right w:w="120" w:type="dxa"/>
            </w:tcMar>
            <w:vAlign w:val="center"/>
          </w:tcPr>
          <w:p w14:paraId="4819277C" w14:textId="77777777" w:rsidR="00B347CD" w:rsidRPr="00D56308" w:rsidRDefault="00000000">
            <w:pPr>
              <w:spacing w:after="0" w:line="240" w:lineRule="auto"/>
            </w:pPr>
            <w:r w:rsidRPr="00D56308">
              <w:rPr>
                <w:rFonts w:eastAsia="Calibri"/>
                <w:b/>
                <w:sz w:val="18"/>
              </w:rPr>
              <w:t>Advanced</w:t>
            </w:r>
          </w:p>
        </w:tc>
        <w:tc>
          <w:tcPr>
            <w:tcW w:w="1300" w:type="dxa"/>
            <w:tcMar>
              <w:top w:w="80" w:type="dxa"/>
              <w:left w:w="120" w:type="dxa"/>
              <w:bottom w:w="80" w:type="dxa"/>
              <w:right w:w="120" w:type="dxa"/>
            </w:tcMar>
            <w:vAlign w:val="center"/>
          </w:tcPr>
          <w:p w14:paraId="080C93D2" w14:textId="77777777" w:rsidR="00B347CD" w:rsidRPr="00D56308" w:rsidRDefault="00000000">
            <w:pPr>
              <w:spacing w:after="0" w:line="240" w:lineRule="auto"/>
            </w:pPr>
            <w:r w:rsidRPr="00D56308">
              <w:rPr>
                <w:rFonts w:eastAsia="Calibri"/>
                <w:sz w:val="18"/>
              </w:rPr>
              <w:t>8</w:t>
            </w:r>
          </w:p>
        </w:tc>
        <w:tc>
          <w:tcPr>
            <w:tcW w:w="6560" w:type="dxa"/>
            <w:tcMar>
              <w:top w:w="80" w:type="dxa"/>
              <w:left w:w="120" w:type="dxa"/>
              <w:bottom w:w="80" w:type="dxa"/>
              <w:right w:w="120" w:type="dxa"/>
            </w:tcMar>
            <w:vAlign w:val="center"/>
          </w:tcPr>
          <w:p w14:paraId="658F959C" w14:textId="77777777" w:rsidR="00B347CD" w:rsidRPr="00D56308" w:rsidRDefault="00000000">
            <w:pPr>
              <w:spacing w:after="0" w:line="240" w:lineRule="auto"/>
            </w:pPr>
            <w:r w:rsidRPr="00D56308">
              <w:rPr>
                <w:rFonts w:eastAsia="Calibri"/>
                <w:sz w:val="18"/>
              </w:rPr>
              <w:t>Embedded-code review, HDL flaws, parser abuse, controlled code-execution-style behaviour, fuzzing, spoofing, and system-state manipulation</w:t>
            </w:r>
          </w:p>
        </w:tc>
      </w:tr>
    </w:tbl>
    <w:p w14:paraId="4599349C" w14:textId="77777777" w:rsidR="00B347CD" w:rsidRPr="00D56308" w:rsidRDefault="00B347CD">
      <w:pPr>
        <w:spacing w:after="0"/>
      </w:pPr>
    </w:p>
    <w:p w14:paraId="21842123" w14:textId="77777777" w:rsidR="00B347CD" w:rsidRPr="00D56308" w:rsidRDefault="00000000">
      <w:r w:rsidRPr="00D56308">
        <w:rPr>
          <w:rFonts w:eastAsia="Calibri"/>
        </w:rPr>
        <w:t>The challenge catalogue is also divided by learning track: eight signal-analysis tasks, nine cyber tasks, and five CEMA tasks. The six contexts provide repeated concepts at increasing complexity while changing the operational story and evidence.</w:t>
      </w:r>
    </w:p>
    <w:p w14:paraId="64F7F4BC" w14:textId="77777777" w:rsidR="00B347CD" w:rsidRPr="00D56308" w:rsidRDefault="00000000">
      <w:pPr>
        <w:pStyle w:val="Heading2"/>
      </w:pPr>
      <w:r w:rsidRPr="00D56308">
        <w:t>4.4 RF Workbench and Artefact Pipeline</w:t>
      </w:r>
    </w:p>
    <w:p w14:paraId="1774B2E8" w14:textId="77777777" w:rsidR="00B347CD" w:rsidRPr="00D56308" w:rsidRDefault="00000000">
      <w:r w:rsidRPr="00D56308">
        <w:rPr>
          <w:rFonts w:eastAsia="Calibri"/>
        </w:rPr>
        <w:t>The browser analyser displays a streaming 1024-bin waterfall and spectrum trace. Learners can adjust centre frequency, span, gain, squelch, demodulation, colour palette, playback rate, noise floor, and dynamic range. Cursor callouts and time-series views support closer inspection, while task-linked captures update the displayed signal. Transmitted training waveforms are visually distinguished from received data and remain inside the simulation.</w:t>
      </w:r>
    </w:p>
    <w:p w14:paraId="73002341" w14:textId="77777777" w:rsidR="00B347CD" w:rsidRPr="00D56308" w:rsidRDefault="00000000">
      <w:r w:rsidRPr="00D56308">
        <w:rPr>
          <w:rFonts w:eastAsia="Calibri"/>
        </w:rPr>
        <w:t>Editable signal parameters are stored in radio/profiles/training_signals.json. The generation script exports compact capture JSON and can also write deterministic complex-float IQ data with SigMF metadata. GNU Radio remains the intended higher-fidelity generator, but the stable profile schema allows the browser and documentation to remain usable before that dependency is installed.</w:t>
      </w:r>
    </w:p>
    <w:p w14:paraId="67555E8F" w14:textId="77777777" w:rsidR="00B347CD" w:rsidRPr="00D56308" w:rsidRDefault="00000000">
      <w:pPr>
        <w:pStyle w:val="Heading2"/>
      </w:pPr>
      <w:r w:rsidRPr="00D56308">
        <w:t>4.5 Backend and Security Controls</w:t>
      </w:r>
    </w:p>
    <w:p w14:paraId="51198E28" w14:textId="77777777" w:rsidR="00B347CD" w:rsidRPr="00D56308" w:rsidRDefault="00000000">
      <w:r w:rsidRPr="00D56308">
        <w:rPr>
          <w:rFonts w:eastAsia="Calibri"/>
        </w:rPr>
        <w:t xml:space="preserve">The Python backend uses ThreadingHTTPServer and standard-library components. A random server secret is combined with the session identifier, purpose, and challenge identifier using HMAC-SHA256. This produces per-session identities, nonces, and flags, so two browser sessions do not share valid </w:t>
      </w:r>
      <w:r w:rsidRPr="00D56308">
        <w:rPr>
          <w:rFonts w:eastAsia="Calibri"/>
        </w:rPr>
        <w:lastRenderedPageBreak/>
        <w:t>answers. Flags are returned only after the relevant receiver, decoder, target, service, effect, or console condition succeeds.</w:t>
      </w:r>
    </w:p>
    <w:tbl>
      <w:tblPr>
        <w:tblStyle w:val="TableGrid"/>
        <w:tblW w:w="9360" w:type="dxa"/>
        <w:tblInd w:w="120" w:type="dxa"/>
        <w:tblLayout w:type="fixed"/>
        <w:tblLook w:val="04A0" w:firstRow="1" w:lastRow="0" w:firstColumn="1" w:lastColumn="0" w:noHBand="0" w:noVBand="1"/>
      </w:tblPr>
      <w:tblGrid>
        <w:gridCol w:w="2200"/>
        <w:gridCol w:w="3480"/>
        <w:gridCol w:w="3680"/>
      </w:tblGrid>
      <w:tr w:rsidR="00B347CD" w:rsidRPr="00D56308" w14:paraId="4EEEA604" w14:textId="77777777">
        <w:trPr>
          <w:cantSplit/>
          <w:tblHeader/>
        </w:trPr>
        <w:tc>
          <w:tcPr>
            <w:tcW w:w="2200" w:type="dxa"/>
            <w:shd w:val="clear" w:color="auto" w:fill="2E74B5"/>
            <w:tcMar>
              <w:top w:w="80" w:type="dxa"/>
              <w:left w:w="120" w:type="dxa"/>
              <w:bottom w:w="80" w:type="dxa"/>
              <w:right w:w="120" w:type="dxa"/>
            </w:tcMar>
            <w:vAlign w:val="center"/>
          </w:tcPr>
          <w:p w14:paraId="5C6F782F" w14:textId="77777777" w:rsidR="00B347CD" w:rsidRPr="00D56308" w:rsidRDefault="00000000">
            <w:pPr>
              <w:keepNext/>
              <w:spacing w:after="0" w:line="240" w:lineRule="auto"/>
            </w:pPr>
            <w:r w:rsidRPr="00D56308">
              <w:rPr>
                <w:rFonts w:eastAsia="Calibri"/>
                <w:b/>
                <w:color w:val="FFFFFF"/>
                <w:sz w:val="18"/>
              </w:rPr>
              <w:t>Training weakness</w:t>
            </w:r>
          </w:p>
        </w:tc>
        <w:tc>
          <w:tcPr>
            <w:tcW w:w="3480" w:type="dxa"/>
            <w:shd w:val="clear" w:color="auto" w:fill="2E74B5"/>
            <w:tcMar>
              <w:top w:w="80" w:type="dxa"/>
              <w:left w:w="120" w:type="dxa"/>
              <w:bottom w:w="80" w:type="dxa"/>
              <w:right w:w="120" w:type="dxa"/>
            </w:tcMar>
            <w:vAlign w:val="center"/>
          </w:tcPr>
          <w:p w14:paraId="3B62933E" w14:textId="77777777" w:rsidR="00B347CD" w:rsidRPr="00D56308" w:rsidRDefault="00000000">
            <w:pPr>
              <w:keepNext/>
              <w:spacing w:after="0" w:line="240" w:lineRule="auto"/>
            </w:pPr>
            <w:r w:rsidRPr="00D56308">
              <w:rPr>
                <w:rFonts w:eastAsia="Calibri"/>
                <w:b/>
                <w:color w:val="FFFFFF"/>
                <w:sz w:val="18"/>
              </w:rPr>
              <w:t>Attack Mode</w:t>
            </w:r>
          </w:p>
        </w:tc>
        <w:tc>
          <w:tcPr>
            <w:tcW w:w="3680" w:type="dxa"/>
            <w:shd w:val="clear" w:color="auto" w:fill="2E74B5"/>
            <w:tcMar>
              <w:top w:w="80" w:type="dxa"/>
              <w:left w:w="120" w:type="dxa"/>
              <w:bottom w:w="80" w:type="dxa"/>
              <w:right w:w="120" w:type="dxa"/>
            </w:tcMar>
            <w:vAlign w:val="center"/>
          </w:tcPr>
          <w:p w14:paraId="4FB78824" w14:textId="77777777" w:rsidR="00B347CD" w:rsidRPr="00D56308" w:rsidRDefault="00000000">
            <w:pPr>
              <w:keepNext/>
              <w:spacing w:after="0" w:line="240" w:lineRule="auto"/>
            </w:pPr>
            <w:r w:rsidRPr="00D56308">
              <w:rPr>
                <w:rFonts w:eastAsia="Calibri"/>
                <w:b/>
                <w:color w:val="FFFFFF"/>
                <w:sz w:val="18"/>
              </w:rPr>
              <w:t>Secure comparison</w:t>
            </w:r>
          </w:p>
        </w:tc>
      </w:tr>
      <w:tr w:rsidR="00B347CD" w:rsidRPr="00D56308" w14:paraId="21A90921" w14:textId="77777777">
        <w:trPr>
          <w:cantSplit/>
        </w:trPr>
        <w:tc>
          <w:tcPr>
            <w:tcW w:w="2200" w:type="dxa"/>
            <w:tcMar>
              <w:top w:w="80" w:type="dxa"/>
              <w:left w:w="120" w:type="dxa"/>
              <w:bottom w:w="80" w:type="dxa"/>
              <w:right w:w="120" w:type="dxa"/>
            </w:tcMar>
            <w:vAlign w:val="center"/>
          </w:tcPr>
          <w:p w14:paraId="3463D899" w14:textId="77777777" w:rsidR="00B347CD" w:rsidRPr="00D56308" w:rsidRDefault="00000000">
            <w:pPr>
              <w:spacing w:after="0" w:line="240" w:lineRule="auto"/>
            </w:pPr>
            <w:commentRangeStart w:id="1"/>
            <w:r w:rsidRPr="00D56308">
              <w:rPr>
                <w:rFonts w:eastAsia="Calibri"/>
                <w:b/>
                <w:sz w:val="18"/>
              </w:rPr>
              <w:t>SQL injection</w:t>
            </w:r>
          </w:p>
        </w:tc>
        <w:tc>
          <w:tcPr>
            <w:tcW w:w="3480" w:type="dxa"/>
            <w:tcMar>
              <w:top w:w="80" w:type="dxa"/>
              <w:left w:w="120" w:type="dxa"/>
              <w:bottom w:w="80" w:type="dxa"/>
              <w:right w:w="120" w:type="dxa"/>
            </w:tcMar>
            <w:vAlign w:val="center"/>
          </w:tcPr>
          <w:p w14:paraId="757923B2" w14:textId="77777777" w:rsidR="00B347CD" w:rsidRPr="00D56308" w:rsidRDefault="00000000">
            <w:pPr>
              <w:spacing w:after="0" w:line="240" w:lineRule="auto"/>
            </w:pPr>
            <w:r w:rsidRPr="00D56308">
              <w:rPr>
                <w:rFonts w:eastAsia="Calibri"/>
                <w:sz w:val="18"/>
              </w:rPr>
              <w:t>User input reaches a concatenated event query</w:t>
            </w:r>
          </w:p>
        </w:tc>
        <w:tc>
          <w:tcPr>
            <w:tcW w:w="3680" w:type="dxa"/>
            <w:tcMar>
              <w:top w:w="80" w:type="dxa"/>
              <w:left w:w="120" w:type="dxa"/>
              <w:bottom w:w="80" w:type="dxa"/>
              <w:right w:w="120" w:type="dxa"/>
            </w:tcMar>
            <w:vAlign w:val="center"/>
          </w:tcPr>
          <w:p w14:paraId="435B53C2" w14:textId="77777777" w:rsidR="00B347CD" w:rsidRPr="00D56308" w:rsidRDefault="00000000">
            <w:pPr>
              <w:spacing w:after="0" w:line="240" w:lineRule="auto"/>
            </w:pPr>
            <w:r w:rsidRPr="00D56308">
              <w:rPr>
                <w:rFonts w:eastAsia="Calibri"/>
                <w:sz w:val="18"/>
              </w:rPr>
              <w:t>Parameterized query endpoint</w:t>
            </w:r>
            <w:commentRangeEnd w:id="1"/>
            <w:r w:rsidR="00631BAD" w:rsidRPr="00D56308">
              <w:rPr>
                <w:rStyle w:val="CommentReference"/>
                <w:sz w:val="22"/>
                <w:szCs w:val="22"/>
              </w:rPr>
              <w:commentReference w:id="1"/>
            </w:r>
          </w:p>
        </w:tc>
      </w:tr>
      <w:tr w:rsidR="00B347CD" w:rsidRPr="00D56308" w14:paraId="47532097" w14:textId="77777777">
        <w:trPr>
          <w:cantSplit/>
        </w:trPr>
        <w:tc>
          <w:tcPr>
            <w:tcW w:w="2200" w:type="dxa"/>
            <w:shd w:val="clear" w:color="auto" w:fill="F2F4F7"/>
            <w:tcMar>
              <w:top w:w="80" w:type="dxa"/>
              <w:left w:w="120" w:type="dxa"/>
              <w:bottom w:w="80" w:type="dxa"/>
              <w:right w:w="120" w:type="dxa"/>
            </w:tcMar>
            <w:vAlign w:val="center"/>
          </w:tcPr>
          <w:p w14:paraId="6CCFEDAF" w14:textId="77777777" w:rsidR="00B347CD" w:rsidRPr="00D56308" w:rsidRDefault="00000000">
            <w:pPr>
              <w:spacing w:after="0" w:line="240" w:lineRule="auto"/>
            </w:pPr>
            <w:r w:rsidRPr="00D56308">
              <w:rPr>
                <w:rFonts w:eastAsia="Calibri"/>
                <w:b/>
                <w:sz w:val="18"/>
              </w:rPr>
              <w:t>Telemetry replay</w:t>
            </w:r>
          </w:p>
        </w:tc>
        <w:tc>
          <w:tcPr>
            <w:tcW w:w="3480" w:type="dxa"/>
            <w:shd w:val="clear" w:color="auto" w:fill="F2F4F7"/>
            <w:tcMar>
              <w:top w:w="80" w:type="dxa"/>
              <w:left w:w="120" w:type="dxa"/>
              <w:bottom w:w="80" w:type="dxa"/>
              <w:right w:w="120" w:type="dxa"/>
            </w:tcMar>
            <w:vAlign w:val="center"/>
          </w:tcPr>
          <w:p w14:paraId="7FDE4356" w14:textId="77777777" w:rsidR="00B347CD" w:rsidRPr="00D56308" w:rsidRDefault="00000000">
            <w:pPr>
              <w:spacing w:after="0" w:line="240" w:lineRule="auto"/>
            </w:pPr>
            <w:r w:rsidRPr="00D56308">
              <w:rPr>
                <w:rFonts w:eastAsia="Calibri"/>
                <w:sz w:val="18"/>
              </w:rPr>
              <w:t>Captured values can be reused</w:t>
            </w:r>
          </w:p>
        </w:tc>
        <w:tc>
          <w:tcPr>
            <w:tcW w:w="3680" w:type="dxa"/>
            <w:shd w:val="clear" w:color="auto" w:fill="F2F4F7"/>
            <w:tcMar>
              <w:top w:w="80" w:type="dxa"/>
              <w:left w:w="120" w:type="dxa"/>
              <w:bottom w:w="80" w:type="dxa"/>
              <w:right w:w="120" w:type="dxa"/>
            </w:tcMar>
            <w:vAlign w:val="center"/>
          </w:tcPr>
          <w:p w14:paraId="0CCA48AF" w14:textId="77777777" w:rsidR="00B347CD" w:rsidRPr="00D56308" w:rsidRDefault="00000000">
            <w:pPr>
              <w:spacing w:after="0" w:line="240" w:lineRule="auto"/>
            </w:pPr>
            <w:r w:rsidRPr="00D56308">
              <w:rPr>
                <w:rFonts w:eastAsia="Calibri"/>
                <w:sz w:val="18"/>
              </w:rPr>
              <w:t>HMAC verification, freshness window, and nonce rejection</w:t>
            </w:r>
          </w:p>
        </w:tc>
      </w:tr>
      <w:tr w:rsidR="00B347CD" w:rsidRPr="00D56308" w14:paraId="2582484A" w14:textId="77777777">
        <w:trPr>
          <w:cantSplit/>
        </w:trPr>
        <w:tc>
          <w:tcPr>
            <w:tcW w:w="2200" w:type="dxa"/>
            <w:tcMar>
              <w:top w:w="80" w:type="dxa"/>
              <w:left w:w="120" w:type="dxa"/>
              <w:bottom w:w="80" w:type="dxa"/>
              <w:right w:w="120" w:type="dxa"/>
            </w:tcMar>
            <w:vAlign w:val="center"/>
          </w:tcPr>
          <w:p w14:paraId="5B16117A" w14:textId="77777777" w:rsidR="00B347CD" w:rsidRPr="00D56308" w:rsidRDefault="00000000">
            <w:pPr>
              <w:spacing w:after="0" w:line="240" w:lineRule="auto"/>
            </w:pPr>
            <w:r w:rsidRPr="00D56308">
              <w:rPr>
                <w:rFonts w:eastAsia="Calibri"/>
                <w:b/>
                <w:sz w:val="18"/>
              </w:rPr>
              <w:t>Business-logic abuse</w:t>
            </w:r>
          </w:p>
        </w:tc>
        <w:tc>
          <w:tcPr>
            <w:tcW w:w="3480" w:type="dxa"/>
            <w:tcMar>
              <w:top w:w="80" w:type="dxa"/>
              <w:left w:w="120" w:type="dxa"/>
              <w:bottom w:w="80" w:type="dxa"/>
              <w:right w:w="120" w:type="dxa"/>
            </w:tcMar>
            <w:vAlign w:val="center"/>
          </w:tcPr>
          <w:p w14:paraId="78A9603D" w14:textId="77777777" w:rsidR="00B347CD" w:rsidRPr="00D56308" w:rsidRDefault="00000000">
            <w:pPr>
              <w:spacing w:after="0" w:line="240" w:lineRule="auto"/>
            </w:pPr>
            <w:r w:rsidRPr="00D56308">
              <w:rPr>
                <w:rFonts w:eastAsia="Calibri"/>
                <w:sz w:val="18"/>
              </w:rPr>
              <w:t>A maintenance schedule can produce a zero-price quote</w:t>
            </w:r>
          </w:p>
        </w:tc>
        <w:tc>
          <w:tcPr>
            <w:tcW w:w="3680" w:type="dxa"/>
            <w:tcMar>
              <w:top w:w="80" w:type="dxa"/>
              <w:left w:w="120" w:type="dxa"/>
              <w:bottom w:w="80" w:type="dxa"/>
              <w:right w:w="120" w:type="dxa"/>
            </w:tcMar>
            <w:vAlign w:val="center"/>
          </w:tcPr>
          <w:p w14:paraId="14DE0C15" w14:textId="77777777" w:rsidR="00B347CD" w:rsidRPr="00D56308" w:rsidRDefault="00000000">
            <w:pPr>
              <w:spacing w:after="0" w:line="240" w:lineRule="auto"/>
            </w:pPr>
            <w:r w:rsidRPr="00D56308">
              <w:rPr>
                <w:rFonts w:eastAsia="Calibri"/>
                <w:sz w:val="18"/>
              </w:rPr>
              <w:t>Server-side schedule authorisation</w:t>
            </w:r>
          </w:p>
        </w:tc>
      </w:tr>
      <w:tr w:rsidR="00B347CD" w:rsidRPr="00D56308" w14:paraId="7CB6E533" w14:textId="77777777">
        <w:trPr>
          <w:cantSplit/>
        </w:trPr>
        <w:tc>
          <w:tcPr>
            <w:tcW w:w="2200" w:type="dxa"/>
            <w:shd w:val="clear" w:color="auto" w:fill="F2F4F7"/>
            <w:tcMar>
              <w:top w:w="80" w:type="dxa"/>
              <w:left w:w="120" w:type="dxa"/>
              <w:bottom w:w="80" w:type="dxa"/>
              <w:right w:w="120" w:type="dxa"/>
            </w:tcMar>
            <w:vAlign w:val="center"/>
          </w:tcPr>
          <w:p w14:paraId="121BFD60" w14:textId="77777777" w:rsidR="00B347CD" w:rsidRPr="00D56308" w:rsidRDefault="00000000">
            <w:pPr>
              <w:spacing w:after="0" w:line="240" w:lineRule="auto"/>
            </w:pPr>
            <w:r w:rsidRPr="00D56308">
              <w:rPr>
                <w:rFonts w:eastAsia="Calibri"/>
                <w:b/>
                <w:sz w:val="18"/>
              </w:rPr>
              <w:t>Stored/DOM XSS</w:t>
            </w:r>
          </w:p>
        </w:tc>
        <w:tc>
          <w:tcPr>
            <w:tcW w:w="3480" w:type="dxa"/>
            <w:shd w:val="clear" w:color="auto" w:fill="F2F4F7"/>
            <w:tcMar>
              <w:top w:w="80" w:type="dxa"/>
              <w:left w:w="120" w:type="dxa"/>
              <w:bottom w:w="80" w:type="dxa"/>
              <w:right w:w="120" w:type="dxa"/>
            </w:tcMar>
            <w:vAlign w:val="center"/>
          </w:tcPr>
          <w:p w14:paraId="56D41215" w14:textId="77777777" w:rsidR="00B347CD" w:rsidRPr="00D56308" w:rsidRDefault="00000000">
            <w:pPr>
              <w:spacing w:after="0" w:line="240" w:lineRule="auto"/>
            </w:pPr>
            <w:r w:rsidRPr="00D56308">
              <w:rPr>
                <w:rFonts w:eastAsia="Calibri"/>
                <w:sz w:val="18"/>
              </w:rPr>
              <w:t>RF-origin operator note is rendered as HTML</w:t>
            </w:r>
          </w:p>
        </w:tc>
        <w:tc>
          <w:tcPr>
            <w:tcW w:w="3680" w:type="dxa"/>
            <w:shd w:val="clear" w:color="auto" w:fill="F2F4F7"/>
            <w:tcMar>
              <w:top w:w="80" w:type="dxa"/>
              <w:left w:w="120" w:type="dxa"/>
              <w:bottom w:w="80" w:type="dxa"/>
              <w:right w:w="120" w:type="dxa"/>
            </w:tcMar>
            <w:vAlign w:val="center"/>
          </w:tcPr>
          <w:p w14:paraId="20C6910A" w14:textId="77777777" w:rsidR="00B347CD" w:rsidRPr="00D56308" w:rsidRDefault="00000000">
            <w:pPr>
              <w:spacing w:after="0" w:line="240" w:lineRule="auto"/>
            </w:pPr>
            <w:r w:rsidRPr="00D56308">
              <w:rPr>
                <w:rFonts w:eastAsia="Calibri"/>
                <w:sz w:val="18"/>
              </w:rPr>
              <w:t>Untrusted note is rendered as text</w:t>
            </w:r>
          </w:p>
        </w:tc>
      </w:tr>
      <w:tr w:rsidR="00B347CD" w:rsidRPr="00D56308" w14:paraId="5692926E" w14:textId="77777777">
        <w:trPr>
          <w:cantSplit/>
        </w:trPr>
        <w:tc>
          <w:tcPr>
            <w:tcW w:w="2200" w:type="dxa"/>
            <w:tcMar>
              <w:top w:w="80" w:type="dxa"/>
              <w:left w:w="120" w:type="dxa"/>
              <w:bottom w:w="80" w:type="dxa"/>
              <w:right w:w="120" w:type="dxa"/>
            </w:tcMar>
            <w:vAlign w:val="center"/>
          </w:tcPr>
          <w:p w14:paraId="0F83DB0E" w14:textId="77777777" w:rsidR="00B347CD" w:rsidRPr="00D56308" w:rsidRDefault="00000000">
            <w:pPr>
              <w:spacing w:after="0" w:line="240" w:lineRule="auto"/>
            </w:pPr>
            <w:r w:rsidRPr="00D56308">
              <w:rPr>
                <w:rFonts w:eastAsia="Calibri"/>
                <w:b/>
                <w:sz w:val="18"/>
              </w:rPr>
              <w:t>Parser memory risk</w:t>
            </w:r>
          </w:p>
        </w:tc>
        <w:tc>
          <w:tcPr>
            <w:tcW w:w="3480" w:type="dxa"/>
            <w:tcMar>
              <w:top w:w="80" w:type="dxa"/>
              <w:left w:w="120" w:type="dxa"/>
              <w:bottom w:w="80" w:type="dxa"/>
              <w:right w:w="120" w:type="dxa"/>
            </w:tcMar>
            <w:vAlign w:val="center"/>
          </w:tcPr>
          <w:p w14:paraId="50774F93" w14:textId="77777777" w:rsidR="00B347CD" w:rsidRPr="00D56308" w:rsidRDefault="00000000">
            <w:pPr>
              <w:spacing w:after="0" w:line="240" w:lineRule="auto"/>
            </w:pPr>
            <w:r w:rsidRPr="00D56308">
              <w:rPr>
                <w:rFonts w:eastAsia="Calibri"/>
                <w:sz w:val="18"/>
              </w:rPr>
              <w:t>Vulnerable C parser accepts unsafe lengths</w:t>
            </w:r>
          </w:p>
        </w:tc>
        <w:tc>
          <w:tcPr>
            <w:tcW w:w="3680" w:type="dxa"/>
            <w:tcMar>
              <w:top w:w="80" w:type="dxa"/>
              <w:left w:w="120" w:type="dxa"/>
              <w:bottom w:w="80" w:type="dxa"/>
              <w:right w:w="120" w:type="dxa"/>
            </w:tcMar>
            <w:vAlign w:val="center"/>
          </w:tcPr>
          <w:p w14:paraId="0C3489AE" w14:textId="77777777" w:rsidR="00B347CD" w:rsidRPr="00D56308" w:rsidRDefault="00000000">
            <w:pPr>
              <w:spacing w:after="0" w:line="240" w:lineRule="auto"/>
            </w:pPr>
            <w:r w:rsidRPr="00D56308">
              <w:rPr>
                <w:rFonts w:eastAsia="Calibri"/>
                <w:sz w:val="18"/>
              </w:rPr>
              <w:t>Bounded parser variant demonstrates defensive handling</w:t>
            </w:r>
          </w:p>
        </w:tc>
      </w:tr>
    </w:tbl>
    <w:p w14:paraId="500864F8" w14:textId="77777777" w:rsidR="00B347CD" w:rsidRPr="00D56308" w:rsidRDefault="00B347CD">
      <w:pPr>
        <w:spacing w:after="0"/>
      </w:pPr>
    </w:p>
    <w:p w14:paraId="6D166438" w14:textId="77777777" w:rsidR="00B347CD" w:rsidRPr="00D56308" w:rsidRDefault="00000000">
      <w:pPr>
        <w:pStyle w:val="Heading1"/>
      </w:pPr>
      <w:r w:rsidRPr="00D56308">
        <w:t>5. Evaluation and Results</w:t>
      </w:r>
    </w:p>
    <w:p w14:paraId="004D8CAC" w14:textId="777BB4AB" w:rsidR="009C0720" w:rsidRDefault="009C0720" w:rsidP="009C0720">
      <w:pPr>
        <w:pStyle w:val="Heading2"/>
      </w:pPr>
      <w:r w:rsidRPr="00D56308">
        <w:t xml:space="preserve">5.2 </w:t>
      </w:r>
      <w:r>
        <w:t>CTF Task Concepts and Technical Implementation</w:t>
      </w:r>
    </w:p>
    <w:p w14:paraId="22C08318" w14:textId="77777777" w:rsidR="009C0720" w:rsidRPr="009C0720" w:rsidRDefault="009C0720" w:rsidP="009C0720"/>
    <w:p w14:paraId="36C32FD3" w14:textId="77777777" w:rsidR="00B347CD" w:rsidRPr="00D56308" w:rsidRDefault="00000000">
      <w:pPr>
        <w:pStyle w:val="Heading2"/>
      </w:pPr>
      <w:r w:rsidRPr="00D56308">
        <w:t>5.2 Achieved Outcomes</w:t>
      </w:r>
    </w:p>
    <w:p w14:paraId="790E78AE" w14:textId="77777777" w:rsidR="00B347CD" w:rsidRPr="00D56308" w:rsidRDefault="00000000">
      <w:pPr>
        <w:pStyle w:val="ReportBullet"/>
        <w:numPr>
          <w:ilvl w:val="0"/>
          <w:numId w:val="1"/>
        </w:numPr>
      </w:pPr>
      <w:r w:rsidRPr="00D56308">
        <w:rPr>
          <w:rFonts w:eastAsia="Calibri"/>
        </w:rPr>
        <w:t>The project delivers a runnable local environment rather than only a set of written challenge ideas.</w:t>
      </w:r>
    </w:p>
    <w:p w14:paraId="3B38B2E8" w14:textId="77777777" w:rsidR="00B347CD" w:rsidRPr="00D56308" w:rsidRDefault="00000000">
      <w:pPr>
        <w:pStyle w:val="ReportBullet"/>
        <w:numPr>
          <w:ilvl w:val="0"/>
          <w:numId w:val="1"/>
        </w:numPr>
      </w:pPr>
      <w:r w:rsidRPr="00D56308">
        <w:rPr>
          <w:rFonts w:eastAsia="Calibri"/>
        </w:rPr>
        <w:t>The challenge catalogue covers acquisition, decoding, interference, injection, reverse engineering, fuzzing, parser weaknesses, backend trust, and defensive controls.</w:t>
      </w:r>
    </w:p>
    <w:p w14:paraId="09344653" w14:textId="77777777" w:rsidR="00B347CD" w:rsidRPr="00D56308" w:rsidRDefault="00000000">
      <w:pPr>
        <w:pStyle w:val="ReportBullet"/>
        <w:numPr>
          <w:ilvl w:val="0"/>
          <w:numId w:val="1"/>
        </w:numPr>
      </w:pPr>
      <w:r w:rsidRPr="00D56308">
        <w:rPr>
          <w:rFonts w:eastAsia="Calibri"/>
        </w:rPr>
        <w:t>Session-bound flags reduce answer sharing between browser sessions and connect rewards to server-observed success conditions.</w:t>
      </w:r>
    </w:p>
    <w:p w14:paraId="357AA20A" w14:textId="77777777" w:rsidR="00B347CD" w:rsidRPr="00D56308" w:rsidRDefault="00000000">
      <w:pPr>
        <w:pStyle w:val="ReportBullet"/>
        <w:numPr>
          <w:ilvl w:val="0"/>
          <w:numId w:val="1"/>
        </w:numPr>
      </w:pPr>
      <w:r w:rsidRPr="00D56308">
        <w:rPr>
          <w:rFonts w:eastAsia="Calibri"/>
        </w:rPr>
        <w:t>Attack/Secure mode provides a direct comparison between vulnerable implementation choices and practical mitigations.</w:t>
      </w:r>
    </w:p>
    <w:p w14:paraId="3CA722D7" w14:textId="77777777" w:rsidR="00B347CD" w:rsidRPr="00D56308" w:rsidRDefault="00000000">
      <w:pPr>
        <w:pStyle w:val="ReportBullet"/>
        <w:numPr>
          <w:ilvl w:val="0"/>
          <w:numId w:val="1"/>
        </w:numPr>
      </w:pPr>
      <w:r w:rsidRPr="00D56308">
        <w:rPr>
          <w:rFonts w:eastAsia="Calibri"/>
        </w:rPr>
        <w:t>RF artefacts and local cyber tools provide evidence that can be inspected outside the browser interface.</w:t>
      </w:r>
    </w:p>
    <w:p w14:paraId="72F05756" w14:textId="77777777" w:rsidR="00B347CD" w:rsidRPr="00D56308" w:rsidRDefault="00000000">
      <w:pPr>
        <w:pStyle w:val="Heading2"/>
      </w:pPr>
      <w:r w:rsidRPr="00D56308">
        <w:t>5.3 Limitations</w:t>
      </w:r>
    </w:p>
    <w:p w14:paraId="09537827" w14:textId="77777777" w:rsidR="00B347CD" w:rsidRPr="00D56308" w:rsidRDefault="00000000">
      <w:r w:rsidRPr="00D56308">
        <w:rPr>
          <w:rFonts w:eastAsia="Calibri"/>
        </w:rPr>
        <w:t>The validation above establishes structural consistency, not full correctness. A complete evaluation still requires end-to-end challenge walkthroughs, browser compatibility checks, negative tests for rejected solutions, and structured participant feedback. The generated RF signals are designed for teaching clarity; they have not been quantitatively compared with calibrated SDR captures for timing, propagation, hardware impairment, or demodulation fidelity. Secure Mode demonstrates training-scale controls but is not a production security certification.</w:t>
      </w:r>
    </w:p>
    <w:p w14:paraId="62353806" w14:textId="77777777" w:rsidR="00B347CD" w:rsidRPr="00D56308" w:rsidRDefault="00000000">
      <w:pPr>
        <w:pStyle w:val="Heading1"/>
      </w:pPr>
      <w:r w:rsidRPr="00D56308">
        <w:lastRenderedPageBreak/>
        <w:t>6. Discussion and Reflection</w:t>
      </w:r>
    </w:p>
    <w:p w14:paraId="2EB31F70" w14:textId="77777777" w:rsidR="00B347CD" w:rsidRPr="00D56308" w:rsidRDefault="00000000">
      <w:pPr>
        <w:pStyle w:val="Heading2"/>
      </w:pPr>
      <w:r w:rsidRPr="00D56308">
        <w:t>6.1 Key Design Challenges</w:t>
      </w:r>
    </w:p>
    <w:p w14:paraId="28C9DCB0" w14:textId="77777777" w:rsidR="00B347CD" w:rsidRPr="00D56308" w:rsidRDefault="00000000">
      <w:r w:rsidRPr="00D56308">
        <w:rPr>
          <w:rFonts w:eastAsia="Calibri"/>
        </w:rPr>
        <w:t>The central challenge was balancing realism, accessibility, and safety. Requiring GNU Radio and SDR hardware would improve physical fidelity but would also create setup barriers and increase the risk of unsafe use. The simulation-first design keeps the assessed experience reproducible while retaining GNU Radio and SigMF as an extension path.</w:t>
      </w:r>
    </w:p>
    <w:p w14:paraId="63240CF9" w14:textId="77777777" w:rsidR="00B347CD" w:rsidRPr="00D56308" w:rsidRDefault="00000000">
      <w:r w:rsidRPr="00D56308">
        <w:rPr>
          <w:rFonts w:eastAsia="Calibri"/>
        </w:rPr>
        <w:t>A second challenge was connecting RF interaction to genuine cybersecurity reasoning. A visually impressive waterfall alone would be a weak learning outcome, while a conventional web CTF would not expose the communications boundary. The strongest parts of the project therefore require the learner to acquire or decode information and then reason about how that information is trusted by software.</w:t>
      </w:r>
    </w:p>
    <w:p w14:paraId="79129FC5" w14:textId="77777777" w:rsidR="00B347CD" w:rsidRPr="00D56308" w:rsidRDefault="00000000">
      <w:r w:rsidRPr="00D56308">
        <w:rPr>
          <w:rFonts w:eastAsia="Calibri"/>
        </w:rPr>
        <w:t>A third challenge was preventing static flags and hard-coded client logic from undermining the exercise. Moving flag derivation and success checks into the Python backend improved integrity and made browser sessions distinct, although more automated negative testing is still needed.</w:t>
      </w:r>
    </w:p>
    <w:p w14:paraId="5A88374F" w14:textId="77777777" w:rsidR="00B347CD" w:rsidRPr="00D56308" w:rsidRDefault="00000000">
      <w:pPr>
        <w:pStyle w:val="Heading2"/>
      </w:pPr>
      <w:r w:rsidRPr="00D56308">
        <w:t>6.2 Professional and Ethical Considerations</w:t>
      </w:r>
    </w:p>
    <w:p w14:paraId="36BEBD86" w14:textId="77777777" w:rsidR="00B347CD" w:rsidRPr="00D56308" w:rsidRDefault="00000000">
      <w:r w:rsidRPr="00D56308">
        <w:rPr>
          <w:rFonts w:eastAsia="Calibri"/>
        </w:rPr>
        <w:t>The project deliberately avoids operational military waveforms, real infrastructure targets, and over-the-air interference instructions. Civilian scenarios make the consequences understandable without normalising harm. Vulnerable code is labelled as training material and paired with safe variants. The report and interface should continue to distinguish explanation of attacker behaviour from endorsement, and any future live-hardware work should require explicit authorisation, suitable RF shielding or licensed conditions, and documented risk controls.</w:t>
      </w:r>
    </w:p>
    <w:p w14:paraId="4E797FC4" w14:textId="77777777" w:rsidR="00B347CD" w:rsidRPr="00D56308" w:rsidRDefault="00000000">
      <w:pPr>
        <w:pStyle w:val="Heading2"/>
      </w:pPr>
      <w:r w:rsidRPr="00D56308">
        <w:t>6.3 Learning and Future Improvement</w:t>
      </w:r>
    </w:p>
    <w:p w14:paraId="262763FD" w14:textId="77777777" w:rsidR="00B347CD" w:rsidRPr="00D56308" w:rsidRDefault="00000000">
      <w:r w:rsidRPr="00D56308">
        <w:rPr>
          <w:rFonts w:eastAsia="Calibri"/>
        </w:rPr>
        <w:t>The project demonstrates that contested-spectrum security is not a single technical problem. Signal processing, protocol design, embedded implementation, web rendering, database access, and operator decision-making can all influence the final security outcome. The next stage should prioritise evidence quality rather than expanding the challenge count: repeatable end-to-end tests, screenshots and demonstrations, learner observations, quantitative RF checks, and a traceable work log would strengthen the final submission.</w:t>
      </w:r>
    </w:p>
    <w:p w14:paraId="503395F5" w14:textId="77777777" w:rsidR="00B347CD" w:rsidRPr="00D56308" w:rsidRDefault="00000000">
      <w:pPr>
        <w:pStyle w:val="ReportBullet"/>
        <w:numPr>
          <w:ilvl w:val="0"/>
          <w:numId w:val="1"/>
        </w:numPr>
      </w:pPr>
      <w:r w:rsidRPr="00D56308">
        <w:rPr>
          <w:rFonts w:eastAsia="Calibri"/>
        </w:rPr>
        <w:t>Automate successful and unsuccessful walkthroughs for all 22 challenges.</w:t>
      </w:r>
    </w:p>
    <w:p w14:paraId="660CC8EB" w14:textId="77777777" w:rsidR="00B347CD" w:rsidRPr="00D56308" w:rsidRDefault="00000000">
      <w:pPr>
        <w:pStyle w:val="ReportBullet"/>
        <w:numPr>
          <w:ilvl w:val="0"/>
          <w:numId w:val="1"/>
        </w:numPr>
      </w:pPr>
      <w:r w:rsidRPr="00D56308">
        <w:rPr>
          <w:rFonts w:eastAsia="Calibri"/>
        </w:rPr>
        <w:t>Measure task completion time, hint usage, failure points, and learner understanding with a small authorised user study.</w:t>
      </w:r>
    </w:p>
    <w:p w14:paraId="1384D550" w14:textId="77777777" w:rsidR="00B347CD" w:rsidRPr="00D56308" w:rsidRDefault="00000000">
      <w:pPr>
        <w:pStyle w:val="ReportBullet"/>
        <w:numPr>
          <w:ilvl w:val="0"/>
          <w:numId w:val="1"/>
        </w:numPr>
      </w:pPr>
      <w:r w:rsidRPr="00D56308">
        <w:rPr>
          <w:rFonts w:eastAsia="Calibri"/>
        </w:rPr>
        <w:t>Add calibrated impairment models for drift, multipath, saturation, adjacent-channel interference, and timing recovery.</w:t>
      </w:r>
    </w:p>
    <w:p w14:paraId="69F80DCA" w14:textId="77777777" w:rsidR="00B347CD" w:rsidRPr="00D56308" w:rsidRDefault="00000000">
      <w:pPr>
        <w:pStyle w:val="ReportBullet"/>
        <w:numPr>
          <w:ilvl w:val="0"/>
          <w:numId w:val="1"/>
        </w:numPr>
      </w:pPr>
      <w:r w:rsidRPr="00D56308">
        <w:rPr>
          <w:rFonts w:eastAsia="Calibri"/>
        </w:rPr>
        <w:t>Add secure boot, signed firmware, protected key storage, and attestation evidence to advanced hardware-trust tasks.</w:t>
      </w:r>
    </w:p>
    <w:p w14:paraId="6C35F345" w14:textId="77777777" w:rsidR="00B347CD" w:rsidRPr="00D56308" w:rsidRDefault="00000000">
      <w:pPr>
        <w:pStyle w:val="ReportBullet"/>
        <w:numPr>
          <w:ilvl w:val="0"/>
          <w:numId w:val="1"/>
        </w:numPr>
      </w:pPr>
      <w:r w:rsidRPr="00D56308">
        <w:rPr>
          <w:rFonts w:eastAsia="Calibri"/>
        </w:rPr>
        <w:t>Collect final screenshots, command transcripts, and short demonstration recordings for the report appendix.</w:t>
      </w:r>
    </w:p>
    <w:p w14:paraId="6CC285B1" w14:textId="77777777" w:rsidR="00B347CD" w:rsidRPr="00D56308" w:rsidRDefault="00000000">
      <w:pPr>
        <w:pStyle w:val="Heading1"/>
      </w:pPr>
      <w:r w:rsidRPr="00D56308">
        <w:lastRenderedPageBreak/>
        <w:t>7. Conclusion</w:t>
      </w:r>
    </w:p>
    <w:p w14:paraId="7D8FB93B" w14:textId="77777777" w:rsidR="00B347CD" w:rsidRPr="00D56308" w:rsidRDefault="00000000">
      <w:r w:rsidRPr="00D56308">
        <w:rPr>
          <w:rFonts w:eastAsia="Calibri"/>
        </w:rPr>
        <w:t>Signal Forge provides a substantial foundation for a safe, local, contested-spectrum cybersecurity CTF. Its main achievement is the integration of RF acquisition and analysis with software trust boundaries, reverse engineering, backend vulnerabilities, and defensive controls. The data-driven architecture, session-specific flags, reproducible artefacts, and Attack/Secure comparison support both continued development and classroom demonstration. The current evidence confirms broad implementation coverage and syntactic consistency, while also identifying the most important remaining work: end-to-end validation, learner evaluation, stronger RF fidelity evidence, and final presentation artefacts.</w:t>
      </w:r>
    </w:p>
    <w:p w14:paraId="0DC1F5DC" w14:textId="77777777" w:rsidR="00B347CD" w:rsidRPr="00D56308" w:rsidRDefault="00000000">
      <w:pPr>
        <w:pStyle w:val="Heading1"/>
      </w:pPr>
      <w:r w:rsidRPr="00D56308">
        <w:t>References</w:t>
      </w:r>
    </w:p>
    <w:p w14:paraId="6501C246" w14:textId="77777777" w:rsidR="00B347CD" w:rsidRPr="00D56308" w:rsidRDefault="00000000">
      <w:pPr>
        <w:ind w:left="360" w:hanging="360"/>
      </w:pPr>
      <w:r w:rsidRPr="00D56308">
        <w:rPr>
          <w:rFonts w:eastAsia="Calibri"/>
          <w:sz w:val="20"/>
        </w:rPr>
        <w:t xml:space="preserve">[1] GNU Radio, 'About GNU Radio,' GNU Radio Project. Accessed 20 July 2026. </w:t>
      </w:r>
      <w:hyperlink r:id="rId12">
        <w:r w:rsidRPr="00D56308">
          <w:rPr>
            <w:color w:val="2E74B5"/>
            <w:u w:val="single"/>
          </w:rPr>
          <w:t>GNU Radio project page</w:t>
        </w:r>
      </w:hyperlink>
    </w:p>
    <w:p w14:paraId="0F86F0F7" w14:textId="77777777" w:rsidR="00B347CD" w:rsidRPr="00D56308" w:rsidRDefault="00000000">
      <w:pPr>
        <w:ind w:left="360" w:hanging="360"/>
      </w:pPr>
      <w:r w:rsidRPr="00D56308">
        <w:rPr>
          <w:rFonts w:eastAsia="Calibri"/>
          <w:sz w:val="20"/>
        </w:rPr>
        <w:t xml:space="preserve">[2] SigMF, 'Signal Metadata Format Specification, Version 1.2.6.' Accessed 20 July 2026. </w:t>
      </w:r>
      <w:hyperlink r:id="rId13">
        <w:r w:rsidRPr="00D56308">
          <w:rPr>
            <w:color w:val="2E74B5"/>
            <w:u w:val="single"/>
          </w:rPr>
          <w:t>SigMF specification</w:t>
        </w:r>
      </w:hyperlink>
    </w:p>
    <w:p w14:paraId="46D6FF09" w14:textId="77777777" w:rsidR="00B347CD" w:rsidRPr="00D56308" w:rsidRDefault="00000000">
      <w:pPr>
        <w:ind w:left="360" w:hanging="360"/>
      </w:pPr>
      <w:r w:rsidRPr="00D56308">
        <w:rPr>
          <w:rFonts w:eastAsia="Calibri"/>
          <w:sz w:val="20"/>
        </w:rPr>
        <w:t xml:space="preserve">[3] OWASP Foundation, 'SQL Injection Prevention Cheat Sheet.' Accessed 20 July 2026. </w:t>
      </w:r>
      <w:hyperlink r:id="rId14">
        <w:r w:rsidRPr="00D56308">
          <w:rPr>
            <w:color w:val="2E74B5"/>
            <w:u w:val="single"/>
          </w:rPr>
          <w:t>OWASP SQL injection guidance</w:t>
        </w:r>
      </w:hyperlink>
    </w:p>
    <w:p w14:paraId="4102C4CD" w14:textId="77777777" w:rsidR="00B347CD" w:rsidRPr="00D56308" w:rsidRDefault="00000000">
      <w:pPr>
        <w:ind w:left="360" w:hanging="360"/>
      </w:pPr>
      <w:r w:rsidRPr="00D56308">
        <w:rPr>
          <w:rFonts w:eastAsia="Calibri"/>
          <w:sz w:val="20"/>
        </w:rPr>
        <w:t xml:space="preserve">[4] OWASP Foundation, 'Cross Site Scripting Prevention Cheat Sheet.' Accessed 20 July 2026. </w:t>
      </w:r>
      <w:hyperlink r:id="rId15">
        <w:r w:rsidRPr="00D56308">
          <w:rPr>
            <w:color w:val="2E74B5"/>
            <w:u w:val="single"/>
          </w:rPr>
          <w:t>OWASP XSS guidance</w:t>
        </w:r>
      </w:hyperlink>
    </w:p>
    <w:p w14:paraId="2244BFB8" w14:textId="77777777" w:rsidR="00B347CD" w:rsidRPr="00D56308" w:rsidRDefault="00000000">
      <w:pPr>
        <w:pStyle w:val="Heading2"/>
      </w:pPr>
      <w:r w:rsidRPr="00D56308">
        <w:t>Project Artefacts</w:t>
      </w:r>
    </w:p>
    <w:p w14:paraId="427BC81D" w14:textId="77777777" w:rsidR="00B347CD" w:rsidRPr="00D56308" w:rsidRDefault="00000000">
      <w:pPr>
        <w:pStyle w:val="ReportBullet"/>
        <w:numPr>
          <w:ilvl w:val="0"/>
          <w:numId w:val="1"/>
        </w:numPr>
      </w:pPr>
      <w:r w:rsidRPr="00D56308">
        <w:rPr>
          <w:rFonts w:eastAsia="Calibri"/>
        </w:rPr>
        <w:t>Signal Forge CTF README.md - project overview, setup, API examples, security notes, and extension points.</w:t>
      </w:r>
    </w:p>
    <w:p w14:paraId="21B8EB4F" w14:textId="77777777" w:rsidR="00B347CD" w:rsidRPr="00D56308" w:rsidRDefault="00000000">
      <w:pPr>
        <w:pStyle w:val="ReportBullet"/>
        <w:numPr>
          <w:ilvl w:val="0"/>
          <w:numId w:val="1"/>
        </w:numPr>
      </w:pPr>
      <w:r w:rsidRPr="00D56308">
        <w:rPr>
          <w:rFonts w:eastAsia="Calibri"/>
        </w:rPr>
        <w:t>docs/gnu-radio-workflow.md - reproducible GNU Radio and SigMF artefact workflow.</w:t>
      </w:r>
    </w:p>
    <w:p w14:paraId="4E280952" w14:textId="77777777" w:rsidR="00B347CD" w:rsidRPr="00D56308" w:rsidRDefault="00000000">
      <w:pPr>
        <w:pStyle w:val="ReportBullet"/>
        <w:numPr>
          <w:ilvl w:val="0"/>
          <w:numId w:val="1"/>
        </w:numPr>
      </w:pPr>
      <w:r w:rsidRPr="00D56308">
        <w:rPr>
          <w:rFonts w:eastAsia="Calibri"/>
        </w:rPr>
        <w:t>docs/networked-terminal.md - browser and external-script terminal interface.</w:t>
      </w:r>
    </w:p>
    <w:p w14:paraId="70FA5D89" w14:textId="77777777" w:rsidR="00B347CD" w:rsidRPr="00D56308" w:rsidRDefault="00000000">
      <w:pPr>
        <w:pStyle w:val="ReportBullet"/>
        <w:numPr>
          <w:ilvl w:val="0"/>
          <w:numId w:val="1"/>
        </w:numPr>
      </w:pPr>
      <w:r w:rsidRPr="00D56308">
        <w:rPr>
          <w:rFonts w:eastAsia="Calibri"/>
        </w:rPr>
        <w:t>data/challenges.json and data/contexts.json - challenge catalogue and scenario structure.</w:t>
      </w:r>
    </w:p>
    <w:p w14:paraId="4FE34D4D" w14:textId="77777777" w:rsidR="00B347CD" w:rsidRPr="00D56308" w:rsidRDefault="00000000">
      <w:pPr>
        <w:pStyle w:val="ReportBullet"/>
        <w:numPr>
          <w:ilvl w:val="0"/>
          <w:numId w:val="1"/>
        </w:numPr>
      </w:pPr>
      <w:r w:rsidRPr="00D56308">
        <w:rPr>
          <w:rFonts w:eastAsia="Calibri"/>
        </w:rPr>
        <w:t>server.py - session flags, RF target logic, training endpoints, secure comparisons, and local server.</w:t>
      </w:r>
    </w:p>
    <w:p w14:paraId="5E19589D" w14:textId="77777777" w:rsidR="00B347CD" w:rsidRPr="00D56308" w:rsidRDefault="00000000">
      <w:pPr>
        <w:pStyle w:val="Heading1"/>
        <w:pageBreakBefore/>
      </w:pPr>
      <w:r w:rsidRPr="00D56308">
        <w:lastRenderedPageBreak/>
        <w:t>Appendix A: Evidence Map</w:t>
      </w:r>
    </w:p>
    <w:p w14:paraId="40FF55E8" w14:textId="77777777" w:rsidR="00B347CD" w:rsidRDefault="00B347CD">
      <w:pPr>
        <w:spacing w:after="0"/>
      </w:pPr>
    </w:p>
    <w:sectPr w:rsidR="00B347CD" w:rsidSect="00034616">
      <w:headerReference w:type="even" r:id="rId16"/>
      <w:headerReference w:type="default" r:id="rId17"/>
      <w:footerReference w:type="even" r:id="rId18"/>
      <w:footerReference w:type="default" r:id="rId19"/>
      <w:headerReference w:type="first" r:id="rId20"/>
      <w:footerReference w:type="first" r:id="rId21"/>
      <w:pgSz w:w="11905" w:h="16838"/>
      <w:pgMar w:top="1296" w:right="1273" w:bottom="1296" w:left="1273" w:header="708" w:footer="70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omas A. Gosman" w:date="2026-07-20T16:38:00Z" w:initials="TG">
    <w:p w14:paraId="0EFF44CF" w14:textId="77777777" w:rsidR="007D32B2" w:rsidRDefault="007D32B2" w:rsidP="007D32B2">
      <w:pPr>
        <w:pStyle w:val="CommentText"/>
      </w:pPr>
      <w:r>
        <w:rPr>
          <w:rStyle w:val="CommentReference"/>
        </w:rPr>
        <w:annotationRef/>
      </w:r>
      <w:r>
        <w:t>Mention GNU CTF</w:t>
      </w:r>
    </w:p>
  </w:comment>
  <w:comment w:id="1" w:author="Thomas A. Gosman" w:date="2026-07-20T16:59:00Z" w:initials="TG">
    <w:p w14:paraId="071ACA53" w14:textId="77777777" w:rsidR="00631BAD" w:rsidRDefault="00631BAD" w:rsidP="00631BAD">
      <w:pPr>
        <w:pStyle w:val="CommentText"/>
      </w:pPr>
      <w:r>
        <w:rPr>
          <w:rStyle w:val="CommentReference"/>
        </w:rPr>
        <w:annotationRef/>
      </w:r>
      <w:r>
        <w:t>Non-existent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FF44CF" w15:done="0"/>
  <w15:commentEx w15:paraId="071ACA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4D777C" w16cex:dateUtc="2026-07-20T06:38:00Z"/>
  <w16cex:commentExtensible w16cex:durableId="36408F93" w16cex:dateUtc="2026-07-20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FF44CF" w16cid:durableId="0A4D777C"/>
  <w16cid:commentId w16cid:paraId="071ACA53" w16cid:durableId="36408F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CA2A3" w14:textId="77777777" w:rsidR="001A2B6E" w:rsidRPr="00D56308" w:rsidRDefault="001A2B6E">
      <w:pPr>
        <w:spacing w:after="0" w:line="240" w:lineRule="auto"/>
      </w:pPr>
      <w:r w:rsidRPr="00D56308">
        <w:separator/>
      </w:r>
    </w:p>
  </w:endnote>
  <w:endnote w:type="continuationSeparator" w:id="0">
    <w:p w14:paraId="7A148418" w14:textId="77777777" w:rsidR="001A2B6E" w:rsidRPr="00D56308" w:rsidRDefault="001A2B6E">
      <w:pPr>
        <w:spacing w:after="0" w:line="240" w:lineRule="auto"/>
      </w:pPr>
      <w:r w:rsidRPr="00D563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2E89" w14:textId="77777777" w:rsidR="00733EF9" w:rsidRDefault="00733E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D376A" w14:textId="77777777" w:rsidR="00B347CD" w:rsidRPr="00D56308" w:rsidRDefault="00000000">
    <w:pPr>
      <w:pStyle w:val="Footer"/>
      <w:jc w:val="right"/>
    </w:pPr>
    <w:r w:rsidRPr="00D56308">
      <w:rPr>
        <w:rFonts w:eastAsia="Calibri"/>
        <w:color w:val="667085"/>
        <w:sz w:val="18"/>
      </w:rPr>
      <w:t xml:space="preserve">Page </w:t>
    </w:r>
    <w:r w:rsidRPr="00D56308">
      <w:rPr>
        <w:rFonts w:eastAsia="Calibri"/>
        <w:color w:val="667085"/>
        <w:sz w:val="18"/>
      </w:rPr>
      <w:fldChar w:fldCharType="begin"/>
    </w:r>
    <w:r w:rsidRPr="00D56308">
      <w:rPr>
        <w:rFonts w:eastAsia="Calibri"/>
        <w:color w:val="667085"/>
        <w:sz w:val="18"/>
      </w:rPr>
      <w:instrText xml:space="preserve"> PAGE </w:instrText>
    </w:r>
    <w:r w:rsidRPr="00D56308">
      <w:rPr>
        <w:rFonts w:eastAsia="Calibri"/>
        <w:color w:val="667085"/>
        <w:sz w:val="18"/>
      </w:rPr>
      <w:fldChar w:fldCharType="separate"/>
    </w:r>
    <w:r w:rsidRPr="00D56308">
      <w:rPr>
        <w:rFonts w:eastAsia="Calibri"/>
        <w:color w:val="667085"/>
        <w:sz w:val="18"/>
      </w:rPr>
      <w:t>1</w:t>
    </w:r>
    <w:r w:rsidRPr="00D56308">
      <w:rPr>
        <w:rFonts w:eastAsia="Calibri"/>
        <w:color w:val="66708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BBD3" w14:textId="77777777" w:rsidR="00733EF9" w:rsidRDefault="00733E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B138C" w14:textId="77777777" w:rsidR="001A2B6E" w:rsidRPr="00D56308" w:rsidRDefault="001A2B6E">
      <w:pPr>
        <w:spacing w:after="0" w:line="240" w:lineRule="auto"/>
      </w:pPr>
      <w:r w:rsidRPr="00D56308">
        <w:separator/>
      </w:r>
    </w:p>
  </w:footnote>
  <w:footnote w:type="continuationSeparator" w:id="0">
    <w:p w14:paraId="1D6E27FD" w14:textId="77777777" w:rsidR="001A2B6E" w:rsidRPr="00D56308" w:rsidRDefault="001A2B6E">
      <w:pPr>
        <w:spacing w:after="0" w:line="240" w:lineRule="auto"/>
      </w:pPr>
      <w:r w:rsidRPr="00D5630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45C34" w14:textId="77777777" w:rsidR="00733EF9" w:rsidRDefault="00733E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627D" w14:textId="77777777" w:rsidR="00B347CD" w:rsidRPr="00D56308" w:rsidRDefault="00000000">
    <w:pPr>
      <w:pStyle w:val="Header"/>
      <w:jc w:val="right"/>
    </w:pPr>
    <w:r w:rsidRPr="00D56308">
      <w:rPr>
        <w:rFonts w:eastAsia="Calibri"/>
        <w:b/>
        <w:color w:val="667085"/>
        <w:sz w:val="18"/>
      </w:rPr>
      <w:t>COMP6841  |  Signal Forge CTF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7273" w14:textId="77777777" w:rsidR="00733EF9" w:rsidRDefault="00733E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720"/>
        </w:tabs>
        <w:spacing w:after="160" w:line="280" w:lineRule="auto"/>
        <w:ind w:left="72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720"/>
        </w:tabs>
        <w:spacing w:after="160" w:line="280" w:lineRule="auto"/>
        <w:ind w:left="720" w:hanging="360"/>
      </w:pPr>
      <w:rPr>
        <w:rFonts w:ascii="Symbol" w:hAnsi="Symbol" w:hint="default"/>
      </w:rPr>
    </w:lvl>
  </w:abstractNum>
  <w:num w:numId="1" w16cid:durableId="651830743">
    <w:abstractNumId w:val="8"/>
  </w:num>
  <w:num w:numId="2" w16cid:durableId="6256324">
    <w:abstractNumId w:val="6"/>
  </w:num>
  <w:num w:numId="3" w16cid:durableId="1923833594">
    <w:abstractNumId w:val="5"/>
  </w:num>
  <w:num w:numId="4" w16cid:durableId="207109096">
    <w:abstractNumId w:val="4"/>
  </w:num>
  <w:num w:numId="5" w16cid:durableId="1221671356">
    <w:abstractNumId w:val="7"/>
  </w:num>
  <w:num w:numId="6" w16cid:durableId="1302689833">
    <w:abstractNumId w:val="3"/>
  </w:num>
  <w:num w:numId="7" w16cid:durableId="2058704033">
    <w:abstractNumId w:val="2"/>
  </w:num>
  <w:num w:numId="8" w16cid:durableId="1825313190">
    <w:abstractNumId w:val="1"/>
  </w:num>
  <w:num w:numId="9" w16cid:durableId="21464654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A. Gosman">
    <w15:presenceInfo w15:providerId="Windows Live" w15:userId="0c59b39ae9c4ee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DC"/>
    <w:rsid w:val="00034616"/>
    <w:rsid w:val="0006063C"/>
    <w:rsid w:val="000B268E"/>
    <w:rsid w:val="000C62F0"/>
    <w:rsid w:val="0015074B"/>
    <w:rsid w:val="001601D3"/>
    <w:rsid w:val="00167C3C"/>
    <w:rsid w:val="001A2B6E"/>
    <w:rsid w:val="001E13EE"/>
    <w:rsid w:val="0029639D"/>
    <w:rsid w:val="002A39F8"/>
    <w:rsid w:val="0031645B"/>
    <w:rsid w:val="00326F90"/>
    <w:rsid w:val="00361DEA"/>
    <w:rsid w:val="00370F93"/>
    <w:rsid w:val="00521476"/>
    <w:rsid w:val="0052421E"/>
    <w:rsid w:val="006201C0"/>
    <w:rsid w:val="00631BAD"/>
    <w:rsid w:val="006B2C2F"/>
    <w:rsid w:val="00733EF9"/>
    <w:rsid w:val="007D32B2"/>
    <w:rsid w:val="007F062B"/>
    <w:rsid w:val="00841D08"/>
    <w:rsid w:val="00876126"/>
    <w:rsid w:val="00894BBF"/>
    <w:rsid w:val="008C1785"/>
    <w:rsid w:val="008C2C29"/>
    <w:rsid w:val="009C0720"/>
    <w:rsid w:val="00A22B9B"/>
    <w:rsid w:val="00AA1D8D"/>
    <w:rsid w:val="00B029D8"/>
    <w:rsid w:val="00B347CD"/>
    <w:rsid w:val="00B47730"/>
    <w:rsid w:val="00BB3E83"/>
    <w:rsid w:val="00C66D05"/>
    <w:rsid w:val="00CB0664"/>
    <w:rsid w:val="00CB6272"/>
    <w:rsid w:val="00D56308"/>
    <w:rsid w:val="00DC2E8C"/>
    <w:rsid w:val="00E84BC3"/>
    <w:rsid w:val="00EA6409"/>
    <w:rsid w:val="00EA6C7F"/>
    <w:rsid w:val="00EE764B"/>
    <w:rsid w:val="00F42CDA"/>
    <w:rsid w:val="00FC693F"/>
    <w:rsid w:val="00FD4666"/>
    <w:rsid w:val="00FF57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F4600"/>
  <w14:defaultImageDpi w14:val="300"/>
  <w15:docId w15:val="{5F83669A-D136-46C0-ADD8-76D3517CB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62E"/>
      <w:lang w:val="en-AU"/>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ullet">
    <w:name w:val="Report Bullet"/>
    <w:basedOn w:val="Normal"/>
    <w:pPr>
      <w:spacing w:after="160" w:line="280" w:lineRule="auto"/>
      <w:ind w:left="720" w:hanging="360"/>
    </w:pPr>
  </w:style>
  <w:style w:type="paragraph" w:customStyle="1" w:styleId="ReportNumber">
    <w:name w:val="Report Number"/>
    <w:basedOn w:val="Normal"/>
    <w:pPr>
      <w:spacing w:after="160" w:line="280" w:lineRule="auto"/>
      <w:ind w:left="720" w:hanging="360"/>
    </w:pPr>
  </w:style>
  <w:style w:type="paragraph" w:customStyle="1" w:styleId="ReportCallout">
    <w:name w:val="Report Callout"/>
    <w:basedOn w:val="Normal"/>
    <w:pPr>
      <w:pBdr>
        <w:left w:val="single" w:sz="18" w:space="8" w:color="167D8D"/>
      </w:pBdr>
      <w:shd w:val="clear" w:color="auto" w:fill="F4F6F9"/>
      <w:spacing w:before="120" w:after="200" w:line="252" w:lineRule="auto"/>
      <w:ind w:left="230" w:right="144"/>
    </w:pPr>
  </w:style>
  <w:style w:type="character" w:styleId="CommentReference">
    <w:name w:val="annotation reference"/>
    <w:basedOn w:val="DefaultParagraphFont"/>
    <w:uiPriority w:val="99"/>
    <w:semiHidden/>
    <w:unhideWhenUsed/>
    <w:rsid w:val="007D32B2"/>
    <w:rPr>
      <w:sz w:val="16"/>
      <w:szCs w:val="16"/>
    </w:rPr>
  </w:style>
  <w:style w:type="paragraph" w:styleId="CommentText">
    <w:name w:val="annotation text"/>
    <w:basedOn w:val="Normal"/>
    <w:link w:val="CommentTextChar"/>
    <w:uiPriority w:val="99"/>
    <w:unhideWhenUsed/>
    <w:rsid w:val="007D32B2"/>
    <w:pPr>
      <w:spacing w:line="240" w:lineRule="auto"/>
    </w:pPr>
    <w:rPr>
      <w:sz w:val="20"/>
      <w:szCs w:val="20"/>
    </w:rPr>
  </w:style>
  <w:style w:type="character" w:customStyle="1" w:styleId="CommentTextChar">
    <w:name w:val="Comment Text Char"/>
    <w:basedOn w:val="DefaultParagraphFont"/>
    <w:link w:val="CommentText"/>
    <w:uiPriority w:val="99"/>
    <w:rsid w:val="007D32B2"/>
    <w:rPr>
      <w:rFonts w:ascii="Calibri" w:hAnsi="Calibri"/>
      <w:color w:val="20262E"/>
      <w:sz w:val="20"/>
      <w:szCs w:val="20"/>
      <w:lang w:val="en-AU"/>
    </w:rPr>
  </w:style>
  <w:style w:type="paragraph" w:styleId="CommentSubject">
    <w:name w:val="annotation subject"/>
    <w:basedOn w:val="CommentText"/>
    <w:next w:val="CommentText"/>
    <w:link w:val="CommentSubjectChar"/>
    <w:uiPriority w:val="99"/>
    <w:semiHidden/>
    <w:unhideWhenUsed/>
    <w:rsid w:val="007D32B2"/>
    <w:rPr>
      <w:b/>
      <w:bCs/>
    </w:rPr>
  </w:style>
  <w:style w:type="character" w:customStyle="1" w:styleId="CommentSubjectChar">
    <w:name w:val="Comment Subject Char"/>
    <w:basedOn w:val="CommentTextChar"/>
    <w:link w:val="CommentSubject"/>
    <w:uiPriority w:val="99"/>
    <w:semiHidden/>
    <w:rsid w:val="007D32B2"/>
    <w:rPr>
      <w:rFonts w:ascii="Calibri" w:hAnsi="Calibri"/>
      <w:b/>
      <w:bCs/>
      <w:color w:val="20262E"/>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igmf.org/"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gnuradio.org/about/"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heatsheetseries.owasp.org/cheatsheets/Cross_Site_Scripting_Prevention_Cheat_Sheet.html" TargetMode="Externa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cheatsheetseries.owasp.org/cheatsheets/SQL_Injection_Prevention_Cheat_Sheet.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9</Pages>
  <Words>2528</Words>
  <Characters>16868</Characters>
  <Application>Microsoft Office Word</Application>
  <DocSecurity>0</DocSecurity>
  <Lines>358</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Forge CTF - Project Report</dc:title>
  <dc:subject>COMP6841 cybersecurity project report</dc:subject>
  <dc:creator>python-docx</dc:creator>
  <cp:keywords>COMP6841, cybersecurity, RF, CTF, GNU Radio, SigMF</cp:keywords>
  <dc:description>generated by python-docx</dc:description>
  <cp:lastModifiedBy>Thomas A. Gosman</cp:lastModifiedBy>
  <cp:revision>30</cp:revision>
  <dcterms:created xsi:type="dcterms:W3CDTF">2013-12-23T23:15:00Z</dcterms:created>
  <dcterms:modified xsi:type="dcterms:W3CDTF">2026-07-20T07:03:00Z</dcterms:modified>
  <cp:category/>
</cp:coreProperties>
</file>