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EB" w:rsidRDefault="00E142EB" w:rsidP="00E142EB">
      <w:pPr>
        <w:rPr>
          <w:rFonts w:ascii="Arial" w:hAnsi="Arial" w:cs="Arial"/>
          <w:i/>
          <w:lang w:val="en-US"/>
        </w:rPr>
      </w:pPr>
      <w:r w:rsidRPr="00E142EB">
        <w:rPr>
          <w:rFonts w:ascii="Arial" w:hAnsi="Arial" w:cs="Arial"/>
          <w:lang w:val="en-US"/>
        </w:rPr>
        <w:t xml:space="preserve">On some </w:t>
      </w:r>
      <w:proofErr w:type="spellStart"/>
      <w:r w:rsidRPr="00E142EB">
        <w:rPr>
          <w:rFonts w:ascii="Arial" w:hAnsi="Arial" w:cs="Arial"/>
          <w:lang w:val="en-US"/>
        </w:rPr>
        <w:t>anthracotheriid</w:t>
      </w:r>
      <w:proofErr w:type="spellEnd"/>
      <w:r w:rsidRPr="00E142EB">
        <w:rPr>
          <w:rFonts w:ascii="Arial" w:hAnsi="Arial" w:cs="Arial"/>
          <w:lang w:val="en-US"/>
        </w:rPr>
        <w:t xml:space="preserve"> (</w:t>
      </w:r>
      <w:proofErr w:type="spellStart"/>
      <w:r w:rsidRPr="00E142EB">
        <w:rPr>
          <w:rFonts w:ascii="Arial" w:hAnsi="Arial" w:cs="Arial"/>
          <w:lang w:val="en-US"/>
        </w:rPr>
        <w:t>Artiodactyla</w:t>
      </w:r>
      <w:proofErr w:type="spellEnd"/>
      <w:r w:rsidRPr="00E142EB">
        <w:rPr>
          <w:rFonts w:ascii="Arial" w:hAnsi="Arial" w:cs="Arial"/>
          <w:lang w:val="en-US"/>
        </w:rPr>
        <w:t xml:space="preserve">, </w:t>
      </w:r>
      <w:proofErr w:type="spellStart"/>
      <w:r w:rsidRPr="00E142EB">
        <w:rPr>
          <w:rFonts w:ascii="Arial" w:hAnsi="Arial" w:cs="Arial"/>
          <w:lang w:val="en-US"/>
        </w:rPr>
        <w:t>Mammalia</w:t>
      </w:r>
      <w:proofErr w:type="spellEnd"/>
      <w:r w:rsidRPr="00E142EB">
        <w:rPr>
          <w:rFonts w:ascii="Arial" w:hAnsi="Arial" w:cs="Arial"/>
          <w:lang w:val="en-US"/>
        </w:rPr>
        <w:t xml:space="preserve">) remains from northern Greece; </w:t>
      </w:r>
      <w:r w:rsidRPr="00E142EB">
        <w:rPr>
          <w:rFonts w:ascii="Arial" w:hAnsi="Arial" w:cs="Arial"/>
          <w:color w:val="FF0000"/>
          <w:lang w:val="en-US"/>
        </w:rPr>
        <w:t>comments on</w:t>
      </w:r>
      <w:r w:rsidRPr="00E142EB">
        <w:rPr>
          <w:rFonts w:ascii="Arial" w:hAnsi="Arial" w:cs="Arial"/>
          <w:lang w:val="en-US"/>
        </w:rPr>
        <w:t xml:space="preserve"> the </w:t>
      </w:r>
      <w:proofErr w:type="spellStart"/>
      <w:r w:rsidRPr="00E142EB">
        <w:rPr>
          <w:rFonts w:ascii="Arial" w:hAnsi="Arial" w:cs="Arial"/>
          <w:lang w:val="en-US"/>
        </w:rPr>
        <w:t>palaeozoogeography</w:t>
      </w:r>
      <w:proofErr w:type="spellEnd"/>
      <w:r w:rsidRPr="00E142EB">
        <w:rPr>
          <w:rFonts w:ascii="Arial" w:hAnsi="Arial" w:cs="Arial"/>
          <w:lang w:val="en-US"/>
        </w:rPr>
        <w:t xml:space="preserve"> and phylogeny of </w:t>
      </w:r>
      <w:proofErr w:type="spellStart"/>
      <w:r w:rsidRPr="00E142EB">
        <w:rPr>
          <w:rFonts w:ascii="Arial" w:hAnsi="Arial" w:cs="Arial"/>
          <w:i/>
          <w:lang w:val="en-US"/>
        </w:rPr>
        <w:t>Elomeryx</w:t>
      </w:r>
      <w:proofErr w:type="spellEnd"/>
      <w:r w:rsidRPr="00E142EB">
        <w:rPr>
          <w:rFonts w:ascii="Arial" w:hAnsi="Arial" w:cs="Arial"/>
          <w:i/>
          <w:lang w:val="en-US"/>
        </w:rPr>
        <w:t xml:space="preserve">. </w:t>
      </w:r>
    </w:p>
    <w:p w:rsidR="00E142EB" w:rsidRDefault="00E142EB" w:rsidP="00E142EB">
      <w:pPr>
        <w:rPr>
          <w:rFonts w:ascii="Arial" w:hAnsi="Arial" w:cs="Arial"/>
          <w:lang w:val="en-US"/>
        </w:rPr>
      </w:pPr>
      <w:proofErr w:type="gramStart"/>
      <w:r w:rsidRPr="00E142EB">
        <w:rPr>
          <w:rFonts w:ascii="Arial" w:hAnsi="Arial" w:cs="Arial"/>
          <w:lang w:val="en-US"/>
        </w:rPr>
        <w:t>Swiss Journal of Paleontology.</w:t>
      </w:r>
      <w:proofErr w:type="gramEnd"/>
      <w:r w:rsidRPr="00E142EB">
        <w:rPr>
          <w:rFonts w:ascii="Arial" w:hAnsi="Arial" w:cs="Arial"/>
          <w:lang w:val="en-US"/>
        </w:rPr>
        <w:t xml:space="preserve"> </w:t>
      </w:r>
    </w:p>
    <w:p w:rsidR="00E142EB" w:rsidRDefault="00E142EB" w:rsidP="00E142EB">
      <w:pPr>
        <w:rPr>
          <w:rFonts w:ascii="Arial" w:hAnsi="Arial" w:cs="Arial"/>
          <w:lang w:val="en-US"/>
        </w:rPr>
      </w:pPr>
      <w:r w:rsidRPr="00E142EB">
        <w:rPr>
          <w:rFonts w:ascii="Arial" w:hAnsi="Arial" w:cs="Arial"/>
          <w:lang w:val="en-US"/>
        </w:rPr>
        <w:t xml:space="preserve">Authors: </w:t>
      </w:r>
      <w:proofErr w:type="spellStart"/>
      <w:r w:rsidRPr="00E142EB">
        <w:rPr>
          <w:rFonts w:ascii="Arial" w:hAnsi="Arial" w:cs="Arial"/>
          <w:lang w:val="en-US"/>
        </w:rPr>
        <w:t>Dimitris</w:t>
      </w:r>
      <w:proofErr w:type="spellEnd"/>
      <w:r w:rsidRPr="00E142EB">
        <w:rPr>
          <w:rFonts w:ascii="Arial" w:hAnsi="Arial" w:cs="Arial"/>
          <w:lang w:val="en-US"/>
        </w:rPr>
        <w:t xml:space="preserve"> S. Kostopoulos</w:t>
      </w:r>
      <w:r w:rsidRPr="00E142EB">
        <w:rPr>
          <w:rFonts w:ascii="Arial" w:hAnsi="Arial" w:cs="Arial"/>
          <w:vertAlign w:val="superscript"/>
          <w:lang w:val="en-US"/>
        </w:rPr>
        <w:t>1</w:t>
      </w:r>
      <w:r w:rsidRPr="00E142EB">
        <w:rPr>
          <w:rFonts w:ascii="Arial" w:hAnsi="Arial" w:cs="Arial"/>
          <w:lang w:val="en-US"/>
        </w:rPr>
        <w:t>, George D. Koufos</w:t>
      </w:r>
      <w:r w:rsidRPr="00E142EB">
        <w:rPr>
          <w:rFonts w:ascii="Arial" w:hAnsi="Arial" w:cs="Arial"/>
          <w:vertAlign w:val="superscript"/>
          <w:lang w:val="en-US"/>
        </w:rPr>
        <w:t>1</w:t>
      </w:r>
      <w:r w:rsidRPr="00E142EB">
        <w:rPr>
          <w:rFonts w:ascii="Arial" w:hAnsi="Arial" w:cs="Arial"/>
          <w:lang w:val="en-US"/>
        </w:rPr>
        <w:t xml:space="preserve">, and </w:t>
      </w:r>
      <w:proofErr w:type="spellStart"/>
      <w:r w:rsidRPr="00E142EB">
        <w:rPr>
          <w:rFonts w:ascii="Arial" w:hAnsi="Arial" w:cs="Arial"/>
          <w:lang w:val="en-US"/>
        </w:rPr>
        <w:t>Kimon</w:t>
      </w:r>
      <w:proofErr w:type="spellEnd"/>
      <w:r w:rsidRPr="00E142EB">
        <w:rPr>
          <w:rFonts w:ascii="Arial" w:hAnsi="Arial" w:cs="Arial"/>
          <w:lang w:val="en-US"/>
        </w:rPr>
        <w:t xml:space="preserve"> Christanis</w:t>
      </w:r>
      <w:r w:rsidRPr="00E142EB">
        <w:rPr>
          <w:rFonts w:ascii="Arial" w:hAnsi="Arial" w:cs="Arial"/>
          <w:vertAlign w:val="superscript"/>
          <w:lang w:val="en-US"/>
        </w:rPr>
        <w:t>2</w:t>
      </w:r>
      <w:r w:rsidRPr="00E142EB">
        <w:rPr>
          <w:rFonts w:ascii="Arial" w:hAnsi="Arial" w:cs="Arial"/>
          <w:lang w:val="en-US"/>
        </w:rPr>
        <w:t xml:space="preserve">; </w:t>
      </w:r>
    </w:p>
    <w:p w:rsidR="00E142EB" w:rsidRPr="00E142EB" w:rsidRDefault="00E142EB" w:rsidP="00E142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</w:t>
      </w:r>
      <w:r w:rsidRPr="00E142EB">
        <w:rPr>
          <w:rFonts w:ascii="Arial" w:hAnsi="Arial" w:cs="Arial"/>
          <w:lang w:val="en-US"/>
        </w:rPr>
        <w:t xml:space="preserve">Aristotle University of Thessaloniki, Department of Geology, 54124 Thessaloniki, Greece; 2.University of </w:t>
      </w:r>
      <w:proofErr w:type="spellStart"/>
      <w:r w:rsidRPr="00E142EB">
        <w:rPr>
          <w:rFonts w:ascii="Arial" w:hAnsi="Arial" w:cs="Arial"/>
          <w:lang w:val="en-US"/>
        </w:rPr>
        <w:t>Patras</w:t>
      </w:r>
      <w:proofErr w:type="spellEnd"/>
      <w:r w:rsidRPr="00E142EB">
        <w:rPr>
          <w:rFonts w:ascii="Arial" w:hAnsi="Arial" w:cs="Arial"/>
          <w:lang w:val="en-US"/>
        </w:rPr>
        <w:t xml:space="preserve">, Department of Geology, 26504 Rio </w:t>
      </w:r>
      <w:proofErr w:type="spellStart"/>
      <w:r w:rsidRPr="00E142EB">
        <w:rPr>
          <w:rFonts w:ascii="Arial" w:hAnsi="Arial" w:cs="Arial"/>
          <w:lang w:val="en-US"/>
        </w:rPr>
        <w:t>Patras</w:t>
      </w:r>
      <w:proofErr w:type="spellEnd"/>
      <w:r w:rsidRPr="00E142EB">
        <w:rPr>
          <w:rFonts w:ascii="Arial" w:hAnsi="Arial" w:cs="Arial"/>
          <w:lang w:val="en-US"/>
        </w:rPr>
        <w:t xml:space="preserve">. </w:t>
      </w:r>
    </w:p>
    <w:p w:rsidR="00E142EB" w:rsidRPr="00E142EB" w:rsidRDefault="00E142EB" w:rsidP="00E142EB">
      <w:pPr>
        <w:rPr>
          <w:rFonts w:ascii="Arial" w:hAnsi="Arial" w:cs="Arial"/>
          <w:lang w:val="en-US"/>
        </w:rPr>
      </w:pPr>
      <w:r w:rsidRPr="00E142EB">
        <w:rPr>
          <w:rFonts w:ascii="Arial" w:hAnsi="Arial" w:cs="Arial"/>
          <w:lang w:val="en-US"/>
        </w:rPr>
        <w:t xml:space="preserve">Corresponding author: </w:t>
      </w:r>
      <w:proofErr w:type="spellStart"/>
      <w:r w:rsidRPr="00E142EB">
        <w:rPr>
          <w:rFonts w:ascii="Arial" w:hAnsi="Arial" w:cs="Arial"/>
          <w:lang w:val="en-US"/>
        </w:rPr>
        <w:t>Dimitris</w:t>
      </w:r>
      <w:proofErr w:type="spellEnd"/>
      <w:r w:rsidRPr="00E142EB">
        <w:rPr>
          <w:rFonts w:ascii="Arial" w:hAnsi="Arial" w:cs="Arial"/>
          <w:lang w:val="en-US"/>
        </w:rPr>
        <w:t xml:space="preserve"> S </w:t>
      </w:r>
      <w:proofErr w:type="spellStart"/>
      <w:r w:rsidRPr="00E142EB">
        <w:rPr>
          <w:rFonts w:ascii="Arial" w:hAnsi="Arial" w:cs="Arial"/>
          <w:lang w:val="en-US"/>
        </w:rPr>
        <w:t>Kostopoulos</w:t>
      </w:r>
      <w:proofErr w:type="spellEnd"/>
      <w:r w:rsidRPr="00E142EB">
        <w:rPr>
          <w:rFonts w:ascii="Arial" w:hAnsi="Arial" w:cs="Arial"/>
          <w:lang w:val="en-US"/>
        </w:rPr>
        <w:t xml:space="preserve">: </w:t>
      </w:r>
      <w:hyperlink r:id="rId5" w:history="1">
        <w:r w:rsidRPr="00E142EB">
          <w:rPr>
            <w:rStyle w:val="-"/>
            <w:rFonts w:ascii="Arial" w:hAnsi="Arial" w:cs="Arial"/>
            <w:lang w:val="en-US"/>
          </w:rPr>
          <w:t>dkostop@geo.auth.gr</w:t>
        </w:r>
      </w:hyperlink>
      <w:r w:rsidRPr="00E142EB">
        <w:rPr>
          <w:rFonts w:ascii="Arial" w:hAnsi="Arial" w:cs="Arial"/>
          <w:lang w:val="en-US"/>
        </w:rPr>
        <w:t>;</w:t>
      </w:r>
    </w:p>
    <w:p w:rsidR="00173534" w:rsidRPr="00AC0CC2" w:rsidRDefault="00BA7A6B" w:rsidP="00BA7A6B">
      <w:pPr>
        <w:rPr>
          <w:rFonts w:ascii="Arial" w:hAnsi="Arial" w:cs="Arial"/>
          <w:sz w:val="18"/>
          <w:szCs w:val="18"/>
          <w:lang w:val="en-US"/>
        </w:rPr>
      </w:pPr>
      <w:r w:rsidRPr="00AC0CC2">
        <w:rPr>
          <w:rFonts w:ascii="Arial" w:hAnsi="Arial" w:cs="Arial"/>
          <w:sz w:val="18"/>
          <w:szCs w:val="18"/>
          <w:lang w:val="en-US"/>
        </w:rPr>
        <w:t>Appendix I</w:t>
      </w:r>
    </w:p>
    <w:tbl>
      <w:tblPr>
        <w:tblW w:w="9800" w:type="dxa"/>
        <w:tblInd w:w="100" w:type="dxa"/>
        <w:tblLook w:val="04A0"/>
      </w:tblPr>
      <w:tblGrid>
        <w:gridCol w:w="1400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</w:tblGrid>
      <w:tr w:rsidR="00BA7A6B" w:rsidRPr="00BA7A6B" w:rsidTr="00EB2D92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7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8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9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14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17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18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23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24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27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29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34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35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38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39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a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b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c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d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e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f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g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h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i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j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k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 xml:space="preserve">S. </w:t>
            </w: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krabiense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 xml:space="preserve">B. </w:t>
            </w: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onoideus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 xml:space="preserve">E. </w:t>
            </w: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crispus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 xml:space="preserve">E. </w:t>
            </w: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armatus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 xml:space="preserve">E. </w:t>
            </w: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borbonicus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Elomeryx</w:t>
            </w:r>
            <w:proofErr w:type="spellEnd"/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 xml:space="preserve"> </w:t>
            </w:r>
            <w:proofErr w:type="spellStart"/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sp</w:t>
            </w:r>
            <w:proofErr w:type="spellEnd"/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 xml:space="preserve">.*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Bakalovia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 xml:space="preserve">E. </w:t>
            </w: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japonicus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Arretotherium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Bothriogenys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</w:tr>
      <w:tr w:rsidR="00BA7A6B" w:rsidRPr="00BA7A6B" w:rsidTr="00EB2D92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</w:pPr>
            <w:proofErr w:type="spellStart"/>
            <w:r w:rsidRPr="00BA7A6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l-GR"/>
              </w:rPr>
              <w:t>Sivameryx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A6B" w:rsidRPr="00BA7A6B" w:rsidRDefault="00BA7A6B" w:rsidP="00EB2D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BA7A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t>0</w:t>
            </w:r>
          </w:p>
        </w:tc>
      </w:tr>
    </w:tbl>
    <w:p w:rsidR="00715B0F" w:rsidRDefault="00715B0F" w:rsidP="00715B0F">
      <w:pPr>
        <w:rPr>
          <w:rFonts w:ascii="Arial" w:hAnsi="Arial" w:cs="Arial"/>
          <w:color w:val="FF0000"/>
          <w:sz w:val="20"/>
          <w:szCs w:val="20"/>
          <w:lang w:val="en-US"/>
        </w:rPr>
      </w:pPr>
    </w:p>
    <w:p w:rsidR="00715B0F" w:rsidRPr="0008578E" w:rsidRDefault="00715B0F" w:rsidP="00715B0F">
      <w:pPr>
        <w:rPr>
          <w:rFonts w:ascii="Arial" w:hAnsi="Arial" w:cs="Arial"/>
          <w:color w:val="FF0000"/>
          <w:sz w:val="20"/>
          <w:szCs w:val="20"/>
          <w:lang w:val="en-US"/>
        </w:rPr>
      </w:pPr>
      <w:proofErr w:type="gram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Character-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taxon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matrix used for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parcimony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analysis.</w:t>
      </w:r>
      <w:proofErr w:type="gram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Outgroup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: </w:t>
      </w:r>
      <w:proofErr w:type="spellStart"/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>Siamotherium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Suteethorn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et al., 1988. Numbered characters are adopted from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Lihoreau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and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Ducrocq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(2007) with minor modifications (see Appendix II). Character state interpretation based on personal observations, 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Lihoreau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and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Ducrocq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(2007),  </w:t>
      </w:r>
      <w:r w:rsidRPr="0008578E">
        <w:rPr>
          <w:rFonts w:ascii="Arial" w:hAnsi="Arial" w:cs="Arial"/>
          <w:color w:val="FF0000"/>
          <w:sz w:val="20"/>
          <w:szCs w:val="20"/>
          <w:lang w:val="en-US"/>
        </w:rPr>
        <w:lastRenderedPageBreak/>
        <w:t xml:space="preserve">and morphological data published by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Ducrocq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(1999),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Geais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(1934),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Hellmund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(1991),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Lihoreau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(2003),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Lihoreau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et al. (2009),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Nikolov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(1967), Macdonald (1956),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Schaub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(1948),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Tsubamoto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and Kohno (2011). Note that in differing from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Lihoreau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and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Ducrocq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(2007: table 7.1) we suggest character state 6(1) for </w:t>
      </w:r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 xml:space="preserve">E. </w:t>
      </w:r>
      <w:proofErr w:type="spellStart"/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>borbonicus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, 20(1) for </w:t>
      </w:r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 xml:space="preserve">E. </w:t>
      </w:r>
      <w:proofErr w:type="spellStart"/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>crispus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and </w:t>
      </w:r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 xml:space="preserve">E. </w:t>
      </w:r>
      <w:proofErr w:type="spellStart"/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>armatus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, and 27(0) for </w:t>
      </w:r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 xml:space="preserve">E. </w:t>
      </w:r>
      <w:proofErr w:type="spellStart"/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>crispus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. “?” indicates missing data. *: </w:t>
      </w:r>
      <w:proofErr w:type="spellStart"/>
      <w:r w:rsidRPr="0008578E">
        <w:rPr>
          <w:rFonts w:ascii="Arial" w:hAnsi="Arial" w:cs="Arial"/>
          <w:i/>
          <w:color w:val="FF0000"/>
          <w:sz w:val="20"/>
          <w:szCs w:val="20"/>
          <w:lang w:val="en-US"/>
        </w:rPr>
        <w:t>Elomeryx</w:t>
      </w:r>
      <w:proofErr w:type="spellEnd"/>
      <w:r w:rsidRPr="0008578E">
        <w:rPr>
          <w:rFonts w:ascii="Arial" w:hAnsi="Arial" w:cs="Arial"/>
          <w:color w:val="FF0000"/>
          <w:sz w:val="20"/>
          <w:szCs w:val="20"/>
          <w:lang w:val="en-US"/>
        </w:rPr>
        <w:t xml:space="preserve"> from </w:t>
      </w:r>
      <w:proofErr w:type="spellStart"/>
      <w:r w:rsidRPr="0008578E">
        <w:rPr>
          <w:rFonts w:ascii="Arial" w:hAnsi="Arial" w:cs="Arial"/>
          <w:color w:val="FF0000"/>
          <w:sz w:val="20"/>
          <w:szCs w:val="20"/>
          <w:lang w:val="en-US"/>
        </w:rPr>
        <w:t>Moschopotamos</w:t>
      </w:r>
      <w:proofErr w:type="spellEnd"/>
    </w:p>
    <w:p w:rsidR="00715B0F" w:rsidRPr="00BA7A6B" w:rsidRDefault="00715B0F" w:rsidP="00BA7A6B">
      <w:pPr>
        <w:rPr>
          <w:lang w:val="en-US"/>
        </w:rPr>
      </w:pPr>
    </w:p>
    <w:sectPr w:rsidR="00715B0F" w:rsidRPr="00BA7A6B" w:rsidSect="0017353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61B4E"/>
    <w:multiLevelType w:val="hybridMultilevel"/>
    <w:tmpl w:val="C668F8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04D23"/>
    <w:multiLevelType w:val="hybridMultilevel"/>
    <w:tmpl w:val="A418D23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3534"/>
    <w:rsid w:val="00173534"/>
    <w:rsid w:val="0048207B"/>
    <w:rsid w:val="00715B0F"/>
    <w:rsid w:val="00744233"/>
    <w:rsid w:val="00A50A31"/>
    <w:rsid w:val="00AC0CC2"/>
    <w:rsid w:val="00BA7A6B"/>
    <w:rsid w:val="00E14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2EB"/>
    <w:pPr>
      <w:ind w:left="720"/>
      <w:contextualSpacing/>
    </w:pPr>
    <w:rPr>
      <w:rFonts w:ascii="Calibri" w:eastAsia="Calibri" w:hAnsi="Calibri" w:cs="Times New Roman"/>
    </w:rPr>
  </w:style>
  <w:style w:type="character" w:styleId="-">
    <w:name w:val="Hyperlink"/>
    <w:basedOn w:val="a0"/>
    <w:uiPriority w:val="99"/>
    <w:unhideWhenUsed/>
    <w:rsid w:val="00E142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ostop@geo.auth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2012-03-11T09:15:00Z</dcterms:created>
  <dcterms:modified xsi:type="dcterms:W3CDTF">2012-03-12T06:49:00Z</dcterms:modified>
</cp:coreProperties>
</file>