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72FF9" w14:textId="77777777" w:rsidR="002B6C80" w:rsidRDefault="001741DD">
      <w:pPr>
        <w:pStyle w:val="Heading1"/>
      </w:pPr>
      <w:bookmarkStart w:id="0" w:name="testing-the-variation-of-landmark-region"/>
      <w:bookmarkEnd w:id="0"/>
      <w:r>
        <w:t>Testing the variation of landmark regions within and between species</w:t>
      </w:r>
    </w:p>
    <w:p w14:paraId="187812BD" w14:textId="77777777" w:rsidR="002B6C80" w:rsidRDefault="001741DD">
      <w:pPr>
        <w:pStyle w:val="FirstParagraph"/>
      </w:pPr>
      <w:r>
        <w:t xml:space="preserve">To understand the [WHATHEVER THE PAPER IS ABOUT] we tested whether some landmark regions (e.g. the landmarks on the zygomatic arch) varied significantly more or less than the rest of the skull within and between each species. To test these variation, we applied a “landmark partition test” that tests whether the maximum variation between landmarks position in a set of landmarks is significantly different than any random same size set of landmarks. This test is a kind of permutation test testing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=Θ</m:t>
        </m:r>
      </m:oMath>
      <w:r>
        <w:t xml:space="preserve"> with a two-sided alternative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≠Θ</m:t>
        </m:r>
      </m:oMath>
      <w:r>
        <w:t xml:space="preserve">. If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can be rejected it means that the statistic measured from the set of landmarks (see below) is different than the overall statistic from the population of landmarks (in other words: the landmark set is different than the all the landmarks combined).</w:t>
      </w:r>
    </w:p>
    <w:p w14:paraId="5173A7BD" w14:textId="77777777" w:rsidR="002B6C80" w:rsidRDefault="001741DD">
      <w:pPr>
        <w:pStyle w:val="BodyText"/>
      </w:pPr>
      <w:r>
        <w:t>We measured two statistic, the overall difference in landmark size (area difference - see below) and the probability of size overlap between two landmarks sets (Bhattacharyya Coefficient - see below). These two statistics were measured between the two most extreme specimens selected on the range of variation between the specimens landmarks coordinates (see below). We tested the differences for three cranium partitions ([WHAT ARE THEY?]) and three mandible ones ([WHAT ARE THEY?]) for each species (</w:t>
      </w:r>
      <w:r>
        <w:rPr>
          <w:i/>
        </w:rPr>
        <w:t>Wombat ursinus</w:t>
      </w:r>
      <w:r>
        <w:t xml:space="preserve">, </w:t>
      </w:r>
      <w:r>
        <w:rPr>
          <w:i/>
        </w:rPr>
        <w:t>Lasiorhinus krefftii</w:t>
      </w:r>
      <w:r>
        <w:t xml:space="preserve"> and </w:t>
      </w:r>
      <w:r>
        <w:rPr>
          <w:i/>
        </w:rPr>
        <w:t>Lasiorhinus latifrons</w:t>
      </w:r>
      <w:r>
        <w:t xml:space="preserve">) and for the three species combined. To account for type I error due to multiple testing and for the number of replicates involved in the landmark partition tests, we adjusted the </w:t>
      </w:r>
      <w:r>
        <w:rPr>
          <w:i/>
        </w:rPr>
        <w:t>p</w:t>
      </w:r>
      <w:r>
        <w:t>-values using a Bonferonni-Holm [</w:t>
      </w:r>
      <w:hyperlink r:id="rId7" w:history="1">
        <w:r w:rsidRPr="00453511">
          <w:rPr>
            <w:rStyle w:val="Hyperlink"/>
          </w:rPr>
          <w:t>CITE</w:t>
        </w:r>
        <w:r w:rsidR="00453511" w:rsidRPr="00453511">
          <w:rPr>
            <w:rStyle w:val="Hyperlink"/>
          </w:rPr>
          <w:t xml:space="preserve"> HOLM</w:t>
        </w:r>
      </w:hyperlink>
      <w:r>
        <w:t xml:space="preserve">] correction and lowered our </w:t>
      </w:r>
      <w:r>
        <w:rPr>
          <w:i/>
        </w:rPr>
        <w:t>p-value</w:t>
      </w:r>
      <w:r>
        <w:t xml:space="preserve"> rejection threshold to 0.01 (see below). The whole procedure, including the landmark variation is described in details below and implemented in </w:t>
      </w:r>
      <w:r>
        <w:rPr>
          <w:rStyle w:val="VerbatimChar"/>
        </w:rPr>
        <w:t>R</w:t>
      </w:r>
      <w:r>
        <w:t xml:space="preserve">: </w:t>
      </w:r>
      <w:hyperlink r:id="rId8">
        <w:r>
          <w:rPr>
            <w:rStyle w:val="Hyperlink"/>
          </w:rPr>
          <w:t>https://github.com/TGuillerme/landmark-test</w:t>
        </w:r>
      </w:hyperlink>
      <w:r>
        <w:t>.</w:t>
      </w:r>
    </w:p>
    <w:p w14:paraId="5CF6D7A6" w14:textId="77777777" w:rsidR="002B6C80" w:rsidRDefault="001741DD">
      <w:pPr>
        <w:pStyle w:val="Heading2"/>
      </w:pPr>
      <w:bookmarkStart w:id="1" w:name="selecting-the-range-of-landmark-variatio"/>
      <w:bookmarkEnd w:id="1"/>
      <w:r>
        <w:t>Selecting the range of landmark variation</w:t>
      </w:r>
    </w:p>
    <w:p w14:paraId="04BBDAEB" w14:textId="77777777" w:rsidR="002B6C80" w:rsidRDefault="001741DD">
      <w:pPr>
        <w:pStyle w:val="FirstParagraph"/>
      </w:pPr>
      <w:r>
        <w:t xml:space="preserve">One approach for selecting the range of landmark variation is based on a specific axis of an ordination matrix (e.g. PCA [CITE SOME PAPER THAT DOES IT]). This approach has several advantages namely (1) its intuitiveness and (2) the fact that the selected range is based on a specific axis of variation (e.g. the range on the first ordination axis is based on first axis of variance/covariance in the dataset). However, this approach suffers also from several statistical drawbacks namely (1) that not all the variance/covariance is taken into account (even if based on an ordination axis that contain a great amount of the datasets’ variance) and that (2) the resulting range of landmark variation is based on the ordination of the variance and not directly on the range of the actual variation </w:t>
      </w:r>
      <w:r>
        <w:rPr>
          <w:i/>
        </w:rPr>
        <w:t>per se</w:t>
      </w:r>
      <w:r>
        <w:t xml:space="preserve"> (i.e. in an Euclidean space).</w:t>
      </w:r>
    </w:p>
    <w:p w14:paraId="35CA1428" w14:textId="77777777" w:rsidR="002B6C80" w:rsidRDefault="001741DD">
      <w:pPr>
        <w:pStyle w:val="BodyText"/>
      </w:pPr>
      <w:r>
        <w:t>Here we propose a an approach based directly on the Procrustes superimposed landmarks’ differences rather than their ordination (i.e. we compare the two skulls or mandibles with the most different landmark’s position). We calculate this difference as the length of the radius in spherical coordinates between a pair of homologuous landmarks. Spherical coordinates are a coordinate system measured in a sphere and are expressed by three parameters: (1) the radius (</w:t>
      </w:r>
      <m:oMath>
        <m:r>
          <w:rPr>
            <w:rFonts w:ascii="Cambria Math" w:hAnsi="Cambria Math"/>
          </w:rPr>
          <m:t>ρ</m:t>
        </m:r>
      </m:oMath>
      <w:r>
        <w:t xml:space="preserve">, the euclidean distance between the two landmarks); (2) the </w:t>
      </w:r>
      <w:r>
        <w:lastRenderedPageBreak/>
        <w:t>azimuth angle (</w:t>
      </w:r>
      <m:oMath>
        <m:r>
          <w:rPr>
            <w:rFonts w:ascii="Cambria Math" w:hAnsi="Cambria Math"/>
          </w:rPr>
          <m:t>ϕ</m:t>
        </m:r>
      </m:oMath>
      <w:r>
        <w:t>, the angle on the equatorial plan); and (3) the polar angle (</w:t>
      </w:r>
      <m:oMath>
        <m:r>
          <w:rPr>
            <w:rFonts w:ascii="Cambria Math" w:hAnsi="Cambria Math"/>
          </w:rPr>
          <m:t>θ</m:t>
        </m:r>
      </m:oMath>
      <w:r>
        <w:t xml:space="preserve">, the angle measured on the polar plan). Since we are only interested in the </w:t>
      </w:r>
      <w:r>
        <w:rPr>
          <w:i/>
        </w:rPr>
        <w:t>magnitude</w:t>
      </w:r>
      <w:r>
        <w:t xml:space="preserve"> of difference (</w:t>
      </w:r>
      <m:oMath>
        <m:r>
          <w:rPr>
            <w:rFonts w:ascii="Cambria Math" w:hAnsi="Cambria Math"/>
          </w:rPr>
          <m:t>ρ</m:t>
        </m:r>
      </m:oMath>
      <w:r>
        <w:t>) regardless of the direction (</w:t>
      </w:r>
      <m:oMath>
        <m:r>
          <w:rPr>
            <w:rFonts w:ascii="Cambria Math" w:hAnsi="Cambria Math"/>
          </w:rPr>
          <m:t>ϕ</m:t>
        </m:r>
      </m:oMath>
      <w:r>
        <w:t xml:space="preserve"> and </w:t>
      </w:r>
      <m:oMath>
        <m:r>
          <w:rPr>
            <w:rFonts w:ascii="Cambria Math" w:hAnsi="Cambria Math"/>
          </w:rPr>
          <m:t>θ</m:t>
        </m:r>
      </m:oMath>
      <w:r>
        <w:t>) we will use only the radius below.</w:t>
      </w:r>
    </w:p>
    <w:p w14:paraId="24741182" w14:textId="77777777" w:rsidR="002B6C80" w:rsidRDefault="001741DD">
      <w:pPr>
        <w:pStyle w:val="BodyText"/>
      </w:pPr>
      <w:r>
        <w:t>To calculate the maximum range of landmark variation (the two individuals with the most different radii) we use the following algorithm:</w:t>
      </w:r>
    </w:p>
    <w:p w14:paraId="13D06CF0" w14:textId="77777777" w:rsidR="002B6C80" w:rsidRDefault="001741DD">
      <w:pPr>
        <w:numPr>
          <w:ilvl w:val="0"/>
          <w:numId w:val="3"/>
        </w:numPr>
      </w:pPr>
      <w:r>
        <w:t xml:space="preserve">Calculate the radii for all </w:t>
      </w:r>
      <m:oMath>
        <m:r>
          <w:rPr>
            <w:rFonts w:ascii="Cambria Math" w:hAnsi="Cambria Math"/>
          </w:rPr>
          <m:t>n</m:t>
        </m:r>
      </m:oMath>
      <w:r>
        <w:t xml:space="preserve"> landmarks between the mean Procrustes superimposition and each specimen’s superimposition.</w:t>
      </w:r>
    </w:p>
    <w:p w14:paraId="3DEFFC51" w14:textId="77777777" w:rsidR="002B6C80" w:rsidRDefault="001741DD">
      <w:pPr>
        <w:numPr>
          <w:ilvl w:val="0"/>
          <w:numId w:val="3"/>
        </w:numPr>
      </w:pPr>
      <w:r>
        <w:t xml:space="preserve">Rank each set of </w:t>
      </w:r>
      <m:oMath>
        <m:r>
          <w:rPr>
            <w:rFonts w:ascii="Cambria Math" w:hAnsi="Cambria Math"/>
          </w:rPr>
          <m:t>n</m:t>
        </m:r>
      </m:oMath>
      <w:r>
        <w:t xml:space="preserve"> radii and measure the area under</w:t>
      </w:r>
      <w:r w:rsidR="00453511">
        <w:t xml:space="preserve"> the resulting curve (see eq. 1</w:t>
      </w:r>
      <w:r>
        <w:t xml:space="preserve"> below).</w:t>
      </w:r>
    </w:p>
    <w:p w14:paraId="3AAF940E" w14:textId="77777777" w:rsidR="002B6C80" w:rsidRDefault="001741DD">
      <w:pPr>
        <w:numPr>
          <w:ilvl w:val="0"/>
          <w:numId w:val="3"/>
        </w:numPr>
      </w:pPr>
      <w:r>
        <w:t xml:space="preserve">Select the specimen with the highest </w:t>
      </w:r>
      <m:oMath>
        <m:r>
          <w:rPr>
            <w:rFonts w:ascii="Cambria Math" w:hAnsi="Cambria Math"/>
          </w:rPr>
          <m:t>n</m:t>
        </m:r>
      </m:oMath>
      <w:r>
        <w:t xml:space="preserve"> radii area. This is now the “maximum” Procrustes (i.e. the specimen with the most different shape compared to the mean).</w:t>
      </w:r>
    </w:p>
    <w:p w14:paraId="7CCFB4C0" w14:textId="77777777" w:rsidR="002B6C80" w:rsidRDefault="001741DD">
      <w:pPr>
        <w:numPr>
          <w:ilvl w:val="0"/>
          <w:numId w:val="3"/>
        </w:numPr>
      </w:pPr>
      <w:r>
        <w:t xml:space="preserve">Calculate the radii for all </w:t>
      </w:r>
      <m:oMath>
        <m:r>
          <w:rPr>
            <w:rFonts w:ascii="Cambria Math" w:hAnsi="Cambria Math"/>
          </w:rPr>
          <m:t>n</m:t>
        </m:r>
      </m:oMath>
      <w:r>
        <w:t xml:space="preserve"> landmarks between the “maximum” Procrustes and the remaining individual ones.</w:t>
      </w:r>
    </w:p>
    <w:p w14:paraId="47561785" w14:textId="77777777" w:rsidR="002B6C80" w:rsidRDefault="00453511">
      <w:pPr>
        <w:numPr>
          <w:ilvl w:val="0"/>
          <w:numId w:val="3"/>
        </w:numPr>
      </w:pPr>
      <w:r>
        <w:t>Repeat step 2</w:t>
      </w:r>
      <w:r w:rsidR="001741DD">
        <w:t xml:space="preserve"> and </w:t>
      </w:r>
      <w:r>
        <w:t>3</w:t>
      </w:r>
      <w:r w:rsidR="001741DD">
        <w:t xml:space="preserve">. The resulting specimen with the highest </w:t>
      </w:r>
      <m:oMath>
        <m:r>
          <w:rPr>
            <w:rFonts w:ascii="Cambria Math" w:hAnsi="Cambria Math"/>
          </w:rPr>
          <m:t>n</m:t>
        </m:r>
      </m:oMath>
      <w:r w:rsidR="001741DD">
        <w:t xml:space="preserve"> radii area is now the “minimum” Procrustes (i.e. the specimen with the most different shape compared to the “maximum” Procrustes).</w:t>
      </w:r>
    </w:p>
    <w:p w14:paraId="4CD12733" w14:textId="77777777" w:rsidR="002B6C80" w:rsidRDefault="001741DD">
      <w:pPr>
        <w:pStyle w:val="FirstParagraph"/>
      </w:pPr>
      <w:r>
        <w:t xml:space="preserve">These two “maximum” and “minimum” Procrustes superimpositions are not the biggest/smallest, widest/narowest, etc. skulls or mandibles </w:t>
      </w:r>
      <w:r>
        <w:rPr>
          <w:i/>
        </w:rPr>
        <w:t>per se</w:t>
      </w:r>
      <w:r>
        <w:t xml:space="preserve"> but rather the two extremes of the overall distribution of landmark variation (</w:t>
      </w:r>
      <m:oMath>
        <m:r>
          <w:rPr>
            <w:rFonts w:ascii="Cambria Math" w:hAnsi="Cambria Math"/>
          </w:rPr>
          <m:t>ρ</m:t>
        </m:r>
      </m:oMath>
      <w:r>
        <w:t xml:space="preserve">). Because of the multidimensionality aspect of the problem, it is probably impossible to even determine which one of the two selected “maximum” and “minimum” craniums/mandibles has actually the most variation. However, since we are not interest in </w:t>
      </w:r>
      <w:r>
        <w:rPr>
          <w:i/>
        </w:rPr>
        <w:t>direction</w:t>
      </w:r>
      <w:r>
        <w:t xml:space="preserve"> of difference, these two selected craniums/mandibles are sufficient to give us the magnitude of differences between specimens (while taking into account </w:t>
      </w:r>
      <w:r>
        <w:rPr>
          <w:i/>
        </w:rPr>
        <w:t>all</w:t>
      </w:r>
      <w:r>
        <w:t xml:space="preserve"> the landmarks the three dimensions).</w:t>
      </w:r>
    </w:p>
    <w:p w14:paraId="55172A2F" w14:textId="79C95F21" w:rsidR="001D1CBE" w:rsidRPr="001D1CBE" w:rsidRDefault="001D1CBE" w:rsidP="001D1CBE">
      <w:pPr>
        <w:pStyle w:val="BodyText"/>
      </w:pPr>
      <w:r>
        <w:t xml:space="preserve">For reducing the effect of any eventual outlier, we also performed this step </w:t>
      </w:r>
      <w:r w:rsidR="001A6711">
        <w:t>based on the 95% confidence interval only.</w:t>
      </w:r>
      <w:r w:rsidR="00E71CAA">
        <w:t xml:space="preserve"> To </w:t>
      </w:r>
      <w:r w:rsidR="00BD2923">
        <w:t>realize</w:t>
      </w:r>
      <w:r w:rsidR="00E71CAA">
        <w:t xml:space="preserve"> this interval we performed the same algorithm as above but before selecting the specimen with the highest </w:t>
      </w:r>
      <w:r w:rsidR="00E71CAA" w:rsidRPr="00E71CAA">
        <w:rPr>
          <w:i/>
        </w:rPr>
        <w:t>n</w:t>
      </w:r>
      <w:r w:rsidR="00E71CAA">
        <w:rPr>
          <w:i/>
        </w:rPr>
        <w:t xml:space="preserve"> </w:t>
      </w:r>
      <w:r w:rsidR="00E71CAA">
        <w:t xml:space="preserve">radii, we removed the specimen with </w:t>
      </w:r>
      <w:r w:rsidR="00E71CAA" w:rsidRPr="00E71CAA">
        <w:rPr>
          <w:i/>
        </w:rPr>
        <w:t>n</w:t>
      </w:r>
      <w:r w:rsidR="00E71CAA">
        <w:rPr>
          <w:i/>
        </w:rPr>
        <w:t xml:space="preserve"> </w:t>
      </w:r>
      <w:r w:rsidR="00E71CAA">
        <w:t>radii</w:t>
      </w:r>
      <w:r w:rsidR="00E71CAA">
        <w:t xml:space="preserve"> superior to the highest qu</w:t>
      </w:r>
      <w:bookmarkStart w:id="2" w:name="_GoBack"/>
      <w:bookmarkEnd w:id="2"/>
      <w:r w:rsidR="00E71CAA">
        <w:t>antile of the distribution. For example, with a 95% confidence interval, we remove any specimen about the 97.5</w:t>
      </w:r>
      <w:r w:rsidR="00E71CAA" w:rsidRPr="00E71CAA">
        <w:rPr>
          <w:vertAlign w:val="superscript"/>
        </w:rPr>
        <w:t>th</w:t>
      </w:r>
      <w:r w:rsidR="00E71CAA">
        <w:t xml:space="preserve"> quantile (i.e.  </w:t>
      </w:r>
      <m:oMath>
        <m:f>
          <m:fPr>
            <m:ctrlPr>
              <w:rPr>
                <w:rFonts w:ascii="Cambria Math" w:hAnsi="Cambria Math"/>
              </w:rPr>
            </m:ctrlPr>
          </m:fPr>
          <m:num>
            <m:r>
              <m:rPr>
                <m:sty m:val="p"/>
              </m:rPr>
              <w:rPr>
                <w:rFonts w:ascii="Cambria Math" w:hAnsi="Cambria Math"/>
              </w:rPr>
              <m:t>1+CI</m:t>
            </m:r>
          </m:num>
          <m:den>
            <m:r>
              <w:rPr>
                <w:rFonts w:ascii="Cambria Math" w:hAnsi="Cambria Math"/>
              </w:rPr>
              <m:t>2</m:t>
            </m:r>
          </m:den>
        </m:f>
      </m:oMath>
      <w:r w:rsidR="00E71CAA">
        <w:t>).</w:t>
      </w:r>
    </w:p>
    <w:p w14:paraId="0ED9C039" w14:textId="77777777" w:rsidR="002B6C80" w:rsidRDefault="001741DD">
      <w:pPr>
        <w:pStyle w:val="Heading2"/>
      </w:pPr>
      <w:bookmarkStart w:id="3" w:name="difference-statistic-between-partitions"/>
      <w:bookmarkEnd w:id="3"/>
      <w:r>
        <w:t>Difference statistic between partitions</w:t>
      </w:r>
    </w:p>
    <w:p w14:paraId="52B00560" w14:textId="77777777" w:rsidR="002B6C80" w:rsidRDefault="001741DD">
      <w:pPr>
        <w:pStyle w:val="FirstParagraph"/>
      </w:pPr>
      <w:r>
        <w:t>As mentioned above, we will use two different statistics between to compare the partitions to the rest of the cranium/mandible: (1) the overall difference in landmark size between the “maximum” and “minimum” cranium/mandible (this statistic is a proxy for length difference between landmarks ranges); (2) the probability of overlap between the size differences (between the “maximum” and “minimum”) in the partition and the rest of the cranium/mandible (this statistic is a proxy for measuring whether both partitions comes from the same distribution).</w:t>
      </w:r>
    </w:p>
    <w:p w14:paraId="45CB1655" w14:textId="77777777" w:rsidR="002B6C80" w:rsidRDefault="001741DD">
      <w:pPr>
        <w:pStyle w:val="Heading3"/>
      </w:pPr>
      <w:bookmarkStart w:id="4" w:name="overall-difference-in-landmark-size-area"/>
      <w:bookmarkEnd w:id="4"/>
      <w:r>
        <w:lastRenderedPageBreak/>
        <w:t>Overall difference in landmark size (area difference)</w:t>
      </w:r>
    </w:p>
    <w:p w14:paraId="1B248848" w14:textId="77777777" w:rsidR="002B6C80" w:rsidRDefault="001741DD">
      <w:pPr>
        <w:pStyle w:val="FirstParagraph"/>
      </w:pPr>
      <w:r>
        <w:t>To measure the overall differences in the length of the radii, we can calculate the area difference as follows:</w:t>
      </w:r>
    </w:p>
    <w:p w14:paraId="638CFDFB" w14:textId="77777777" w:rsidR="002B6C80" w:rsidRDefault="00453511" w:rsidP="00453511">
      <w:pPr>
        <w:pStyle w:val="BodyText"/>
        <w:jc w:val="center"/>
      </w:pPr>
      <m:oMath>
        <m:r>
          <m:rPr>
            <m:sty m:val="p"/>
          </m:rPr>
          <w:rPr>
            <w:rFonts w:ascii="Cambria Math" w:hAnsi="Cambria Math"/>
          </w:rPr>
          <m:t>Area difference</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n-1</m:t>
            </m:r>
          </m:sup>
          <m:e>
            <m:r>
              <w:rPr>
                <w:rFonts w:ascii="Cambria Math" w:hAnsi="Cambria Math"/>
              </w:rPr>
              <m:t>(</m:t>
            </m:r>
          </m:e>
        </m:nary>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)d(x,y)</m:t>
        </m:r>
      </m:oMath>
      <w:r>
        <w:rPr>
          <w:rFonts w:eastAsiaTheme="minorEastAsia"/>
        </w:rPr>
        <w:t xml:space="preserve">             (eq.</w:t>
      </w:r>
      <w:r w:rsidR="00AE6C6F">
        <w:rPr>
          <w:rFonts w:eastAsiaTheme="minorEastAsia"/>
        </w:rPr>
        <w:t xml:space="preserve"> </w:t>
      </w:r>
      <w:r>
        <w:rPr>
          <w:rFonts w:eastAsiaTheme="minorEastAsia"/>
        </w:rPr>
        <w:t>1)</w:t>
      </w:r>
    </w:p>
    <w:p w14:paraId="32F87F7E" w14:textId="77777777" w:rsidR="002B6C80" w:rsidRDefault="001741DD">
      <w:pPr>
        <w:pStyle w:val="FirstParagraph"/>
      </w:pPr>
      <w:r>
        <w:t xml:space="preserve">Where </w:t>
      </w:r>
      <m:oMath>
        <m:r>
          <w:rPr>
            <w:rFonts w:ascii="Cambria Math" w:hAnsi="Cambria Math"/>
          </w:rPr>
          <m:t>n</m:t>
        </m:r>
      </m:oMath>
      <w:r>
        <w:t xml:space="preserve"> is minimum number of comparable landmarks and </w:t>
      </w:r>
      <m:oMath>
        <m:sSub>
          <m:sSubPr>
            <m:ctrlPr>
              <w:rPr>
                <w:rFonts w:ascii="Cambria Math" w:hAnsi="Cambria Math"/>
              </w:rPr>
            </m:ctrlPr>
          </m:sSubPr>
          <m:e>
            <m:r>
              <w:rPr>
                <w:rFonts w:ascii="Cambria Math" w:hAnsi="Cambria Math"/>
              </w:rPr>
              <m:t>f</m:t>
            </m:r>
          </m:e>
          <m:sub>
            <m:r>
              <w:rPr>
                <w:rFonts w:ascii="Cambria Math" w:hAnsi="Cambria Math"/>
              </w:rPr>
              <m:t>x</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y</m:t>
            </m:r>
          </m:sub>
        </m:sSub>
      </m:oMath>
      <w:r>
        <w:t xml:space="preserve"> are ranked functions (i.e. </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oMath>
      <w:r>
        <w:t xml:space="preserve">) for the landmarks in the partition and all the landmarks respectively. If one of the functions </w:t>
      </w:r>
      <m:oMath>
        <m:sSub>
          <m:sSubPr>
            <m:ctrlPr>
              <w:rPr>
                <w:rFonts w:ascii="Cambria Math" w:hAnsi="Cambria Math"/>
              </w:rPr>
            </m:ctrlPr>
          </m:sSubPr>
          <m:e>
            <m:r>
              <w:rPr>
                <w:rFonts w:ascii="Cambria Math" w:hAnsi="Cambria Math"/>
              </w:rPr>
              <m:t>f</m:t>
            </m:r>
          </m:e>
          <m:sub>
            <m:r>
              <w:rPr>
                <w:rFonts w:ascii="Cambria Math" w:hAnsi="Cambria Math"/>
              </w:rPr>
              <m:t>x</m:t>
            </m:r>
          </m:sub>
        </m:sSub>
      </m:oMath>
      <w:r>
        <w:t xml:space="preserve"> or </w:t>
      </w:r>
      <m:oMath>
        <m:sSub>
          <m:sSubPr>
            <m:ctrlPr>
              <w:rPr>
                <w:rFonts w:ascii="Cambria Math" w:hAnsi="Cambria Math"/>
              </w:rPr>
            </m:ctrlPr>
          </m:sSubPr>
          <m:e>
            <m:r>
              <w:rPr>
                <w:rFonts w:ascii="Cambria Math" w:hAnsi="Cambria Math"/>
              </w:rPr>
              <m:t>f</m:t>
            </m:r>
          </m:e>
          <m:sub>
            <m:r>
              <w:rPr>
                <w:rFonts w:ascii="Cambria Math" w:hAnsi="Cambria Math"/>
              </w:rPr>
              <m:t>y</m:t>
            </m:r>
          </m:sub>
        </m:sSub>
      </m:oMath>
      <w:r>
        <w:t xml:space="preserve"> have </w:t>
      </w:r>
      <m:oMath>
        <m:r>
          <w:rPr>
            <w:rFonts w:ascii="Cambria Math" w:hAnsi="Cambria Math"/>
          </w:rPr>
          <m:t>m</m:t>
        </m:r>
      </m:oMath>
      <w:r>
        <w:t xml:space="preserve"> elements (with </w:t>
      </w:r>
      <m:oMath>
        <m:r>
          <w:rPr>
            <w:rFonts w:ascii="Cambria Math" w:hAnsi="Cambria Math"/>
          </w:rPr>
          <m:t>m&gt;n</m:t>
        </m:r>
      </m:oMath>
      <w:r>
        <w:t xml:space="preserve">) </w:t>
      </w:r>
      <m:oMath>
        <m:sSubSup>
          <m:sSubSupPr>
            <m:ctrlPr>
              <w:rPr>
                <w:rFonts w:ascii="Cambria Math" w:hAnsi="Cambria Math"/>
              </w:rPr>
            </m:ctrlPr>
          </m:sSubSupPr>
          <m:e>
            <m:r>
              <w:rPr>
                <w:rFonts w:ascii="Cambria Math" w:hAnsi="Cambria Math"/>
              </w:rPr>
              <m:t>f</m:t>
            </m:r>
          </m:e>
          <m:sub>
            <m:r>
              <w:rPr>
                <w:rFonts w:ascii="Cambria Math" w:hAnsi="Cambria Math"/>
              </w:rPr>
              <m:t>z</m:t>
            </m:r>
          </m:sub>
          <m:sup>
            <m:r>
              <w:rPr>
                <w:rFonts w:ascii="Cambria Math" w:hAnsi="Cambria Math"/>
              </w:rPr>
              <m:t>*</m:t>
            </m:r>
          </m:sup>
        </m:sSubSup>
      </m:oMath>
      <w:r>
        <w:t xml:space="preserve">, a rarefied estimated of the function with </w:t>
      </w:r>
      <m:oMath>
        <m:r>
          <w:rPr>
            <w:rFonts w:ascii="Cambria Math" w:hAnsi="Cambria Math"/>
          </w:rPr>
          <m:t>m</m:t>
        </m:r>
      </m:oMath>
      <w:r>
        <w:t xml:space="preserve"> elements is used instead.</w:t>
      </w:r>
    </w:p>
    <w:p w14:paraId="023FE18A" w14:textId="77777777" w:rsidR="002B6C80" w:rsidRDefault="00F86E15" w:rsidP="00AE6C6F">
      <w:pPr>
        <w:pStyle w:val="BodyText"/>
        <w:jc w:val="center"/>
      </w:pPr>
      <m:oMath>
        <m:nary>
          <m:naryPr>
            <m:limLoc m:val="subSup"/>
            <m:ctrlPr>
              <w:rPr>
                <w:rFonts w:ascii="Cambria Math" w:hAnsi="Cambria Math"/>
              </w:rPr>
            </m:ctrlPr>
          </m:naryPr>
          <m:sub>
            <m:r>
              <w:rPr>
                <w:rFonts w:ascii="Cambria Math" w:hAnsi="Cambria Math"/>
              </w:rPr>
              <m:t>0</m:t>
            </m:r>
          </m:sub>
          <m:sup>
            <m:r>
              <w:rPr>
                <w:rFonts w:ascii="Cambria Math" w:hAnsi="Cambria Math"/>
              </w:rPr>
              <m:t>n-1</m:t>
            </m:r>
          </m:sup>
          <m:e>
            <m:sSubSup>
              <m:sSubSupPr>
                <m:ctrlPr>
                  <w:rPr>
                    <w:rFonts w:ascii="Cambria Math" w:hAnsi="Cambria Math"/>
                  </w:rPr>
                </m:ctrlPr>
              </m:sSubSupPr>
              <m:e>
                <m:r>
                  <w:rPr>
                    <w:rFonts w:ascii="Cambria Math" w:hAnsi="Cambria Math"/>
                  </w:rPr>
                  <m:t>f</m:t>
                </m:r>
              </m:e>
              <m:sub>
                <m:r>
                  <w:rPr>
                    <w:rFonts w:ascii="Cambria Math" w:hAnsi="Cambria Math"/>
                  </w:rPr>
                  <m:t>z</m:t>
                </m:r>
              </m:sub>
              <m:sup>
                <m:r>
                  <w:rPr>
                    <w:rFonts w:ascii="Cambria Math" w:hAnsi="Cambria Math"/>
                  </w:rPr>
                  <m:t>*</m:t>
                </m:r>
              </m:sup>
            </m:sSubSup>
          </m:e>
        </m:nary>
        <m:r>
          <w:rPr>
            <w:rFonts w:ascii="Cambria Math" w:hAnsi="Cambria Math"/>
          </w:rPr>
          <m:t>d(z)=</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p</m:t>
                </m:r>
              </m:sup>
              <m:e>
                <m:r>
                  <w:rPr>
                    <w:rFonts w:ascii="Cambria Math" w:hAnsi="Cambria Math"/>
                  </w:rPr>
                  <m:t>∫</m:t>
                </m:r>
              </m:e>
            </m:nary>
            <m:sSubSup>
              <m:sSubSupPr>
                <m:ctrlPr>
                  <w:rPr>
                    <w:rFonts w:ascii="Cambria Math" w:hAnsi="Cambria Math"/>
                  </w:rPr>
                </m:ctrlPr>
              </m:sSubSupPr>
              <m:e>
                <m:r>
                  <w:rPr>
                    <w:rFonts w:ascii="Cambria Math" w:hAnsi="Cambria Math"/>
                  </w:rPr>
                  <m:t>f</m:t>
                </m:r>
              </m:e>
              <m:sub>
                <m:r>
                  <w:rPr>
                    <w:rFonts w:ascii="Cambria Math" w:hAnsi="Cambria Math"/>
                  </w:rPr>
                  <m:t>zi</m:t>
                </m:r>
              </m:sub>
              <m:sup>
                <m:r>
                  <w:rPr>
                    <w:rFonts w:ascii="Cambria Math" w:hAnsi="Cambria Math"/>
                  </w:rPr>
                  <m:t>*</m:t>
                </m:r>
              </m:sup>
            </m:sSubSup>
          </m:num>
          <m:den>
            <m:r>
              <w:rPr>
                <w:rFonts w:ascii="Cambria Math" w:hAnsi="Cambria Math"/>
              </w:rPr>
              <m:t>p</m:t>
            </m:r>
          </m:den>
        </m:f>
      </m:oMath>
      <w:r w:rsidR="00AE6C6F">
        <w:rPr>
          <w:rFonts w:eastAsiaTheme="minorEastAsia"/>
        </w:rPr>
        <w:t xml:space="preserve">             (eq. 2)</w:t>
      </w:r>
    </w:p>
    <w:p w14:paraId="67BC19A9" w14:textId="77777777" w:rsidR="002B6C80" w:rsidRDefault="001741DD">
      <w:pPr>
        <w:pStyle w:val="FirstParagraph"/>
      </w:pPr>
      <w:r>
        <w:t xml:space="preserve">Where </w:t>
      </w:r>
      <m:oMath>
        <m:r>
          <w:rPr>
            <w:rFonts w:ascii="Cambria Math" w:hAnsi="Cambria Math"/>
          </w:rPr>
          <m:t>p</m:t>
        </m:r>
      </m:oMath>
      <w:r>
        <w:t xml:space="preserve"> is the number of rarefaction replicates. </w:t>
      </w:r>
      <m:oMath>
        <m:r>
          <w:rPr>
            <w:rFonts w:ascii="Cambria Math" w:hAnsi="Cambria Math"/>
          </w:rPr>
          <m:t>p</m:t>
        </m:r>
      </m:oMath>
      <w:r>
        <w:t xml:space="preserve"> is chosen based on the Silverman’s rule of thumb for choosing the bandwidth of a Gaussian kernel density estimator multiplied by 1000 with a result forced to be 100 </w:t>
      </w:r>
      <m:oMath>
        <m:r>
          <w:rPr>
            <w:rFonts w:ascii="Cambria Math" w:hAnsi="Cambria Math"/>
          </w:rPr>
          <m:t>≤p≤</m:t>
        </m:r>
      </m:oMath>
      <w:r>
        <w:t xml:space="preserve"> 1000 [</w:t>
      </w:r>
      <w:hyperlink r:id="rId9" w:history="1">
        <w:r w:rsidRPr="00453511">
          <w:rPr>
            <w:rStyle w:val="Hyperlink"/>
          </w:rPr>
          <w:t>CITE SILVERNMAN</w:t>
        </w:r>
      </w:hyperlink>
      <w:r>
        <w:t>].</w:t>
      </w:r>
    </w:p>
    <w:p w14:paraId="363160E2" w14:textId="77777777" w:rsidR="002B6C80" w:rsidRDefault="001741DD" w:rsidP="00AE6C6F">
      <w:pPr>
        <w:pStyle w:val="BodyText"/>
        <w:jc w:val="center"/>
      </w:pPr>
      <m:oMath>
        <m:r>
          <w:rPr>
            <w:rFonts w:ascii="Cambria Math" w:hAnsi="Cambria Math"/>
          </w:rPr>
          <m:t>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0.9×</m:t>
                    </m:r>
                    <m:sSub>
                      <m:sSubPr>
                        <m:ctrlPr>
                          <w:rPr>
                            <w:rFonts w:ascii="Cambria Math" w:hAnsi="Cambria Math"/>
                          </w:rPr>
                        </m:ctrlPr>
                      </m:sSubPr>
                      <m:e>
                        <m:r>
                          <w:rPr>
                            <w:rFonts w:ascii="Cambria Math" w:hAnsi="Cambria Math"/>
                          </w:rPr>
                          <m:t>σ</m:t>
                        </m:r>
                      </m:e>
                      <m:sub>
                        <m:r>
                          <w:rPr>
                            <w:rFonts w:ascii="Cambria Math" w:hAnsi="Cambria Math"/>
                          </w:rPr>
                          <m:t>m</m:t>
                        </m:r>
                      </m:sub>
                    </m:sSub>
                  </m:num>
                  <m:den>
                    <m:r>
                      <w:rPr>
                        <w:rFonts w:ascii="Cambria Math" w:hAnsi="Cambria Math"/>
                      </w:rPr>
                      <m:t>1.34n</m:t>
                    </m:r>
                  </m:den>
                </m:f>
              </m:e>
            </m:d>
          </m:e>
          <m:sup>
            <m:r>
              <w:rPr>
                <w:rFonts w:ascii="Cambria Math" w:hAnsi="Cambria Math"/>
              </w:rPr>
              <m:t>-1/5</m:t>
            </m:r>
          </m:sup>
        </m:sSup>
      </m:oMath>
      <w:r w:rsidR="00AE6C6F">
        <w:rPr>
          <w:rFonts w:eastAsiaTheme="minorEastAsia"/>
        </w:rPr>
        <w:t xml:space="preserve">             (eq. 3)</w:t>
      </w:r>
    </w:p>
    <w:p w14:paraId="1F5E8B94" w14:textId="77777777" w:rsidR="002B6C80" w:rsidRDefault="001741DD">
      <w:pPr>
        <w:pStyle w:val="FirstParagraph"/>
      </w:pPr>
      <w:r>
        <w:t xml:space="preserve">With </w:t>
      </w:r>
      <m:oMath>
        <m:sSub>
          <m:sSubPr>
            <m:ctrlPr>
              <w:rPr>
                <w:rFonts w:ascii="Cambria Math" w:hAnsi="Cambria Math"/>
              </w:rPr>
            </m:ctrlPr>
          </m:sSubPr>
          <m:e>
            <m:r>
              <w:rPr>
                <w:rFonts w:ascii="Cambria Math" w:hAnsi="Cambria Math"/>
              </w:rPr>
              <m:t>σ</m:t>
            </m:r>
          </m:e>
          <m:sub>
            <m:r>
              <w:rPr>
                <w:rFonts w:ascii="Cambria Math" w:hAnsi="Cambria Math"/>
              </w:rPr>
              <m:t>m</m:t>
            </m:r>
          </m:sub>
        </m:sSub>
      </m:oMath>
      <w:r>
        <w:t xml:space="preserve"> being the minimum of the standard deviation and the interquartile range of the distribution. This allows the rarefaction algorithm to be fast but “fair” (i.e. reducing the number of re-sampling the when the distribution is more homogeneous </w:t>
      </w:r>
      <w:hyperlink r:id="rId10" w:history="1">
        <w:r w:rsidRPr="00453511">
          <w:rPr>
            <w:rStyle w:val="Hyperlink"/>
          </w:rPr>
          <w:t>CITE SILVERMAN</w:t>
        </w:r>
      </w:hyperlink>
      <w:r>
        <w:t>). If the area difference is positive, the landmark’s variation in the partition is bigger than the overall landmark’s variation, if the difference is negative, the variation is smaller.</w:t>
      </w:r>
    </w:p>
    <w:p w14:paraId="091D7F91" w14:textId="77777777" w:rsidR="002B6C80" w:rsidRDefault="001741DD">
      <w:pPr>
        <w:pStyle w:val="Heading3"/>
      </w:pPr>
      <w:bookmarkStart w:id="5" w:name="probability-of-overlap-between-size-diff"/>
      <w:bookmarkEnd w:id="5"/>
      <w:r>
        <w:t>Probability of overlap between size differences (Bhattacharyya Coefficient)</w:t>
      </w:r>
    </w:p>
    <w:p w14:paraId="4BB38623" w14:textId="77777777" w:rsidR="002B6C80" w:rsidRDefault="001741DD">
      <w:pPr>
        <w:pStyle w:val="FirstParagraph"/>
      </w:pPr>
      <w:r>
        <w:t>The Bhattacharyya Coefficient calculates the probability of overlap of two distributions [</w:t>
      </w:r>
      <w:hyperlink r:id="rId11" w:history="1">
        <w:r w:rsidRPr="00453511">
          <w:rPr>
            <w:rStyle w:val="Hyperlink"/>
          </w:rPr>
          <w:t>CITE BHATTA</w:t>
        </w:r>
      </w:hyperlink>
      <w:r>
        <w:t xml:space="preserve">; </w:t>
      </w:r>
      <w:hyperlink r:id="rId12" w:history="1">
        <w:r w:rsidRPr="00AE6C6F">
          <w:rPr>
            <w:rStyle w:val="Hyperlink"/>
          </w:rPr>
          <w:t>CITE GUILLERME</w:t>
        </w:r>
      </w:hyperlink>
      <w:r>
        <w:t xml:space="preserve">]. When it is equal to zero, the probability of overlap of the distributions is also zero, and when it is equal to one, the two distributions are entirely overlapping. It forms an elegant and easy to compute continuous measurement of the probability of similarity between two distributions. The coefficient is calculated as the sum of the square root of the relative counts shared in </w:t>
      </w:r>
      <m:oMath>
        <m:r>
          <w:rPr>
            <w:rFonts w:ascii="Cambria Math" w:hAnsi="Cambria Math"/>
          </w:rPr>
          <m:t>n</m:t>
        </m:r>
      </m:oMath>
      <w:r>
        <w:t xml:space="preserve"> bins among two distributions.</w:t>
      </w:r>
    </w:p>
    <w:p w14:paraId="412DC9DA" w14:textId="77777777" w:rsidR="002B6C80" w:rsidRDefault="00453511" w:rsidP="00AE6C6F">
      <w:pPr>
        <w:pStyle w:val="BodyText"/>
        <w:jc w:val="center"/>
      </w:pPr>
      <m:oMath>
        <m:r>
          <m:rPr>
            <m:sty m:val="p"/>
          </m:rPr>
          <w:rPr>
            <w:rFonts w:ascii="Cambria Math" w:hAnsi="Cambria Math"/>
          </w:rPr>
          <m:t>Bhattacharyya Coefficient</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rad>
          </m:e>
        </m:nary>
      </m:oMath>
      <w:r w:rsidR="00AE6C6F">
        <w:rPr>
          <w:rFonts w:eastAsiaTheme="minorEastAsia"/>
        </w:rPr>
        <w:t xml:space="preserve">             (eq. 4)</w:t>
      </w:r>
    </w:p>
    <w:p w14:paraId="14A58192" w14:textId="77777777" w:rsidR="002B6C80" w:rsidRDefault="001741DD">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are the number of counts in bin </w:t>
      </w:r>
      <m:oMath>
        <m:r>
          <w:rPr>
            <w:rFonts w:ascii="Cambria Math" w:hAnsi="Cambria Math"/>
          </w:rPr>
          <m:t>i</m:t>
        </m:r>
      </m:oMath>
      <w:r>
        <w:t xml:space="preserve"> for the distributions </w:t>
      </w:r>
      <m:oMath>
        <m:r>
          <w:rPr>
            <w:rFonts w:ascii="Cambria Math" w:hAnsi="Cambria Math"/>
          </w:rPr>
          <m:t>a</m:t>
        </m:r>
      </m:oMath>
      <w:r>
        <w:t xml:space="preserve"> and </w:t>
      </w:r>
      <m:oMath>
        <m:r>
          <w:rPr>
            <w:rFonts w:ascii="Cambria Math" w:hAnsi="Cambria Math"/>
          </w:rPr>
          <m:t>b</m:t>
        </m:r>
      </m:oMath>
      <w:r>
        <w:t xml:space="preserve"> respectively divided by the total number of counts in the distribution </w:t>
      </w:r>
      <m:oMath>
        <m:r>
          <w:rPr>
            <w:rFonts w:ascii="Cambria Math" w:hAnsi="Cambria Math"/>
          </w:rPr>
          <m:t>a</m:t>
        </m:r>
      </m:oMath>
      <w:r>
        <w:t xml:space="preserve"> and </w:t>
      </w:r>
      <m:oMath>
        <m:r>
          <w:rPr>
            <w:rFonts w:ascii="Cambria Math" w:hAnsi="Cambria Math"/>
          </w:rPr>
          <m:t>b</m:t>
        </m:r>
      </m:oMath>
      <w:r>
        <w:t xml:space="preserve"> respectively.</w:t>
      </w:r>
    </w:p>
    <w:p w14:paraId="2C687B8F" w14:textId="77777777" w:rsidR="002B6C80" w:rsidRDefault="001741DD">
      <w:pPr>
        <w:pStyle w:val="BodyText"/>
      </w:pPr>
      <m:oMath>
        <m:r>
          <w:rPr>
            <w:rFonts w:ascii="Cambria Math" w:hAnsi="Cambria Math"/>
          </w:rPr>
          <m:t>n</m:t>
        </m:r>
      </m:oMath>
      <w:r>
        <w:t xml:space="preserve"> was determined using the Silverman</w:t>
      </w:r>
      <w:r w:rsidR="00AE6C6F">
        <w:t>’s rule of thumb (see equation 3</w:t>
      </w:r>
      <w:r>
        <w:t xml:space="preserve">). We consider two distributions to be significantly similar when their Bhattacharyya Coefficient is </w:t>
      </w:r>
      <m:oMath>
        <m:r>
          <w:rPr>
            <w:rFonts w:ascii="Cambria Math" w:hAnsi="Cambria Math"/>
          </w:rPr>
          <m:t>&lt;0.95</m:t>
        </m:r>
      </m:oMath>
      <w:r>
        <w:t xml:space="preserve">. Conversely, they are significantly different when their Bhattacharyya Coefficient is </w:t>
      </w:r>
      <m:oMath>
        <m:r>
          <w:rPr>
            <w:rFonts w:ascii="Cambria Math" w:hAnsi="Cambria Math"/>
          </w:rPr>
          <m:t>&lt;0.05</m:t>
        </m:r>
      </m:oMath>
      <w:r>
        <w:t>. Values in between these two threshold just show the probability of overlap between the distributions but are not conclusive to assess the similarity or differences between the distributions.</w:t>
      </w:r>
    </w:p>
    <w:p w14:paraId="3F58D54C" w14:textId="77777777" w:rsidR="002B6C80" w:rsidRDefault="001741DD">
      <w:pPr>
        <w:pStyle w:val="Heading2"/>
      </w:pPr>
      <w:bookmarkStart w:id="6" w:name="random-permutation-test"/>
      <w:bookmarkEnd w:id="6"/>
      <w:r>
        <w:lastRenderedPageBreak/>
        <w:t>Random permutation test</w:t>
      </w:r>
    </w:p>
    <w:p w14:paraId="4DFB8EDD" w14:textId="77777777" w:rsidR="002B6C80" w:rsidRDefault="001741DD">
      <w:pPr>
        <w:pStyle w:val="FirstParagraph"/>
      </w:pPr>
      <w:r>
        <w:t xml:space="preserve">To test whether the landmarks’ variation (i.e. the radii between the “maximum” and “minimum” cranium/mandible) one partition is different than the rest of the landmark’s variation, we used a kind of permutation test (based on a modification from </w:t>
      </w:r>
      <w:r>
        <w:rPr>
          <w:rStyle w:val="VerbatimChar"/>
        </w:rPr>
        <w:t>ade4::as.randtest</w:t>
      </w:r>
      <w:r>
        <w:t xml:space="preserve"> [</w:t>
      </w:r>
      <w:hyperlink r:id="rId13" w:history="1">
        <w:r w:rsidRPr="00AE6C6F">
          <w:rPr>
            <w:rStyle w:val="Hyperlink"/>
          </w:rPr>
          <w:t>CITE THIOULOUS</w:t>
        </w:r>
      </w:hyperlink>
      <w:r>
        <w:t xml:space="preserve">]). This is a pretty intuitive yet powerful test aiming to calculate whether the observed difference in statistic (either the area difference or the probability of overlap) is different than the same statistic drawn randomly from the same population (here, the distribution of all the landmark’s variation). First we measured the statistic between the landmark partition of interest and all the other landmarks (including the ones from the partition). Second, we generated 1000 statistics by randomly sampling the same number of landmarks as in the partition in the whole distributions and compared them again to the full distribution. This resulted in 1000 null comparisons (i.e. assuming the null hypothesis that the statistic in the partition is the same as the statistic in the total distribution). We then calculated the </w:t>
      </w:r>
      <w:r>
        <w:rPr>
          <w:i/>
        </w:rPr>
        <w:t>p</w:t>
      </w:r>
      <w:r>
        <w:t xml:space="preserve"> value based on:</w:t>
      </w:r>
    </w:p>
    <w:p w14:paraId="46A48E59" w14:textId="77777777" w:rsidR="002B6C80" w:rsidRDefault="001741DD" w:rsidP="00AE6C6F">
      <w:pPr>
        <w:pStyle w:val="BodyText"/>
        <w:jc w:val="center"/>
      </w:pPr>
      <m:oMath>
        <m:r>
          <w:rPr>
            <w:rFonts w:ascii="Cambria Math" w:hAnsi="Cambria Math"/>
          </w:rPr>
          <m:t>p=</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B</m:t>
                </m:r>
              </m:sup>
              <m:e>
                <m:d>
                  <m:dPr>
                    <m:ctrlPr>
                      <w:rPr>
                        <w:rFonts w:ascii="Cambria Math" w:hAnsi="Cambria Math"/>
                      </w:rPr>
                    </m:ctrlPr>
                  </m:dPr>
                  <m:e>
                    <m:r>
                      <w:rPr>
                        <w:rFonts w:ascii="Cambria Math" w:hAnsi="Cambria Math"/>
                      </w:rPr>
                      <m:t>rando</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&gt;=observed</m:t>
                    </m:r>
                  </m:e>
                </m:d>
              </m:e>
            </m:nary>
            <m:r>
              <w:rPr>
                <w:rFonts w:ascii="Cambria Math" w:hAnsi="Cambria Math"/>
              </w:rPr>
              <m:t>+1</m:t>
            </m:r>
          </m:num>
          <m:den>
            <m:r>
              <w:rPr>
                <w:rFonts w:ascii="Cambria Math" w:hAnsi="Cambria Math"/>
              </w:rPr>
              <m:t>B+1</m:t>
            </m:r>
          </m:den>
        </m:f>
      </m:oMath>
      <w:r w:rsidR="00AE6C6F">
        <w:rPr>
          <w:rFonts w:eastAsiaTheme="minorEastAsia"/>
        </w:rPr>
        <w:t xml:space="preserve">             (eq. 5)</w:t>
      </w:r>
    </w:p>
    <w:p w14:paraId="31F5D2E9" w14:textId="77777777" w:rsidR="002B6C80" w:rsidRDefault="001741DD">
      <w:pPr>
        <w:pStyle w:val="FirstParagraph"/>
      </w:pPr>
      <w:r>
        <w:t xml:space="preserve">Where </w:t>
      </w:r>
      <m:oMath>
        <m:r>
          <w:rPr>
            <w:rFonts w:ascii="Cambria Math" w:hAnsi="Cambria Math"/>
          </w:rPr>
          <m:t>B</m:t>
        </m:r>
      </m:oMath>
      <w:r>
        <w:t xml:space="preserve"> is the number of random draws (1000 bootstrap pseudo-replicates), </w:t>
      </w:r>
      <m:oMath>
        <m:r>
          <w:rPr>
            <w:rFonts w:ascii="Cambria Math" w:hAnsi="Cambria Math"/>
          </w:rPr>
          <m:t>rando</m:t>
        </m:r>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statistic from the comparison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randomly drawn partition and the distribution and </w:t>
      </w:r>
      <m:oMath>
        <m:r>
          <w:rPr>
            <w:rFonts w:ascii="Cambria Math" w:hAnsi="Cambria Math"/>
          </w:rPr>
          <m:t>observed</m:t>
        </m:r>
      </m:oMath>
      <w:r>
        <w:t xml:space="preserve"> is the observed statistic between the partition and the distribution. An increased number of bootstrap pseudo-replications increases the type I error. We therefore lowered our threshold for accepting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to 0.01 instead of the commonly used 0.05.</w:t>
      </w:r>
    </w:p>
    <w:sectPr w:rsidR="002B6C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FB6D7" w14:textId="77777777" w:rsidR="00F86E15" w:rsidRDefault="00F86E15">
      <w:pPr>
        <w:spacing w:after="0"/>
      </w:pPr>
      <w:r>
        <w:separator/>
      </w:r>
    </w:p>
  </w:endnote>
  <w:endnote w:type="continuationSeparator" w:id="0">
    <w:p w14:paraId="098F80D5" w14:textId="77777777" w:rsidR="00F86E15" w:rsidRDefault="00F86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80491" w14:textId="77777777" w:rsidR="00F86E15" w:rsidRDefault="00F86E15">
      <w:r>
        <w:separator/>
      </w:r>
    </w:p>
  </w:footnote>
  <w:footnote w:type="continuationSeparator" w:id="0">
    <w:p w14:paraId="3B196296" w14:textId="77777777" w:rsidR="00F86E15" w:rsidRDefault="00F86E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EEF258"/>
    <w:multiLevelType w:val="multilevel"/>
    <w:tmpl w:val="B9D49C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7C2E2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9BCBFD"/>
    <w:multiLevelType w:val="multilevel"/>
    <w:tmpl w:val="88C685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41DD"/>
    <w:rsid w:val="001A6711"/>
    <w:rsid w:val="001D1CBE"/>
    <w:rsid w:val="002B6C80"/>
    <w:rsid w:val="00453511"/>
    <w:rsid w:val="004E29B3"/>
    <w:rsid w:val="00590D07"/>
    <w:rsid w:val="00784D58"/>
    <w:rsid w:val="008D6863"/>
    <w:rsid w:val="00AE6C6F"/>
    <w:rsid w:val="00B86B75"/>
    <w:rsid w:val="00BC48D5"/>
    <w:rsid w:val="00BD2923"/>
    <w:rsid w:val="00C36279"/>
    <w:rsid w:val="00E315A3"/>
    <w:rsid w:val="00E71CAA"/>
    <w:rsid w:val="00F86E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CB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4535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usercontent.com/scholar.enw?q=info:K1BkX8mmZF8J:scholar.google.com/&amp;output=citation&amp;scisig=AAGBfm0AAAAAWsWdBttRNb84L1_PaId7yTjwjqdFKUwT&amp;scisf=3&amp;ct=citation&amp;cd=-1&amp;hl=en" TargetMode="External"/><Relationship Id="rId12" Type="http://schemas.openxmlformats.org/officeDocument/2006/relationships/hyperlink" Target="https://scholar.googleusercontent.com/scholar.enw?q=info:xINpsBGGa2YJ:scholar.google.com/&amp;output=citation&amp;scisig=AAGBfm0AAAAAWsWdPqo9fA2pYyANT1k-HZLIG_LeMBET&amp;scisf=3&amp;ct=citation&amp;cd=-1&amp;hl=en" TargetMode="External"/><Relationship Id="rId13" Type="http://schemas.openxmlformats.org/officeDocument/2006/relationships/hyperlink" Target="https://scholar.googleusercontent.com/scholar.enw?q=info:D7YFXN9dhNoJ:scholar.google.com/&amp;output=citation&amp;scisig=AAGBfm0AAAAAWsWfFOTSWlZRE1b2yJ_7REIccOHOla7d&amp;scisf=3&amp;ct=citation&amp;cd=-1&amp;hl=e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holar.googleusercontent.com/scholar.enw?q=info:5ZyBqM-YIwUJ:scholar.google.com/&amp;output=citation&amp;scisig=AAGBfm0AAAAAWsWbTUBK3jllx3lcdeQmf7gkwWclv4OR&amp;scisf=3&amp;ct=citation&amp;cd=-1&amp;hl=en" TargetMode="External"/><Relationship Id="rId8" Type="http://schemas.openxmlformats.org/officeDocument/2006/relationships/hyperlink" Target="https://github.com/TGuillerme/landmark-test" TargetMode="External"/><Relationship Id="rId9" Type="http://schemas.openxmlformats.org/officeDocument/2006/relationships/hyperlink" Target="https://scholar.googleusercontent.com/scholar.enw?q=info:UGz7W84HloAJ:scholar.google.com/&amp;output=citation&amp;scisig=AAGBfm0AAAAAWsWcW-x_EpNItS_u-3x_T_-uVXdptYdA&amp;scisf=3&amp;ct=citation&amp;cd=-1&amp;hl=en" TargetMode="External"/><Relationship Id="rId10" Type="http://schemas.openxmlformats.org/officeDocument/2006/relationships/hyperlink" Target="https://scholar.googleusercontent.com/scholar.enw?q=info:UGz7W84HloAJ:scholar.google.com/&amp;output=citation&amp;scisig=AAGBfm0AAAAAWsWcW-x_EpNItS_u-3x_T_-uVXdptYdA&amp;scisf=3&amp;ct=citation&amp;cd=-1&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1768</Words>
  <Characters>10081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5</cp:revision>
  <dcterms:created xsi:type="dcterms:W3CDTF">2018-04-05T03:30:00Z</dcterms:created>
  <dcterms:modified xsi:type="dcterms:W3CDTF">2018-05-14T06:29:00Z</dcterms:modified>
</cp:coreProperties>
</file>