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B32487" w14:textId="77777777" w:rsidR="00C35387" w:rsidRPr="00C35387" w:rsidRDefault="00C35387">
      <w:pPr>
        <w:pStyle w:val="TableCaption"/>
        <w:rPr>
          <w:b/>
          <w:i w:val="0"/>
        </w:rPr>
      </w:pPr>
      <w:r w:rsidRPr="00C35387">
        <w:rPr>
          <w:b/>
          <w:i w:val="0"/>
        </w:rPr>
        <w:t xml:space="preserve">Supplementary materials @@@: </w:t>
      </w:r>
      <w:r>
        <w:rPr>
          <w:b/>
          <w:i w:val="0"/>
        </w:rPr>
        <w:t>difference between groups size in the ordinated space (PCA)</w:t>
      </w:r>
    </w:p>
    <w:p w14:paraId="5C8D4368" w14:textId="77777777" w:rsidR="00C35387" w:rsidRDefault="00C35387">
      <w:pPr>
        <w:pStyle w:val="TableCaption"/>
      </w:pPr>
    </w:p>
    <w:p w14:paraId="1DDBC024" w14:textId="1071FCBE" w:rsidR="00C35387" w:rsidRDefault="007D6A1A" w:rsidP="00C35387">
      <w:pPr>
        <w:pStyle w:val="TableCaption"/>
        <w:rPr>
          <w:i w:val="0"/>
        </w:rPr>
      </w:pPr>
      <w:r>
        <w:rPr>
          <w:i w:val="0"/>
        </w:rPr>
        <w:t xml:space="preserve">1 – we tested whether </w:t>
      </w:r>
      <w:bookmarkStart w:id="0" w:name="pca-t-tests.tex"/>
      <w:bookmarkEnd w:id="0"/>
      <w:r w:rsidR="007E45D7">
        <w:rPr>
          <w:i w:val="0"/>
        </w:rPr>
        <w:t xml:space="preserve">there </w:t>
      </w:r>
      <w:r w:rsidR="002E5906">
        <w:rPr>
          <w:i w:val="0"/>
        </w:rPr>
        <w:t>were</w:t>
      </w:r>
      <w:r w:rsidR="007E45D7">
        <w:rPr>
          <w:i w:val="0"/>
        </w:rPr>
        <w:t xml:space="preserve"> any differences between groups in terms their pairwise distances (PERMANOVA, table 1)</w:t>
      </w:r>
      <w:r w:rsidR="002E5906">
        <w:rPr>
          <w:i w:val="0"/>
        </w:rPr>
        <w:t>. Yes.</w:t>
      </w:r>
    </w:p>
    <w:p w14:paraId="353AD760" w14:textId="1A419678" w:rsidR="002E5906" w:rsidRDefault="002E5906" w:rsidP="00C35387">
      <w:pPr>
        <w:pStyle w:val="TableCaption"/>
        <w:rPr>
          <w:i w:val="0"/>
        </w:rPr>
      </w:pPr>
      <w:r>
        <w:rPr>
          <w:i w:val="0"/>
        </w:rPr>
        <w:t>2 – we then tested whether there were any differences between groups in terms of their size or their position (t-test, table 2 and 3). Yes, for some.</w:t>
      </w:r>
    </w:p>
    <w:p w14:paraId="39F229FD" w14:textId="04656337" w:rsidR="002E5906" w:rsidRDefault="002E5906" w:rsidP="00C35387">
      <w:pPr>
        <w:pStyle w:val="TableCaption"/>
        <w:rPr>
          <w:i w:val="0"/>
        </w:rPr>
      </w:pPr>
      <w:r>
        <w:rPr>
          <w:i w:val="0"/>
        </w:rPr>
        <w:t xml:space="preserve">3- however, we don’t know what this differences translates too in the skulls (i.e. are skulls in one group wider? etc.). So we plotted the extremes of the variation of the first PC axis on the consensus skull and looked which regions of the skulls seemed to have the most changes. The </w:t>
      </w:r>
      <w:proofErr w:type="spellStart"/>
      <w:r>
        <w:rPr>
          <w:i w:val="0"/>
        </w:rPr>
        <w:t>heatplots</w:t>
      </w:r>
      <w:proofErr w:type="spellEnd"/>
      <w:r>
        <w:rPr>
          <w:i w:val="0"/>
        </w:rPr>
        <w:t xml:space="preserve"> thing.</w:t>
      </w:r>
    </w:p>
    <w:p w14:paraId="077E63CF" w14:textId="4CD40D4B" w:rsidR="002E5906" w:rsidRDefault="002E5906" w:rsidP="00C35387">
      <w:pPr>
        <w:pStyle w:val="TableCaption"/>
        <w:rPr>
          <w:i w:val="0"/>
        </w:rPr>
      </w:pPr>
      <w:r>
        <w:rPr>
          <w:i w:val="0"/>
        </w:rPr>
        <w:t>4- we then used these regions to test whether they were actually changing in the Procrustes space at an individual level.</w:t>
      </w:r>
    </w:p>
    <w:p w14:paraId="01977AFD" w14:textId="77777777" w:rsidR="009B3963" w:rsidRDefault="009B3963" w:rsidP="00C35387">
      <w:pPr>
        <w:pStyle w:val="TableCaption"/>
        <w:rPr>
          <w:i w:val="0"/>
        </w:rPr>
      </w:pPr>
      <w:bookmarkStart w:id="1" w:name="_GoBack"/>
      <w:bookmarkEnd w:id="1"/>
    </w:p>
    <w:p w14:paraId="37D959B3" w14:textId="335507F4" w:rsidR="009B3963" w:rsidRDefault="007E45D7" w:rsidP="009B3963">
      <w:pPr>
        <w:pStyle w:val="TableCaption"/>
      </w:pPr>
      <w:r w:rsidRPr="007E45D7">
        <w:rPr>
          <w:b/>
        </w:rPr>
        <w:t xml:space="preserve">Table 1: </w:t>
      </w:r>
      <w:r w:rsidR="009B3963">
        <w:t>PERMANOVA results based on the distances of the PCA for both partition (specimens pairwise distances   species)</w:t>
      </w:r>
    </w:p>
    <w:tbl>
      <w:tblPr>
        <w:tblW w:w="0" w:type="pct"/>
        <w:tblLook w:val="07E0" w:firstRow="1" w:lastRow="1" w:firstColumn="1" w:lastColumn="1" w:noHBand="1" w:noVBand="1"/>
      </w:tblPr>
      <w:tblGrid>
        <w:gridCol w:w="2217"/>
        <w:gridCol w:w="797"/>
        <w:gridCol w:w="1354"/>
        <w:gridCol w:w="1134"/>
        <w:gridCol w:w="1033"/>
        <w:gridCol w:w="664"/>
        <w:gridCol w:w="944"/>
      </w:tblGrid>
      <w:tr w:rsidR="009B3963" w14:paraId="7DF735F4" w14:textId="77777777" w:rsidTr="00C07A44">
        <w:tc>
          <w:tcPr>
            <w:tcW w:w="0" w:type="auto"/>
            <w:tcBorders>
              <w:bottom w:val="single" w:sz="0" w:space="0" w:color="auto"/>
            </w:tcBorders>
            <w:vAlign w:val="bottom"/>
          </w:tcPr>
          <w:p w14:paraId="2852F967" w14:textId="77777777" w:rsidR="009B3963" w:rsidRDefault="009B3963" w:rsidP="00C07A44">
            <w:pPr>
              <w:pStyle w:val="Compact"/>
            </w:pPr>
          </w:p>
        </w:tc>
        <w:tc>
          <w:tcPr>
            <w:tcW w:w="0" w:type="auto"/>
            <w:tcBorders>
              <w:bottom w:val="single" w:sz="0" w:space="0" w:color="auto"/>
            </w:tcBorders>
            <w:vAlign w:val="bottom"/>
          </w:tcPr>
          <w:p w14:paraId="1236A1F0" w14:textId="77777777" w:rsidR="009B3963" w:rsidRDefault="009B3963" w:rsidP="00C07A44">
            <w:pPr>
              <w:pStyle w:val="Compact"/>
              <w:jc w:val="right"/>
            </w:pPr>
            <w:proofErr w:type="spellStart"/>
            <w:r>
              <w:t>Df</w:t>
            </w:r>
            <w:proofErr w:type="spellEnd"/>
          </w:p>
        </w:tc>
        <w:tc>
          <w:tcPr>
            <w:tcW w:w="0" w:type="auto"/>
            <w:tcBorders>
              <w:bottom w:val="single" w:sz="0" w:space="0" w:color="auto"/>
            </w:tcBorders>
            <w:vAlign w:val="bottom"/>
          </w:tcPr>
          <w:p w14:paraId="54EF2C88" w14:textId="77777777" w:rsidR="009B3963" w:rsidRDefault="009B3963" w:rsidP="00C07A44">
            <w:pPr>
              <w:pStyle w:val="Compact"/>
              <w:jc w:val="right"/>
            </w:pPr>
            <w:proofErr w:type="spellStart"/>
            <w:r>
              <w:t>SumsOfSqs</w:t>
            </w:r>
            <w:proofErr w:type="spellEnd"/>
          </w:p>
        </w:tc>
        <w:tc>
          <w:tcPr>
            <w:tcW w:w="0" w:type="auto"/>
            <w:tcBorders>
              <w:bottom w:val="single" w:sz="0" w:space="0" w:color="auto"/>
            </w:tcBorders>
            <w:vAlign w:val="bottom"/>
          </w:tcPr>
          <w:p w14:paraId="768C4E05" w14:textId="77777777" w:rsidR="009B3963" w:rsidRDefault="009B3963" w:rsidP="00C07A44">
            <w:pPr>
              <w:pStyle w:val="Compact"/>
              <w:jc w:val="right"/>
            </w:pPr>
            <w:proofErr w:type="spellStart"/>
            <w:r>
              <w:t>MeanSqs</w:t>
            </w:r>
            <w:proofErr w:type="spellEnd"/>
          </w:p>
        </w:tc>
        <w:tc>
          <w:tcPr>
            <w:tcW w:w="0" w:type="auto"/>
            <w:tcBorders>
              <w:bottom w:val="single" w:sz="0" w:space="0" w:color="auto"/>
            </w:tcBorders>
            <w:vAlign w:val="bottom"/>
          </w:tcPr>
          <w:p w14:paraId="7F9A163D" w14:textId="77777777" w:rsidR="009B3963" w:rsidRDefault="009B3963" w:rsidP="00C07A44">
            <w:pPr>
              <w:pStyle w:val="Compact"/>
              <w:jc w:val="right"/>
            </w:pPr>
            <w:proofErr w:type="spellStart"/>
            <w:r>
              <w:t>F.Model</w:t>
            </w:r>
            <w:proofErr w:type="spellEnd"/>
          </w:p>
        </w:tc>
        <w:tc>
          <w:tcPr>
            <w:tcW w:w="0" w:type="auto"/>
            <w:tcBorders>
              <w:bottom w:val="single" w:sz="0" w:space="0" w:color="auto"/>
            </w:tcBorders>
            <w:vAlign w:val="bottom"/>
          </w:tcPr>
          <w:p w14:paraId="55542F40" w14:textId="77777777" w:rsidR="009B3963" w:rsidRDefault="009B3963" w:rsidP="00C07A44">
            <w:pPr>
              <w:pStyle w:val="Compact"/>
              <w:jc w:val="right"/>
            </w:pPr>
            <w:r>
              <w:t>R2</w:t>
            </w:r>
          </w:p>
        </w:tc>
        <w:tc>
          <w:tcPr>
            <w:tcW w:w="0" w:type="auto"/>
            <w:tcBorders>
              <w:bottom w:val="single" w:sz="0" w:space="0" w:color="auto"/>
            </w:tcBorders>
            <w:vAlign w:val="bottom"/>
          </w:tcPr>
          <w:p w14:paraId="19A5854A" w14:textId="77777777" w:rsidR="009B3963" w:rsidRDefault="009B3963" w:rsidP="00C07A44">
            <w:pPr>
              <w:pStyle w:val="Compact"/>
              <w:jc w:val="right"/>
            </w:pPr>
            <w:proofErr w:type="spellStart"/>
            <w:r>
              <w:t>Pr</w:t>
            </w:r>
            <w:proofErr w:type="spellEnd"/>
            <w:r>
              <w:t>(</w:t>
            </w:r>
            <m:oMath>
              <m:r>
                <w:rPr>
                  <w:rFonts w:ascii="Cambria Math" w:hAnsi="Cambria Math"/>
                </w:rPr>
                <m:t>&gt;</m:t>
              </m:r>
            </m:oMath>
            <w:r>
              <w:t>F)</w:t>
            </w:r>
          </w:p>
        </w:tc>
      </w:tr>
      <w:tr w:rsidR="009B3963" w14:paraId="106C03AC" w14:textId="77777777" w:rsidTr="00C07A44">
        <w:tc>
          <w:tcPr>
            <w:tcW w:w="0" w:type="auto"/>
          </w:tcPr>
          <w:p w14:paraId="0FDDDC30" w14:textId="77777777" w:rsidR="009B3963" w:rsidRDefault="009B3963" w:rsidP="00C07A44">
            <w:pPr>
              <w:pStyle w:val="Compact"/>
              <w:jc w:val="right"/>
            </w:pPr>
            <w:proofErr w:type="spellStart"/>
            <w:r>
              <w:t>group.cranium</w:t>
            </w:r>
            <w:proofErr w:type="spellEnd"/>
          </w:p>
        </w:tc>
        <w:tc>
          <w:tcPr>
            <w:tcW w:w="0" w:type="auto"/>
          </w:tcPr>
          <w:p w14:paraId="4D54CB5E" w14:textId="77777777" w:rsidR="009B3963" w:rsidRDefault="009B3963" w:rsidP="00C07A44">
            <w:pPr>
              <w:pStyle w:val="Compact"/>
              <w:jc w:val="right"/>
            </w:pPr>
            <w:r>
              <w:t>2.00</w:t>
            </w:r>
          </w:p>
        </w:tc>
        <w:tc>
          <w:tcPr>
            <w:tcW w:w="0" w:type="auto"/>
          </w:tcPr>
          <w:p w14:paraId="490ABC40" w14:textId="77777777" w:rsidR="009B3963" w:rsidRDefault="009B3963" w:rsidP="00C07A44">
            <w:pPr>
              <w:pStyle w:val="Compact"/>
              <w:jc w:val="right"/>
            </w:pPr>
            <w:r>
              <w:t>0.15</w:t>
            </w:r>
          </w:p>
        </w:tc>
        <w:tc>
          <w:tcPr>
            <w:tcW w:w="0" w:type="auto"/>
          </w:tcPr>
          <w:p w14:paraId="3BE4BAB1" w14:textId="77777777" w:rsidR="009B3963" w:rsidRDefault="009B3963" w:rsidP="00C07A44">
            <w:pPr>
              <w:pStyle w:val="Compact"/>
              <w:jc w:val="right"/>
            </w:pPr>
            <w:r>
              <w:t>0.08</w:t>
            </w:r>
          </w:p>
        </w:tc>
        <w:tc>
          <w:tcPr>
            <w:tcW w:w="0" w:type="auto"/>
          </w:tcPr>
          <w:p w14:paraId="50DAF12A" w14:textId="77777777" w:rsidR="009B3963" w:rsidRDefault="009B3963" w:rsidP="00C07A44">
            <w:pPr>
              <w:pStyle w:val="Compact"/>
              <w:jc w:val="right"/>
            </w:pPr>
            <w:r>
              <w:t>37.02</w:t>
            </w:r>
          </w:p>
        </w:tc>
        <w:tc>
          <w:tcPr>
            <w:tcW w:w="0" w:type="auto"/>
          </w:tcPr>
          <w:p w14:paraId="7A62C26E" w14:textId="77777777" w:rsidR="009B3963" w:rsidRDefault="009B3963" w:rsidP="00C07A44">
            <w:pPr>
              <w:pStyle w:val="Compact"/>
              <w:jc w:val="right"/>
            </w:pPr>
            <w:r>
              <w:t>0.52</w:t>
            </w:r>
          </w:p>
        </w:tc>
        <w:tc>
          <w:tcPr>
            <w:tcW w:w="0" w:type="auto"/>
          </w:tcPr>
          <w:p w14:paraId="39C9DE90" w14:textId="77777777" w:rsidR="009B3963" w:rsidRDefault="009B3963" w:rsidP="00C07A44">
            <w:pPr>
              <w:pStyle w:val="Compact"/>
              <w:jc w:val="right"/>
            </w:pPr>
            <w:r>
              <w:t>0.00</w:t>
            </w:r>
          </w:p>
        </w:tc>
      </w:tr>
      <w:tr w:rsidR="009B3963" w14:paraId="3DBDDD6E" w14:textId="77777777" w:rsidTr="00C07A44">
        <w:tc>
          <w:tcPr>
            <w:tcW w:w="0" w:type="auto"/>
          </w:tcPr>
          <w:p w14:paraId="1AD58A4B" w14:textId="77777777" w:rsidR="009B3963" w:rsidRDefault="009B3963" w:rsidP="00C07A44">
            <w:pPr>
              <w:pStyle w:val="Compact"/>
              <w:jc w:val="right"/>
            </w:pPr>
            <w:proofErr w:type="spellStart"/>
            <w:r>
              <w:t>Residuals.cranium</w:t>
            </w:r>
            <w:proofErr w:type="spellEnd"/>
          </w:p>
        </w:tc>
        <w:tc>
          <w:tcPr>
            <w:tcW w:w="0" w:type="auto"/>
          </w:tcPr>
          <w:p w14:paraId="0D272A8D" w14:textId="77777777" w:rsidR="009B3963" w:rsidRDefault="009B3963" w:rsidP="00C07A44">
            <w:pPr>
              <w:pStyle w:val="Compact"/>
              <w:jc w:val="right"/>
            </w:pPr>
            <w:r>
              <w:t>68.00</w:t>
            </w:r>
          </w:p>
        </w:tc>
        <w:tc>
          <w:tcPr>
            <w:tcW w:w="0" w:type="auto"/>
          </w:tcPr>
          <w:p w14:paraId="32982BC1" w14:textId="77777777" w:rsidR="009B3963" w:rsidRDefault="009B3963" w:rsidP="00C07A44">
            <w:pPr>
              <w:pStyle w:val="Compact"/>
              <w:jc w:val="right"/>
            </w:pPr>
            <w:r>
              <w:t>0.14</w:t>
            </w:r>
          </w:p>
        </w:tc>
        <w:tc>
          <w:tcPr>
            <w:tcW w:w="0" w:type="auto"/>
          </w:tcPr>
          <w:p w14:paraId="12D35E5D" w14:textId="77777777" w:rsidR="009B3963" w:rsidRDefault="009B3963" w:rsidP="00C07A44">
            <w:pPr>
              <w:pStyle w:val="Compact"/>
              <w:jc w:val="right"/>
            </w:pPr>
            <w:r>
              <w:t>0.00</w:t>
            </w:r>
          </w:p>
        </w:tc>
        <w:tc>
          <w:tcPr>
            <w:tcW w:w="0" w:type="auto"/>
          </w:tcPr>
          <w:p w14:paraId="51D7C1B1" w14:textId="77777777" w:rsidR="009B3963" w:rsidRDefault="009B3963" w:rsidP="00C07A44">
            <w:pPr>
              <w:pStyle w:val="Compact"/>
            </w:pPr>
          </w:p>
        </w:tc>
        <w:tc>
          <w:tcPr>
            <w:tcW w:w="0" w:type="auto"/>
          </w:tcPr>
          <w:p w14:paraId="5D2E8E12" w14:textId="77777777" w:rsidR="009B3963" w:rsidRDefault="009B3963" w:rsidP="00C07A44">
            <w:pPr>
              <w:pStyle w:val="Compact"/>
              <w:jc w:val="right"/>
            </w:pPr>
            <w:r>
              <w:t>0.48</w:t>
            </w:r>
          </w:p>
        </w:tc>
        <w:tc>
          <w:tcPr>
            <w:tcW w:w="0" w:type="auto"/>
          </w:tcPr>
          <w:p w14:paraId="5E0D4285" w14:textId="77777777" w:rsidR="009B3963" w:rsidRDefault="009B3963" w:rsidP="00C07A44">
            <w:pPr>
              <w:pStyle w:val="Compact"/>
            </w:pPr>
          </w:p>
        </w:tc>
      </w:tr>
      <w:tr w:rsidR="009B3963" w14:paraId="5A353DDC" w14:textId="77777777" w:rsidTr="00C07A44">
        <w:tc>
          <w:tcPr>
            <w:tcW w:w="0" w:type="auto"/>
          </w:tcPr>
          <w:p w14:paraId="37E49B21" w14:textId="77777777" w:rsidR="009B3963" w:rsidRDefault="009B3963" w:rsidP="00C07A44">
            <w:pPr>
              <w:pStyle w:val="Compact"/>
              <w:jc w:val="right"/>
            </w:pPr>
            <w:proofErr w:type="spellStart"/>
            <w:r>
              <w:t>Total.cranium</w:t>
            </w:r>
            <w:proofErr w:type="spellEnd"/>
          </w:p>
        </w:tc>
        <w:tc>
          <w:tcPr>
            <w:tcW w:w="0" w:type="auto"/>
          </w:tcPr>
          <w:p w14:paraId="5820167B" w14:textId="77777777" w:rsidR="009B3963" w:rsidRDefault="009B3963" w:rsidP="00C07A44">
            <w:pPr>
              <w:pStyle w:val="Compact"/>
              <w:jc w:val="right"/>
            </w:pPr>
            <w:r>
              <w:t>70.00</w:t>
            </w:r>
          </w:p>
        </w:tc>
        <w:tc>
          <w:tcPr>
            <w:tcW w:w="0" w:type="auto"/>
          </w:tcPr>
          <w:p w14:paraId="620B5030" w14:textId="77777777" w:rsidR="009B3963" w:rsidRDefault="009B3963" w:rsidP="00C07A44">
            <w:pPr>
              <w:pStyle w:val="Compact"/>
              <w:jc w:val="right"/>
            </w:pPr>
            <w:r>
              <w:t>0.29</w:t>
            </w:r>
          </w:p>
        </w:tc>
        <w:tc>
          <w:tcPr>
            <w:tcW w:w="0" w:type="auto"/>
          </w:tcPr>
          <w:p w14:paraId="671023AB" w14:textId="77777777" w:rsidR="009B3963" w:rsidRDefault="009B3963" w:rsidP="00C07A44">
            <w:pPr>
              <w:pStyle w:val="Compact"/>
            </w:pPr>
          </w:p>
        </w:tc>
        <w:tc>
          <w:tcPr>
            <w:tcW w:w="0" w:type="auto"/>
          </w:tcPr>
          <w:p w14:paraId="713535FA" w14:textId="77777777" w:rsidR="009B3963" w:rsidRDefault="009B3963" w:rsidP="00C07A44">
            <w:pPr>
              <w:pStyle w:val="Compact"/>
            </w:pPr>
          </w:p>
        </w:tc>
        <w:tc>
          <w:tcPr>
            <w:tcW w:w="0" w:type="auto"/>
          </w:tcPr>
          <w:p w14:paraId="2164B660" w14:textId="77777777" w:rsidR="009B3963" w:rsidRDefault="009B3963" w:rsidP="00C07A44">
            <w:pPr>
              <w:pStyle w:val="Compact"/>
              <w:jc w:val="right"/>
            </w:pPr>
            <w:r>
              <w:t>1.00</w:t>
            </w:r>
          </w:p>
        </w:tc>
        <w:tc>
          <w:tcPr>
            <w:tcW w:w="0" w:type="auto"/>
          </w:tcPr>
          <w:p w14:paraId="2FB552C6" w14:textId="77777777" w:rsidR="009B3963" w:rsidRDefault="009B3963" w:rsidP="00C07A44">
            <w:pPr>
              <w:pStyle w:val="Compact"/>
            </w:pPr>
          </w:p>
        </w:tc>
      </w:tr>
      <w:tr w:rsidR="009B3963" w14:paraId="03437503" w14:textId="77777777" w:rsidTr="00C07A44">
        <w:tc>
          <w:tcPr>
            <w:tcW w:w="0" w:type="auto"/>
          </w:tcPr>
          <w:p w14:paraId="47930926" w14:textId="77777777" w:rsidR="009B3963" w:rsidRDefault="009B3963" w:rsidP="00C07A44">
            <w:pPr>
              <w:pStyle w:val="Compact"/>
              <w:jc w:val="right"/>
            </w:pPr>
            <w:proofErr w:type="spellStart"/>
            <w:r>
              <w:t>group.mandible</w:t>
            </w:r>
            <w:proofErr w:type="spellEnd"/>
          </w:p>
        </w:tc>
        <w:tc>
          <w:tcPr>
            <w:tcW w:w="0" w:type="auto"/>
          </w:tcPr>
          <w:p w14:paraId="6ED2C3AE" w14:textId="77777777" w:rsidR="009B3963" w:rsidRDefault="009B3963" w:rsidP="00C07A44">
            <w:pPr>
              <w:pStyle w:val="Compact"/>
              <w:jc w:val="right"/>
            </w:pPr>
            <w:r>
              <w:t>2.00</w:t>
            </w:r>
          </w:p>
        </w:tc>
        <w:tc>
          <w:tcPr>
            <w:tcW w:w="0" w:type="auto"/>
          </w:tcPr>
          <w:p w14:paraId="26A9D1FD" w14:textId="77777777" w:rsidR="009B3963" w:rsidRDefault="009B3963" w:rsidP="00C07A44">
            <w:pPr>
              <w:pStyle w:val="Compact"/>
              <w:jc w:val="right"/>
            </w:pPr>
            <w:r>
              <w:t>0.07</w:t>
            </w:r>
          </w:p>
        </w:tc>
        <w:tc>
          <w:tcPr>
            <w:tcW w:w="0" w:type="auto"/>
          </w:tcPr>
          <w:p w14:paraId="5BE9A06A" w14:textId="77777777" w:rsidR="009B3963" w:rsidRDefault="009B3963" w:rsidP="00C07A44">
            <w:pPr>
              <w:pStyle w:val="Compact"/>
              <w:jc w:val="right"/>
            </w:pPr>
            <w:r>
              <w:t>0.04</w:t>
            </w:r>
          </w:p>
        </w:tc>
        <w:tc>
          <w:tcPr>
            <w:tcW w:w="0" w:type="auto"/>
          </w:tcPr>
          <w:p w14:paraId="2CBBE39E" w14:textId="77777777" w:rsidR="009B3963" w:rsidRDefault="009B3963" w:rsidP="00C07A44">
            <w:pPr>
              <w:pStyle w:val="Compact"/>
              <w:jc w:val="right"/>
            </w:pPr>
            <w:r>
              <w:t>16.84</w:t>
            </w:r>
          </w:p>
        </w:tc>
        <w:tc>
          <w:tcPr>
            <w:tcW w:w="0" w:type="auto"/>
          </w:tcPr>
          <w:p w14:paraId="3F17E776" w14:textId="77777777" w:rsidR="009B3963" w:rsidRDefault="009B3963" w:rsidP="00C07A44">
            <w:pPr>
              <w:pStyle w:val="Compact"/>
              <w:jc w:val="right"/>
            </w:pPr>
            <w:r>
              <w:t>0.39</w:t>
            </w:r>
          </w:p>
        </w:tc>
        <w:tc>
          <w:tcPr>
            <w:tcW w:w="0" w:type="auto"/>
          </w:tcPr>
          <w:p w14:paraId="13176326" w14:textId="77777777" w:rsidR="009B3963" w:rsidRDefault="009B3963" w:rsidP="00C07A44">
            <w:pPr>
              <w:pStyle w:val="Compact"/>
              <w:jc w:val="right"/>
            </w:pPr>
            <w:r>
              <w:t>0.00</w:t>
            </w:r>
          </w:p>
        </w:tc>
      </w:tr>
      <w:tr w:rsidR="009B3963" w14:paraId="58B4C302" w14:textId="77777777" w:rsidTr="00C07A44">
        <w:trPr>
          <w:trHeight w:val="414"/>
        </w:trPr>
        <w:tc>
          <w:tcPr>
            <w:tcW w:w="0" w:type="auto"/>
          </w:tcPr>
          <w:p w14:paraId="4DEC9D26" w14:textId="77777777" w:rsidR="009B3963" w:rsidRDefault="009B3963" w:rsidP="00C07A44">
            <w:pPr>
              <w:pStyle w:val="Compact"/>
              <w:jc w:val="right"/>
            </w:pPr>
            <w:proofErr w:type="spellStart"/>
            <w:r>
              <w:t>Residuals.mandible</w:t>
            </w:r>
            <w:proofErr w:type="spellEnd"/>
          </w:p>
        </w:tc>
        <w:tc>
          <w:tcPr>
            <w:tcW w:w="0" w:type="auto"/>
          </w:tcPr>
          <w:p w14:paraId="0955A954" w14:textId="77777777" w:rsidR="009B3963" w:rsidRDefault="009B3963" w:rsidP="00C07A44">
            <w:pPr>
              <w:pStyle w:val="Compact"/>
              <w:jc w:val="right"/>
            </w:pPr>
            <w:r>
              <w:t>52.00</w:t>
            </w:r>
          </w:p>
        </w:tc>
        <w:tc>
          <w:tcPr>
            <w:tcW w:w="0" w:type="auto"/>
          </w:tcPr>
          <w:p w14:paraId="364DC2EC" w14:textId="77777777" w:rsidR="009B3963" w:rsidRDefault="009B3963" w:rsidP="00C07A44">
            <w:pPr>
              <w:pStyle w:val="Compact"/>
              <w:jc w:val="right"/>
            </w:pPr>
            <w:r>
              <w:t>0.11</w:t>
            </w:r>
          </w:p>
        </w:tc>
        <w:tc>
          <w:tcPr>
            <w:tcW w:w="0" w:type="auto"/>
          </w:tcPr>
          <w:p w14:paraId="603BB58B" w14:textId="77777777" w:rsidR="009B3963" w:rsidRDefault="009B3963" w:rsidP="00C07A44">
            <w:pPr>
              <w:pStyle w:val="Compact"/>
              <w:jc w:val="right"/>
            </w:pPr>
            <w:r>
              <w:t>0.00</w:t>
            </w:r>
          </w:p>
        </w:tc>
        <w:tc>
          <w:tcPr>
            <w:tcW w:w="0" w:type="auto"/>
          </w:tcPr>
          <w:p w14:paraId="6DB07F38" w14:textId="77777777" w:rsidR="009B3963" w:rsidRDefault="009B3963" w:rsidP="00C07A44">
            <w:pPr>
              <w:pStyle w:val="Compact"/>
            </w:pPr>
          </w:p>
        </w:tc>
        <w:tc>
          <w:tcPr>
            <w:tcW w:w="0" w:type="auto"/>
          </w:tcPr>
          <w:p w14:paraId="270D6C80" w14:textId="77777777" w:rsidR="009B3963" w:rsidRDefault="009B3963" w:rsidP="00C07A44">
            <w:pPr>
              <w:pStyle w:val="Compact"/>
              <w:jc w:val="right"/>
            </w:pPr>
            <w:r>
              <w:t>0.61</w:t>
            </w:r>
          </w:p>
        </w:tc>
        <w:tc>
          <w:tcPr>
            <w:tcW w:w="0" w:type="auto"/>
          </w:tcPr>
          <w:p w14:paraId="4908265E" w14:textId="77777777" w:rsidR="009B3963" w:rsidRDefault="009B3963" w:rsidP="00C07A44">
            <w:pPr>
              <w:pStyle w:val="Compact"/>
            </w:pPr>
          </w:p>
        </w:tc>
      </w:tr>
      <w:tr w:rsidR="009B3963" w14:paraId="2B768825" w14:textId="77777777" w:rsidTr="00C07A44">
        <w:tc>
          <w:tcPr>
            <w:tcW w:w="0" w:type="auto"/>
          </w:tcPr>
          <w:p w14:paraId="29A9FBEB" w14:textId="77777777" w:rsidR="009B3963" w:rsidRDefault="009B3963" w:rsidP="00C07A44">
            <w:pPr>
              <w:pStyle w:val="Compact"/>
              <w:jc w:val="right"/>
            </w:pPr>
            <w:proofErr w:type="spellStart"/>
            <w:r>
              <w:t>Total.mandible</w:t>
            </w:r>
            <w:proofErr w:type="spellEnd"/>
          </w:p>
        </w:tc>
        <w:tc>
          <w:tcPr>
            <w:tcW w:w="0" w:type="auto"/>
          </w:tcPr>
          <w:p w14:paraId="79323831" w14:textId="77777777" w:rsidR="009B3963" w:rsidRDefault="009B3963" w:rsidP="00C07A44">
            <w:pPr>
              <w:pStyle w:val="Compact"/>
              <w:jc w:val="right"/>
            </w:pPr>
            <w:r>
              <w:t>54.00</w:t>
            </w:r>
          </w:p>
        </w:tc>
        <w:tc>
          <w:tcPr>
            <w:tcW w:w="0" w:type="auto"/>
          </w:tcPr>
          <w:p w14:paraId="16A29721" w14:textId="77777777" w:rsidR="009B3963" w:rsidRDefault="009B3963" w:rsidP="00C07A44">
            <w:pPr>
              <w:pStyle w:val="Compact"/>
              <w:jc w:val="right"/>
            </w:pPr>
            <w:r>
              <w:t>0.18</w:t>
            </w:r>
          </w:p>
        </w:tc>
        <w:tc>
          <w:tcPr>
            <w:tcW w:w="0" w:type="auto"/>
          </w:tcPr>
          <w:p w14:paraId="768C930B" w14:textId="77777777" w:rsidR="009B3963" w:rsidRDefault="009B3963" w:rsidP="00C07A44">
            <w:pPr>
              <w:pStyle w:val="Compact"/>
            </w:pPr>
          </w:p>
        </w:tc>
        <w:tc>
          <w:tcPr>
            <w:tcW w:w="0" w:type="auto"/>
          </w:tcPr>
          <w:p w14:paraId="09F206D5" w14:textId="77777777" w:rsidR="009B3963" w:rsidRDefault="009B3963" w:rsidP="00C07A44">
            <w:pPr>
              <w:pStyle w:val="Compact"/>
            </w:pPr>
          </w:p>
        </w:tc>
        <w:tc>
          <w:tcPr>
            <w:tcW w:w="0" w:type="auto"/>
          </w:tcPr>
          <w:p w14:paraId="24FCDA58" w14:textId="77777777" w:rsidR="009B3963" w:rsidRDefault="009B3963" w:rsidP="00C07A44">
            <w:pPr>
              <w:pStyle w:val="Compact"/>
              <w:jc w:val="right"/>
            </w:pPr>
            <w:r>
              <w:t>1.00</w:t>
            </w:r>
          </w:p>
        </w:tc>
        <w:tc>
          <w:tcPr>
            <w:tcW w:w="0" w:type="auto"/>
          </w:tcPr>
          <w:p w14:paraId="135127F4" w14:textId="77777777" w:rsidR="009B3963" w:rsidRDefault="009B3963" w:rsidP="00C07A44">
            <w:pPr>
              <w:pStyle w:val="Compact"/>
            </w:pPr>
          </w:p>
        </w:tc>
      </w:tr>
    </w:tbl>
    <w:p w14:paraId="41CB85D0" w14:textId="77777777" w:rsidR="009B3963" w:rsidRPr="005248C5" w:rsidRDefault="009B3963" w:rsidP="00C35387">
      <w:pPr>
        <w:pStyle w:val="TableCaption"/>
        <w:rPr>
          <w:i w:val="0"/>
        </w:rPr>
      </w:pPr>
    </w:p>
    <w:tbl>
      <w:tblPr>
        <w:tblW w:w="5000" w:type="pct"/>
        <w:tblLook w:val="07E0" w:firstRow="1" w:lastRow="1" w:firstColumn="1" w:lastColumn="1" w:noHBand="1" w:noVBand="1"/>
      </w:tblPr>
      <w:tblGrid>
        <w:gridCol w:w="8910"/>
        <w:gridCol w:w="222"/>
        <w:gridCol w:w="222"/>
        <w:gridCol w:w="222"/>
      </w:tblGrid>
      <w:tr w:rsidR="005248C5" w14:paraId="578F9E2E" w14:textId="77777777" w:rsidTr="005248C5">
        <w:tc>
          <w:tcPr>
            <w:tcW w:w="0" w:type="auto"/>
          </w:tcPr>
          <w:p w14:paraId="0C7FFDA5" w14:textId="0128380F" w:rsidR="005248C5" w:rsidRDefault="007E45D7" w:rsidP="005248C5">
            <w:pPr>
              <w:pStyle w:val="TableCaption"/>
            </w:pPr>
            <w:bookmarkStart w:id="2" w:name="pca-t-tests-centre.tex"/>
            <w:bookmarkEnd w:id="2"/>
            <w:r w:rsidRPr="007E45D7">
              <w:rPr>
                <w:b/>
              </w:rPr>
              <w:t xml:space="preserve">Table 2: </w:t>
            </w:r>
            <w:r w:rsidR="005248C5">
              <w:t xml:space="preserve">Pairwise t-tests results based on the median distances the </w:t>
            </w:r>
            <w:proofErr w:type="spellStart"/>
            <w:r w:rsidR="005248C5">
              <w:t>centre</w:t>
            </w:r>
            <w:proofErr w:type="spellEnd"/>
            <w:r w:rsidR="005248C5">
              <w:t xml:space="preserve"> for each group (with Bonferroni correction).</w:t>
            </w:r>
          </w:p>
          <w:tbl>
            <w:tblPr>
              <w:tblW w:w="0" w:type="pct"/>
              <w:tblLook w:val="07E0" w:firstRow="1" w:lastRow="1" w:firstColumn="1" w:lastColumn="1" w:noHBand="1" w:noVBand="1"/>
            </w:tblPr>
            <w:tblGrid>
              <w:gridCol w:w="2705"/>
              <w:gridCol w:w="1220"/>
              <w:gridCol w:w="1620"/>
              <w:gridCol w:w="952"/>
            </w:tblGrid>
            <w:tr w:rsidR="005248C5" w14:paraId="16399B4A" w14:textId="77777777" w:rsidTr="00C07A44">
              <w:tc>
                <w:tcPr>
                  <w:tcW w:w="0" w:type="auto"/>
                  <w:tcBorders>
                    <w:bottom w:val="single" w:sz="0" w:space="0" w:color="auto"/>
                  </w:tcBorders>
                  <w:vAlign w:val="bottom"/>
                </w:tcPr>
                <w:p w14:paraId="25324BB4" w14:textId="77777777" w:rsidR="005248C5" w:rsidRDefault="005248C5" w:rsidP="00C07A44">
                  <w:pPr>
                    <w:pStyle w:val="Compact"/>
                  </w:pPr>
                </w:p>
              </w:tc>
              <w:tc>
                <w:tcPr>
                  <w:tcW w:w="0" w:type="auto"/>
                  <w:tcBorders>
                    <w:bottom w:val="single" w:sz="0" w:space="0" w:color="auto"/>
                  </w:tcBorders>
                  <w:vAlign w:val="bottom"/>
                </w:tcPr>
                <w:p w14:paraId="158F0B0A" w14:textId="77777777" w:rsidR="005248C5" w:rsidRDefault="005248C5" w:rsidP="00C07A44">
                  <w:pPr>
                    <w:pStyle w:val="Compact"/>
                    <w:jc w:val="right"/>
                  </w:pPr>
                  <w:r>
                    <w:t>statistic: t</w:t>
                  </w:r>
                </w:p>
              </w:tc>
              <w:tc>
                <w:tcPr>
                  <w:tcW w:w="0" w:type="auto"/>
                  <w:tcBorders>
                    <w:bottom w:val="single" w:sz="0" w:space="0" w:color="auto"/>
                  </w:tcBorders>
                  <w:vAlign w:val="bottom"/>
                </w:tcPr>
                <w:p w14:paraId="2BA73F86" w14:textId="77777777" w:rsidR="005248C5" w:rsidRDefault="005248C5" w:rsidP="00C07A44">
                  <w:pPr>
                    <w:pStyle w:val="Compact"/>
                    <w:jc w:val="right"/>
                  </w:pPr>
                  <w:r>
                    <w:t xml:space="preserve">parameter: </w:t>
                  </w:r>
                  <w:proofErr w:type="spellStart"/>
                  <w:r>
                    <w:t>df</w:t>
                  </w:r>
                  <w:proofErr w:type="spellEnd"/>
                </w:p>
              </w:tc>
              <w:tc>
                <w:tcPr>
                  <w:tcW w:w="0" w:type="auto"/>
                  <w:tcBorders>
                    <w:bottom w:val="single" w:sz="0" w:space="0" w:color="auto"/>
                  </w:tcBorders>
                  <w:vAlign w:val="bottom"/>
                </w:tcPr>
                <w:p w14:paraId="4A3CB6B2" w14:textId="77777777" w:rsidR="005248C5" w:rsidRDefault="005248C5" w:rsidP="00C07A44">
                  <w:pPr>
                    <w:pStyle w:val="Compact"/>
                    <w:jc w:val="right"/>
                  </w:pPr>
                  <w:proofErr w:type="spellStart"/>
                  <w:r>
                    <w:t>p.value</w:t>
                  </w:r>
                  <w:proofErr w:type="spellEnd"/>
                </w:p>
              </w:tc>
            </w:tr>
            <w:tr w:rsidR="005248C5" w14:paraId="0D13D6F1" w14:textId="77777777" w:rsidTr="00C07A44">
              <w:tc>
                <w:tcPr>
                  <w:tcW w:w="0" w:type="auto"/>
                </w:tcPr>
                <w:p w14:paraId="3B072A71" w14:textId="77777777" w:rsidR="005248C5" w:rsidRDefault="005248C5" w:rsidP="00C07A44">
                  <w:pPr>
                    <w:pStyle w:val="Compact"/>
                    <w:jc w:val="right"/>
                  </w:pPr>
                  <w:r>
                    <w:t>CW:SHNW-cranium</w:t>
                  </w:r>
                </w:p>
              </w:tc>
              <w:tc>
                <w:tcPr>
                  <w:tcW w:w="0" w:type="auto"/>
                </w:tcPr>
                <w:p w14:paraId="1CF4129C" w14:textId="77777777" w:rsidR="005248C5" w:rsidRDefault="005248C5" w:rsidP="00C07A44">
                  <w:pPr>
                    <w:pStyle w:val="Compact"/>
                    <w:jc w:val="right"/>
                  </w:pPr>
                  <w:r>
                    <w:t>35.87</w:t>
                  </w:r>
                </w:p>
              </w:tc>
              <w:tc>
                <w:tcPr>
                  <w:tcW w:w="0" w:type="auto"/>
                </w:tcPr>
                <w:p w14:paraId="5A7AB12E" w14:textId="77777777" w:rsidR="005248C5" w:rsidRDefault="005248C5" w:rsidP="00C07A44">
                  <w:pPr>
                    <w:pStyle w:val="Compact"/>
                    <w:jc w:val="right"/>
                  </w:pPr>
                  <w:r>
                    <w:t>146.53</w:t>
                  </w:r>
                </w:p>
              </w:tc>
              <w:tc>
                <w:tcPr>
                  <w:tcW w:w="0" w:type="auto"/>
                </w:tcPr>
                <w:p w14:paraId="2FEC08A1" w14:textId="77777777" w:rsidR="005248C5" w:rsidRDefault="005248C5" w:rsidP="00C07A44">
                  <w:pPr>
                    <w:pStyle w:val="Compact"/>
                    <w:jc w:val="right"/>
                  </w:pPr>
                  <w:r>
                    <w:t>0.00</w:t>
                  </w:r>
                </w:p>
              </w:tc>
            </w:tr>
            <w:tr w:rsidR="005248C5" w14:paraId="3F5A72FE" w14:textId="77777777" w:rsidTr="00C07A44">
              <w:tc>
                <w:tcPr>
                  <w:tcW w:w="0" w:type="auto"/>
                </w:tcPr>
                <w:p w14:paraId="4D2995D8" w14:textId="77777777" w:rsidR="005248C5" w:rsidRDefault="005248C5" w:rsidP="00C07A44">
                  <w:pPr>
                    <w:pStyle w:val="Compact"/>
                    <w:jc w:val="right"/>
                  </w:pPr>
                  <w:r>
                    <w:t>CW:NHNW-cranium</w:t>
                  </w:r>
                </w:p>
              </w:tc>
              <w:tc>
                <w:tcPr>
                  <w:tcW w:w="0" w:type="auto"/>
                </w:tcPr>
                <w:p w14:paraId="4F666572" w14:textId="77777777" w:rsidR="005248C5" w:rsidRDefault="005248C5" w:rsidP="00C07A44">
                  <w:pPr>
                    <w:pStyle w:val="Compact"/>
                    <w:jc w:val="right"/>
                  </w:pPr>
                  <w:r>
                    <w:t>31.70</w:t>
                  </w:r>
                </w:p>
              </w:tc>
              <w:tc>
                <w:tcPr>
                  <w:tcW w:w="0" w:type="auto"/>
                </w:tcPr>
                <w:p w14:paraId="264EA86C" w14:textId="77777777" w:rsidR="005248C5" w:rsidRDefault="005248C5" w:rsidP="00C07A44">
                  <w:pPr>
                    <w:pStyle w:val="Compact"/>
                    <w:jc w:val="right"/>
                  </w:pPr>
                  <w:r>
                    <w:t>164.09</w:t>
                  </w:r>
                </w:p>
              </w:tc>
              <w:tc>
                <w:tcPr>
                  <w:tcW w:w="0" w:type="auto"/>
                </w:tcPr>
                <w:p w14:paraId="32A00131" w14:textId="77777777" w:rsidR="005248C5" w:rsidRDefault="005248C5" w:rsidP="00C07A44">
                  <w:pPr>
                    <w:pStyle w:val="Compact"/>
                    <w:jc w:val="right"/>
                  </w:pPr>
                  <w:r>
                    <w:t>0.00</w:t>
                  </w:r>
                </w:p>
              </w:tc>
            </w:tr>
            <w:tr w:rsidR="005248C5" w14:paraId="4104025B" w14:textId="77777777" w:rsidTr="00C07A44">
              <w:tc>
                <w:tcPr>
                  <w:tcW w:w="0" w:type="auto"/>
                </w:tcPr>
                <w:p w14:paraId="0BFA4AFA" w14:textId="77777777" w:rsidR="005248C5" w:rsidRDefault="005248C5" w:rsidP="00C07A44">
                  <w:pPr>
                    <w:pStyle w:val="Compact"/>
                    <w:jc w:val="right"/>
                  </w:pPr>
                  <w:r>
                    <w:t>SHNW:NHNW-cranium</w:t>
                  </w:r>
                </w:p>
              </w:tc>
              <w:tc>
                <w:tcPr>
                  <w:tcW w:w="0" w:type="auto"/>
                </w:tcPr>
                <w:p w14:paraId="1C1AFDFD" w14:textId="77777777" w:rsidR="005248C5" w:rsidRDefault="005248C5" w:rsidP="00C07A44">
                  <w:pPr>
                    <w:pStyle w:val="Compact"/>
                    <w:jc w:val="right"/>
                  </w:pPr>
                  <w:r>
                    <w:t>-3.81</w:t>
                  </w:r>
                </w:p>
              </w:tc>
              <w:tc>
                <w:tcPr>
                  <w:tcW w:w="0" w:type="auto"/>
                </w:tcPr>
                <w:p w14:paraId="528E89FB" w14:textId="77777777" w:rsidR="005248C5" w:rsidRDefault="005248C5" w:rsidP="00C07A44">
                  <w:pPr>
                    <w:pStyle w:val="Compact"/>
                    <w:jc w:val="right"/>
                  </w:pPr>
                  <w:r>
                    <w:t>191.17</w:t>
                  </w:r>
                </w:p>
              </w:tc>
              <w:tc>
                <w:tcPr>
                  <w:tcW w:w="0" w:type="auto"/>
                </w:tcPr>
                <w:p w14:paraId="41504F6E" w14:textId="77777777" w:rsidR="005248C5" w:rsidRDefault="005248C5" w:rsidP="00C07A44">
                  <w:pPr>
                    <w:pStyle w:val="Compact"/>
                    <w:jc w:val="right"/>
                  </w:pPr>
                  <w:r>
                    <w:t>0.00</w:t>
                  </w:r>
                </w:p>
              </w:tc>
            </w:tr>
            <w:tr w:rsidR="005248C5" w14:paraId="3A8A2CD6" w14:textId="77777777" w:rsidTr="00C07A44">
              <w:tc>
                <w:tcPr>
                  <w:tcW w:w="0" w:type="auto"/>
                </w:tcPr>
                <w:p w14:paraId="51DB3D44" w14:textId="77777777" w:rsidR="005248C5" w:rsidRDefault="005248C5" w:rsidP="00C07A44">
                  <w:pPr>
                    <w:pStyle w:val="Compact"/>
                    <w:jc w:val="right"/>
                  </w:pPr>
                  <w:r>
                    <w:t>CW:SHNW-mandible</w:t>
                  </w:r>
                </w:p>
              </w:tc>
              <w:tc>
                <w:tcPr>
                  <w:tcW w:w="0" w:type="auto"/>
                </w:tcPr>
                <w:p w14:paraId="62CA3C3B" w14:textId="77777777" w:rsidR="005248C5" w:rsidRDefault="005248C5" w:rsidP="00C07A44">
                  <w:pPr>
                    <w:pStyle w:val="Compact"/>
                    <w:jc w:val="right"/>
                  </w:pPr>
                  <w:r>
                    <w:t>25.55</w:t>
                  </w:r>
                </w:p>
              </w:tc>
              <w:tc>
                <w:tcPr>
                  <w:tcW w:w="0" w:type="auto"/>
                </w:tcPr>
                <w:p w14:paraId="03759E2C" w14:textId="77777777" w:rsidR="005248C5" w:rsidRDefault="005248C5" w:rsidP="00C07A44">
                  <w:pPr>
                    <w:pStyle w:val="Compact"/>
                    <w:jc w:val="right"/>
                  </w:pPr>
                  <w:r>
                    <w:t>197.73</w:t>
                  </w:r>
                </w:p>
              </w:tc>
              <w:tc>
                <w:tcPr>
                  <w:tcW w:w="0" w:type="auto"/>
                </w:tcPr>
                <w:p w14:paraId="52419F54" w14:textId="77777777" w:rsidR="005248C5" w:rsidRDefault="005248C5" w:rsidP="00C07A44">
                  <w:pPr>
                    <w:pStyle w:val="Compact"/>
                    <w:jc w:val="right"/>
                  </w:pPr>
                  <w:r>
                    <w:t>0.00</w:t>
                  </w:r>
                </w:p>
              </w:tc>
            </w:tr>
            <w:tr w:rsidR="005248C5" w14:paraId="75207755" w14:textId="77777777" w:rsidTr="00C07A44">
              <w:tc>
                <w:tcPr>
                  <w:tcW w:w="0" w:type="auto"/>
                </w:tcPr>
                <w:p w14:paraId="61E6E6FB" w14:textId="77777777" w:rsidR="005248C5" w:rsidRDefault="005248C5" w:rsidP="00C07A44">
                  <w:pPr>
                    <w:pStyle w:val="Compact"/>
                    <w:jc w:val="right"/>
                  </w:pPr>
                  <w:r>
                    <w:t>CW:NHNW-mandible</w:t>
                  </w:r>
                </w:p>
              </w:tc>
              <w:tc>
                <w:tcPr>
                  <w:tcW w:w="0" w:type="auto"/>
                </w:tcPr>
                <w:p w14:paraId="723811D5" w14:textId="77777777" w:rsidR="005248C5" w:rsidRDefault="005248C5" w:rsidP="00C07A44">
                  <w:pPr>
                    <w:pStyle w:val="Compact"/>
                    <w:jc w:val="right"/>
                  </w:pPr>
                  <w:r>
                    <w:t>4.04</w:t>
                  </w:r>
                </w:p>
              </w:tc>
              <w:tc>
                <w:tcPr>
                  <w:tcW w:w="0" w:type="auto"/>
                </w:tcPr>
                <w:p w14:paraId="6C1112BC" w14:textId="77777777" w:rsidR="005248C5" w:rsidRDefault="005248C5" w:rsidP="00C07A44">
                  <w:pPr>
                    <w:pStyle w:val="Compact"/>
                    <w:jc w:val="right"/>
                  </w:pPr>
                  <w:r>
                    <w:t>183.46</w:t>
                  </w:r>
                </w:p>
              </w:tc>
              <w:tc>
                <w:tcPr>
                  <w:tcW w:w="0" w:type="auto"/>
                </w:tcPr>
                <w:p w14:paraId="6608A7F6" w14:textId="77777777" w:rsidR="005248C5" w:rsidRDefault="005248C5" w:rsidP="00C07A44">
                  <w:pPr>
                    <w:pStyle w:val="Compact"/>
                    <w:jc w:val="right"/>
                  </w:pPr>
                  <w:r>
                    <w:t>0.00</w:t>
                  </w:r>
                </w:p>
              </w:tc>
            </w:tr>
            <w:tr w:rsidR="005248C5" w14:paraId="786AC985" w14:textId="77777777" w:rsidTr="00C07A44">
              <w:tc>
                <w:tcPr>
                  <w:tcW w:w="0" w:type="auto"/>
                </w:tcPr>
                <w:p w14:paraId="798EF874" w14:textId="77777777" w:rsidR="005248C5" w:rsidRDefault="005248C5" w:rsidP="00C07A44">
                  <w:pPr>
                    <w:pStyle w:val="Compact"/>
                    <w:jc w:val="right"/>
                  </w:pPr>
                  <w:r>
                    <w:t>SHNW:NHNW-mandible</w:t>
                  </w:r>
                </w:p>
              </w:tc>
              <w:tc>
                <w:tcPr>
                  <w:tcW w:w="0" w:type="auto"/>
                </w:tcPr>
                <w:p w14:paraId="7CDE6EA7" w14:textId="77777777" w:rsidR="005248C5" w:rsidRDefault="005248C5" w:rsidP="00C07A44">
                  <w:pPr>
                    <w:pStyle w:val="Compact"/>
                    <w:jc w:val="right"/>
                  </w:pPr>
                  <w:r>
                    <w:t>-17.79</w:t>
                  </w:r>
                </w:p>
              </w:tc>
              <w:tc>
                <w:tcPr>
                  <w:tcW w:w="0" w:type="auto"/>
                </w:tcPr>
                <w:p w14:paraId="7C47E7E3" w14:textId="77777777" w:rsidR="005248C5" w:rsidRDefault="005248C5" w:rsidP="00C07A44">
                  <w:pPr>
                    <w:pStyle w:val="Compact"/>
                    <w:jc w:val="right"/>
                  </w:pPr>
                  <w:r>
                    <w:t>186.59</w:t>
                  </w:r>
                </w:p>
              </w:tc>
              <w:tc>
                <w:tcPr>
                  <w:tcW w:w="0" w:type="auto"/>
                </w:tcPr>
                <w:p w14:paraId="6D97ECF8" w14:textId="77777777" w:rsidR="005248C5" w:rsidRDefault="005248C5" w:rsidP="00C07A44">
                  <w:pPr>
                    <w:pStyle w:val="Compact"/>
                    <w:jc w:val="right"/>
                  </w:pPr>
                  <w:r>
                    <w:t>0.00</w:t>
                  </w:r>
                </w:p>
              </w:tc>
            </w:tr>
          </w:tbl>
          <w:p w14:paraId="7EFB3830" w14:textId="77777777" w:rsidR="007E45D7" w:rsidRDefault="007E45D7" w:rsidP="005248C5">
            <w:pPr>
              <w:pStyle w:val="TableCaption"/>
            </w:pPr>
            <w:bookmarkStart w:id="3" w:name="pca-t-tests-centroid.tex"/>
            <w:bookmarkEnd w:id="3"/>
          </w:p>
          <w:p w14:paraId="32E1847A" w14:textId="06A7981B" w:rsidR="005248C5" w:rsidRDefault="007E45D7" w:rsidP="005248C5">
            <w:pPr>
              <w:pStyle w:val="TableCaption"/>
            </w:pPr>
            <w:r w:rsidRPr="007E45D7">
              <w:rPr>
                <w:b/>
              </w:rPr>
              <w:t xml:space="preserve">Table 3: </w:t>
            </w:r>
            <w:r w:rsidR="005248C5">
              <w:t>Pairwise t-tests results based on the median centroid distance from each group (with Bonferroni correction).</w:t>
            </w:r>
          </w:p>
          <w:tbl>
            <w:tblPr>
              <w:tblW w:w="0" w:type="pct"/>
              <w:tblLook w:val="07E0" w:firstRow="1" w:lastRow="1" w:firstColumn="1" w:lastColumn="1" w:noHBand="1" w:noVBand="1"/>
            </w:tblPr>
            <w:tblGrid>
              <w:gridCol w:w="2705"/>
              <w:gridCol w:w="1220"/>
              <w:gridCol w:w="1620"/>
              <w:gridCol w:w="952"/>
            </w:tblGrid>
            <w:tr w:rsidR="005248C5" w14:paraId="35BE3D3C" w14:textId="77777777" w:rsidTr="00C07A44">
              <w:tc>
                <w:tcPr>
                  <w:tcW w:w="0" w:type="auto"/>
                  <w:tcBorders>
                    <w:bottom w:val="single" w:sz="0" w:space="0" w:color="auto"/>
                  </w:tcBorders>
                  <w:vAlign w:val="bottom"/>
                </w:tcPr>
                <w:p w14:paraId="10A416FD" w14:textId="77777777" w:rsidR="005248C5" w:rsidRDefault="005248C5" w:rsidP="00C07A44">
                  <w:pPr>
                    <w:pStyle w:val="Compact"/>
                  </w:pPr>
                </w:p>
              </w:tc>
              <w:tc>
                <w:tcPr>
                  <w:tcW w:w="0" w:type="auto"/>
                  <w:tcBorders>
                    <w:bottom w:val="single" w:sz="0" w:space="0" w:color="auto"/>
                  </w:tcBorders>
                  <w:vAlign w:val="bottom"/>
                </w:tcPr>
                <w:p w14:paraId="02129326" w14:textId="77777777" w:rsidR="005248C5" w:rsidRDefault="005248C5" w:rsidP="00C07A44">
                  <w:pPr>
                    <w:pStyle w:val="Compact"/>
                    <w:jc w:val="right"/>
                  </w:pPr>
                  <w:r>
                    <w:t>statistic: t</w:t>
                  </w:r>
                </w:p>
              </w:tc>
              <w:tc>
                <w:tcPr>
                  <w:tcW w:w="0" w:type="auto"/>
                  <w:tcBorders>
                    <w:bottom w:val="single" w:sz="0" w:space="0" w:color="auto"/>
                  </w:tcBorders>
                  <w:vAlign w:val="bottom"/>
                </w:tcPr>
                <w:p w14:paraId="1DA3C4DD" w14:textId="77777777" w:rsidR="005248C5" w:rsidRDefault="005248C5" w:rsidP="00C07A44">
                  <w:pPr>
                    <w:pStyle w:val="Compact"/>
                    <w:jc w:val="right"/>
                  </w:pPr>
                  <w:r>
                    <w:t xml:space="preserve">parameter: </w:t>
                  </w:r>
                  <w:proofErr w:type="spellStart"/>
                  <w:r>
                    <w:t>df</w:t>
                  </w:r>
                  <w:proofErr w:type="spellEnd"/>
                </w:p>
              </w:tc>
              <w:tc>
                <w:tcPr>
                  <w:tcW w:w="0" w:type="auto"/>
                  <w:tcBorders>
                    <w:bottom w:val="single" w:sz="0" w:space="0" w:color="auto"/>
                  </w:tcBorders>
                  <w:vAlign w:val="bottom"/>
                </w:tcPr>
                <w:p w14:paraId="2EC424A3" w14:textId="77777777" w:rsidR="005248C5" w:rsidRDefault="005248C5" w:rsidP="00C07A44">
                  <w:pPr>
                    <w:pStyle w:val="Compact"/>
                    <w:jc w:val="right"/>
                  </w:pPr>
                  <w:proofErr w:type="spellStart"/>
                  <w:r>
                    <w:t>p.value</w:t>
                  </w:r>
                  <w:proofErr w:type="spellEnd"/>
                </w:p>
              </w:tc>
            </w:tr>
            <w:tr w:rsidR="005248C5" w14:paraId="4BFC8434" w14:textId="77777777" w:rsidTr="00C07A44">
              <w:tc>
                <w:tcPr>
                  <w:tcW w:w="0" w:type="auto"/>
                </w:tcPr>
                <w:p w14:paraId="5E3FED3A" w14:textId="77777777" w:rsidR="005248C5" w:rsidRDefault="005248C5" w:rsidP="00C07A44">
                  <w:pPr>
                    <w:pStyle w:val="Compact"/>
                    <w:jc w:val="right"/>
                  </w:pPr>
                  <w:r>
                    <w:t>CW:SHNW-cranium</w:t>
                  </w:r>
                </w:p>
              </w:tc>
              <w:tc>
                <w:tcPr>
                  <w:tcW w:w="0" w:type="auto"/>
                </w:tcPr>
                <w:p w14:paraId="557CC062" w14:textId="77777777" w:rsidR="005248C5" w:rsidRDefault="005248C5" w:rsidP="00C07A44">
                  <w:pPr>
                    <w:pStyle w:val="Compact"/>
                    <w:jc w:val="right"/>
                  </w:pPr>
                  <w:r>
                    <w:t>10.63</w:t>
                  </w:r>
                </w:p>
              </w:tc>
              <w:tc>
                <w:tcPr>
                  <w:tcW w:w="0" w:type="auto"/>
                </w:tcPr>
                <w:p w14:paraId="2DED422D" w14:textId="77777777" w:rsidR="005248C5" w:rsidRDefault="005248C5" w:rsidP="00C07A44">
                  <w:pPr>
                    <w:pStyle w:val="Compact"/>
                    <w:jc w:val="right"/>
                  </w:pPr>
                  <w:r>
                    <w:t>190.50</w:t>
                  </w:r>
                </w:p>
              </w:tc>
              <w:tc>
                <w:tcPr>
                  <w:tcW w:w="0" w:type="auto"/>
                </w:tcPr>
                <w:p w14:paraId="02107245" w14:textId="77777777" w:rsidR="005248C5" w:rsidRDefault="005248C5" w:rsidP="00C07A44">
                  <w:pPr>
                    <w:pStyle w:val="Compact"/>
                    <w:jc w:val="right"/>
                  </w:pPr>
                  <w:r>
                    <w:t>0.00</w:t>
                  </w:r>
                </w:p>
              </w:tc>
            </w:tr>
            <w:tr w:rsidR="005248C5" w14:paraId="2D24BB63" w14:textId="77777777" w:rsidTr="00C07A44">
              <w:tc>
                <w:tcPr>
                  <w:tcW w:w="0" w:type="auto"/>
                </w:tcPr>
                <w:p w14:paraId="31688F24" w14:textId="77777777" w:rsidR="005248C5" w:rsidRDefault="005248C5" w:rsidP="00C07A44">
                  <w:pPr>
                    <w:pStyle w:val="Compact"/>
                    <w:jc w:val="right"/>
                  </w:pPr>
                  <w:r>
                    <w:t>CW:NHNW-cranium</w:t>
                  </w:r>
                </w:p>
              </w:tc>
              <w:tc>
                <w:tcPr>
                  <w:tcW w:w="0" w:type="auto"/>
                </w:tcPr>
                <w:p w14:paraId="1348372A" w14:textId="77777777" w:rsidR="005248C5" w:rsidRDefault="005248C5" w:rsidP="00C07A44">
                  <w:pPr>
                    <w:pStyle w:val="Compact"/>
                    <w:jc w:val="right"/>
                  </w:pPr>
                  <w:r>
                    <w:t>29.98</w:t>
                  </w:r>
                </w:p>
              </w:tc>
              <w:tc>
                <w:tcPr>
                  <w:tcW w:w="0" w:type="auto"/>
                </w:tcPr>
                <w:p w14:paraId="54790CFD" w14:textId="77777777" w:rsidR="005248C5" w:rsidRDefault="005248C5" w:rsidP="00C07A44">
                  <w:pPr>
                    <w:pStyle w:val="Compact"/>
                    <w:jc w:val="right"/>
                  </w:pPr>
                  <w:r>
                    <w:t>197.28</w:t>
                  </w:r>
                </w:p>
              </w:tc>
              <w:tc>
                <w:tcPr>
                  <w:tcW w:w="0" w:type="auto"/>
                </w:tcPr>
                <w:p w14:paraId="42F431BB" w14:textId="77777777" w:rsidR="005248C5" w:rsidRDefault="005248C5" w:rsidP="00C07A44">
                  <w:pPr>
                    <w:pStyle w:val="Compact"/>
                    <w:jc w:val="right"/>
                  </w:pPr>
                  <w:r>
                    <w:t>0.00</w:t>
                  </w:r>
                </w:p>
              </w:tc>
            </w:tr>
            <w:tr w:rsidR="005248C5" w14:paraId="71AA4710" w14:textId="77777777" w:rsidTr="00C07A44">
              <w:tc>
                <w:tcPr>
                  <w:tcW w:w="0" w:type="auto"/>
                </w:tcPr>
                <w:p w14:paraId="75358061" w14:textId="77777777" w:rsidR="005248C5" w:rsidRDefault="005248C5" w:rsidP="00C07A44">
                  <w:pPr>
                    <w:pStyle w:val="Compact"/>
                    <w:jc w:val="right"/>
                  </w:pPr>
                  <w:r>
                    <w:t>SHNW:NHNW-cranium</w:t>
                  </w:r>
                </w:p>
              </w:tc>
              <w:tc>
                <w:tcPr>
                  <w:tcW w:w="0" w:type="auto"/>
                </w:tcPr>
                <w:p w14:paraId="208B0B04" w14:textId="77777777" w:rsidR="005248C5" w:rsidRDefault="005248C5" w:rsidP="00C07A44">
                  <w:pPr>
                    <w:pStyle w:val="Compact"/>
                    <w:jc w:val="right"/>
                  </w:pPr>
                  <w:r>
                    <w:t>16.64</w:t>
                  </w:r>
                </w:p>
              </w:tc>
              <w:tc>
                <w:tcPr>
                  <w:tcW w:w="0" w:type="auto"/>
                </w:tcPr>
                <w:p w14:paraId="11326303" w14:textId="77777777" w:rsidR="005248C5" w:rsidRDefault="005248C5" w:rsidP="00C07A44">
                  <w:pPr>
                    <w:pStyle w:val="Compact"/>
                    <w:jc w:val="right"/>
                  </w:pPr>
                  <w:r>
                    <w:t>194.20</w:t>
                  </w:r>
                </w:p>
              </w:tc>
              <w:tc>
                <w:tcPr>
                  <w:tcW w:w="0" w:type="auto"/>
                </w:tcPr>
                <w:p w14:paraId="550D134D" w14:textId="77777777" w:rsidR="005248C5" w:rsidRDefault="005248C5" w:rsidP="00C07A44">
                  <w:pPr>
                    <w:pStyle w:val="Compact"/>
                    <w:jc w:val="right"/>
                  </w:pPr>
                  <w:r>
                    <w:t>0.00</w:t>
                  </w:r>
                </w:p>
              </w:tc>
            </w:tr>
            <w:tr w:rsidR="005248C5" w14:paraId="2C5AE63F" w14:textId="77777777" w:rsidTr="00C07A44">
              <w:tc>
                <w:tcPr>
                  <w:tcW w:w="0" w:type="auto"/>
                </w:tcPr>
                <w:p w14:paraId="2C7525B4" w14:textId="77777777" w:rsidR="005248C5" w:rsidRDefault="005248C5" w:rsidP="00C07A44">
                  <w:pPr>
                    <w:pStyle w:val="Compact"/>
                    <w:jc w:val="right"/>
                  </w:pPr>
                  <w:r>
                    <w:t>CW:SHNW-mandible</w:t>
                  </w:r>
                </w:p>
              </w:tc>
              <w:tc>
                <w:tcPr>
                  <w:tcW w:w="0" w:type="auto"/>
                </w:tcPr>
                <w:p w14:paraId="25342BA8" w14:textId="77777777" w:rsidR="005248C5" w:rsidRDefault="005248C5" w:rsidP="00C07A44">
                  <w:pPr>
                    <w:pStyle w:val="Compact"/>
                    <w:jc w:val="right"/>
                  </w:pPr>
                  <w:r>
                    <w:t>2.82</w:t>
                  </w:r>
                </w:p>
              </w:tc>
              <w:tc>
                <w:tcPr>
                  <w:tcW w:w="0" w:type="auto"/>
                </w:tcPr>
                <w:p w14:paraId="5D7B8786" w14:textId="77777777" w:rsidR="005248C5" w:rsidRDefault="005248C5" w:rsidP="00C07A44">
                  <w:pPr>
                    <w:pStyle w:val="Compact"/>
                    <w:jc w:val="right"/>
                  </w:pPr>
                  <w:r>
                    <w:t>192.06</w:t>
                  </w:r>
                </w:p>
              </w:tc>
              <w:tc>
                <w:tcPr>
                  <w:tcW w:w="0" w:type="auto"/>
                </w:tcPr>
                <w:p w14:paraId="670B020F" w14:textId="77777777" w:rsidR="005248C5" w:rsidRDefault="005248C5" w:rsidP="00C07A44">
                  <w:pPr>
                    <w:pStyle w:val="Compact"/>
                    <w:jc w:val="right"/>
                  </w:pPr>
                  <w:r>
                    <w:t>0.02</w:t>
                  </w:r>
                </w:p>
              </w:tc>
            </w:tr>
            <w:tr w:rsidR="005248C5" w14:paraId="13F807D8" w14:textId="77777777" w:rsidTr="00C07A44">
              <w:tc>
                <w:tcPr>
                  <w:tcW w:w="0" w:type="auto"/>
                </w:tcPr>
                <w:p w14:paraId="363FCED6" w14:textId="77777777" w:rsidR="005248C5" w:rsidRDefault="005248C5" w:rsidP="00C07A44">
                  <w:pPr>
                    <w:pStyle w:val="Compact"/>
                    <w:jc w:val="right"/>
                  </w:pPr>
                  <w:r>
                    <w:t>CW:NHNW-mandible</w:t>
                  </w:r>
                </w:p>
              </w:tc>
              <w:tc>
                <w:tcPr>
                  <w:tcW w:w="0" w:type="auto"/>
                </w:tcPr>
                <w:p w14:paraId="48EEBA50" w14:textId="77777777" w:rsidR="005248C5" w:rsidRDefault="005248C5" w:rsidP="00C07A44">
                  <w:pPr>
                    <w:pStyle w:val="Compact"/>
                    <w:jc w:val="right"/>
                  </w:pPr>
                  <w:r>
                    <w:t>8.90</w:t>
                  </w:r>
                </w:p>
              </w:tc>
              <w:tc>
                <w:tcPr>
                  <w:tcW w:w="0" w:type="auto"/>
                </w:tcPr>
                <w:p w14:paraId="096E6F59" w14:textId="77777777" w:rsidR="005248C5" w:rsidRDefault="005248C5" w:rsidP="00C07A44">
                  <w:pPr>
                    <w:pStyle w:val="Compact"/>
                    <w:jc w:val="right"/>
                  </w:pPr>
                  <w:r>
                    <w:t>141.03</w:t>
                  </w:r>
                </w:p>
              </w:tc>
              <w:tc>
                <w:tcPr>
                  <w:tcW w:w="0" w:type="auto"/>
                </w:tcPr>
                <w:p w14:paraId="6CB26C77" w14:textId="77777777" w:rsidR="005248C5" w:rsidRDefault="005248C5" w:rsidP="00C07A44">
                  <w:pPr>
                    <w:pStyle w:val="Compact"/>
                    <w:jc w:val="right"/>
                  </w:pPr>
                  <w:r>
                    <w:t>0.00</w:t>
                  </w:r>
                </w:p>
              </w:tc>
            </w:tr>
            <w:tr w:rsidR="005248C5" w14:paraId="62C3001C" w14:textId="77777777" w:rsidTr="00C07A44">
              <w:tc>
                <w:tcPr>
                  <w:tcW w:w="0" w:type="auto"/>
                </w:tcPr>
                <w:p w14:paraId="2D51B1A0" w14:textId="77777777" w:rsidR="005248C5" w:rsidRDefault="005248C5" w:rsidP="00C07A44">
                  <w:pPr>
                    <w:pStyle w:val="Compact"/>
                    <w:jc w:val="right"/>
                  </w:pPr>
                  <w:r>
                    <w:t>SHNW:NHNW-mandible</w:t>
                  </w:r>
                </w:p>
              </w:tc>
              <w:tc>
                <w:tcPr>
                  <w:tcW w:w="0" w:type="auto"/>
                </w:tcPr>
                <w:p w14:paraId="32181DE5" w14:textId="77777777" w:rsidR="005248C5" w:rsidRDefault="005248C5" w:rsidP="00C07A44">
                  <w:pPr>
                    <w:pStyle w:val="Compact"/>
                    <w:jc w:val="right"/>
                  </w:pPr>
                  <w:r>
                    <w:t>6.76</w:t>
                  </w:r>
                </w:p>
              </w:tc>
              <w:tc>
                <w:tcPr>
                  <w:tcW w:w="0" w:type="auto"/>
                </w:tcPr>
                <w:p w14:paraId="623F9AB4" w14:textId="77777777" w:rsidR="005248C5" w:rsidRDefault="005248C5" w:rsidP="00C07A44">
                  <w:pPr>
                    <w:pStyle w:val="Compact"/>
                    <w:jc w:val="right"/>
                  </w:pPr>
                  <w:r>
                    <w:t>156.16</w:t>
                  </w:r>
                </w:p>
              </w:tc>
              <w:tc>
                <w:tcPr>
                  <w:tcW w:w="0" w:type="auto"/>
                </w:tcPr>
                <w:p w14:paraId="3D1ED44A" w14:textId="77777777" w:rsidR="005248C5" w:rsidRDefault="005248C5" w:rsidP="00C07A44">
                  <w:pPr>
                    <w:pStyle w:val="Compact"/>
                    <w:jc w:val="right"/>
                  </w:pPr>
                  <w:r>
                    <w:t>0.00</w:t>
                  </w:r>
                </w:p>
              </w:tc>
            </w:tr>
          </w:tbl>
          <w:p w14:paraId="2B55F54F" w14:textId="77777777" w:rsidR="005248C5" w:rsidRDefault="005248C5" w:rsidP="009B3963">
            <w:pPr>
              <w:pStyle w:val="Heading1"/>
            </w:pPr>
            <w:bookmarkStart w:id="4" w:name="permanova-table.tex"/>
            <w:bookmarkEnd w:id="4"/>
          </w:p>
          <w:p w14:paraId="1BB0906C" w14:textId="77777777" w:rsidR="009B3963" w:rsidRDefault="009B3963" w:rsidP="009B3963">
            <w:pPr>
              <w:pStyle w:val="BodyText"/>
            </w:pPr>
          </w:p>
          <w:p w14:paraId="5FA15177" w14:textId="77777777" w:rsidR="009B3963" w:rsidRDefault="009B3963" w:rsidP="009B3963">
            <w:pPr>
              <w:pStyle w:val="BodyText"/>
            </w:pPr>
          </w:p>
          <w:p w14:paraId="4ABF3CB3" w14:textId="77777777" w:rsidR="009B3963" w:rsidRDefault="009B3963" w:rsidP="009B3963">
            <w:pPr>
              <w:pStyle w:val="BodyText"/>
            </w:pPr>
          </w:p>
          <w:p w14:paraId="258887EE" w14:textId="77777777" w:rsidR="009B3963" w:rsidRDefault="009B3963" w:rsidP="009B3963">
            <w:pPr>
              <w:pStyle w:val="BodyText"/>
            </w:pPr>
          </w:p>
          <w:p w14:paraId="01D37454" w14:textId="77777777" w:rsidR="009B3963" w:rsidRDefault="009B3963" w:rsidP="009B3963">
            <w:pPr>
              <w:pStyle w:val="BodyText"/>
            </w:pPr>
          </w:p>
          <w:p w14:paraId="28227D34" w14:textId="77777777" w:rsidR="009B3963" w:rsidRDefault="009B3963" w:rsidP="009B3963">
            <w:pPr>
              <w:pStyle w:val="BodyText"/>
            </w:pPr>
          </w:p>
          <w:p w14:paraId="4E2A00B2" w14:textId="77777777" w:rsidR="009B3963" w:rsidRDefault="009B3963" w:rsidP="009B3963">
            <w:pPr>
              <w:pStyle w:val="BodyText"/>
            </w:pPr>
          </w:p>
          <w:p w14:paraId="3C697E1D" w14:textId="77777777" w:rsidR="009B3963" w:rsidRDefault="009B3963" w:rsidP="009B3963">
            <w:pPr>
              <w:pStyle w:val="BodyText"/>
            </w:pPr>
          </w:p>
          <w:p w14:paraId="5CF06577" w14:textId="77777777" w:rsidR="009B3963" w:rsidRPr="009B3963" w:rsidRDefault="009B3963" w:rsidP="009B3963">
            <w:pPr>
              <w:pStyle w:val="BodyText"/>
            </w:pPr>
          </w:p>
        </w:tc>
        <w:tc>
          <w:tcPr>
            <w:tcW w:w="0" w:type="auto"/>
          </w:tcPr>
          <w:p w14:paraId="0D7160E6" w14:textId="77777777" w:rsidR="005248C5" w:rsidRDefault="005248C5" w:rsidP="00C07A44">
            <w:pPr>
              <w:pStyle w:val="Compact"/>
              <w:jc w:val="right"/>
            </w:pPr>
          </w:p>
        </w:tc>
        <w:tc>
          <w:tcPr>
            <w:tcW w:w="0" w:type="auto"/>
          </w:tcPr>
          <w:p w14:paraId="519F02CA" w14:textId="77777777" w:rsidR="005248C5" w:rsidRDefault="005248C5" w:rsidP="00C07A44">
            <w:pPr>
              <w:pStyle w:val="Compact"/>
              <w:jc w:val="right"/>
            </w:pPr>
          </w:p>
        </w:tc>
        <w:tc>
          <w:tcPr>
            <w:tcW w:w="0" w:type="auto"/>
          </w:tcPr>
          <w:p w14:paraId="5C3AD1CD" w14:textId="77777777" w:rsidR="005248C5" w:rsidRDefault="005248C5" w:rsidP="00C07A44">
            <w:pPr>
              <w:pStyle w:val="Compact"/>
              <w:jc w:val="right"/>
            </w:pPr>
          </w:p>
        </w:tc>
      </w:tr>
    </w:tbl>
    <w:p w14:paraId="01AD475C" w14:textId="77777777" w:rsidR="00C35387" w:rsidRDefault="00C35387">
      <w:r>
        <w:rPr>
          <w:noProof/>
        </w:rPr>
        <w:lastRenderedPageBreak/>
        <w:drawing>
          <wp:inline distT="0" distB="0" distL="0" distR="0" wp14:anchorId="18D39E0F" wp14:editId="096375DA">
            <wp:extent cx="5936615" cy="2967990"/>
            <wp:effectExtent l="0" t="0" r="0" b="0"/>
            <wp:docPr id="1" name="Picture 1" descr="PCA_t_tests.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CA_t_tests.pdf"/>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6615" cy="2967990"/>
                    </a:xfrm>
                    <a:prstGeom prst="rect">
                      <a:avLst/>
                    </a:prstGeom>
                    <a:noFill/>
                    <a:ln>
                      <a:noFill/>
                    </a:ln>
                  </pic:spPr>
                </pic:pic>
              </a:graphicData>
            </a:graphic>
          </wp:inline>
        </w:drawing>
      </w:r>
    </w:p>
    <w:p w14:paraId="707E7E01" w14:textId="77777777" w:rsidR="009B3963" w:rsidRDefault="00C35387">
      <w:r w:rsidRPr="009B3963">
        <w:rPr>
          <w:b/>
        </w:rPr>
        <w:t>Figure 1:</w:t>
      </w:r>
      <w:r>
        <w:t xml:space="preserve"> Group size measured as the median distance from centroids between the common wombats (CW), the Southern Hairy-Nosed wombats (SHNW) and the Northern Hairy-Nosed wombats (NHNW).</w:t>
      </w:r>
    </w:p>
    <w:p w14:paraId="6F974233" w14:textId="3FB4E60C" w:rsidR="00C35387" w:rsidRDefault="009B3963">
      <w:r>
        <w:rPr>
          <w:noProof/>
        </w:rPr>
        <w:drawing>
          <wp:inline distT="0" distB="0" distL="0" distR="0" wp14:anchorId="4D6D1167" wp14:editId="3265FA66">
            <wp:extent cx="5943600" cy="2961005"/>
            <wp:effectExtent l="0" t="0" r="0" b="0"/>
            <wp:docPr id="2" name="Picture 2" descr="Figures/PCA_t_tests_centr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s/PCA_t_tests_centre.pd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2961005"/>
                    </a:xfrm>
                    <a:prstGeom prst="rect">
                      <a:avLst/>
                    </a:prstGeom>
                    <a:noFill/>
                    <a:ln>
                      <a:noFill/>
                    </a:ln>
                  </pic:spPr>
                </pic:pic>
              </a:graphicData>
            </a:graphic>
          </wp:inline>
        </w:drawing>
      </w:r>
    </w:p>
    <w:p w14:paraId="06EC54B6" w14:textId="313E0CEA" w:rsidR="009B3963" w:rsidRDefault="009B3963">
      <w:r w:rsidRPr="009B3963">
        <w:rPr>
          <w:b/>
        </w:rPr>
        <w:t xml:space="preserve">Figure </w:t>
      </w:r>
      <w:r>
        <w:rPr>
          <w:b/>
        </w:rPr>
        <w:t>2</w:t>
      </w:r>
      <w:r w:rsidRPr="009B3963">
        <w:rPr>
          <w:b/>
        </w:rPr>
        <w:t>:</w:t>
      </w:r>
      <w:r>
        <w:t xml:space="preserve"> Group size measured as the median distance from </w:t>
      </w:r>
      <w:r>
        <w:t xml:space="preserve">the </w:t>
      </w:r>
      <w:proofErr w:type="spellStart"/>
      <w:r>
        <w:t>centr</w:t>
      </w:r>
      <w:r w:rsidR="007F1815">
        <w:t>e</w:t>
      </w:r>
      <w:proofErr w:type="spellEnd"/>
      <w:r>
        <w:t xml:space="preserve"> of the PCA space</w:t>
      </w:r>
      <w:r>
        <w:t xml:space="preserve"> between the common wombats (CW), the Southern Hairy-Nosed wombats (SHNW) and the Northern Hairy-Nosed wombats (NHNW)</w:t>
      </w:r>
    </w:p>
    <w:sectPr w:rsidR="009B396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10C78A2" w14:textId="77777777" w:rsidR="00F45FAC" w:rsidRDefault="00F45FAC">
      <w:pPr>
        <w:spacing w:after="0"/>
      </w:pPr>
      <w:r>
        <w:separator/>
      </w:r>
    </w:p>
  </w:endnote>
  <w:endnote w:type="continuationSeparator" w:id="0">
    <w:p w14:paraId="6A55E981" w14:textId="77777777" w:rsidR="00F45FAC" w:rsidRDefault="00F45F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E51E0D" w14:textId="77777777" w:rsidR="00F45FAC" w:rsidRDefault="00F45FAC">
      <w:r>
        <w:separator/>
      </w:r>
    </w:p>
  </w:footnote>
  <w:footnote w:type="continuationSeparator" w:id="0">
    <w:p w14:paraId="22318E61" w14:textId="77777777" w:rsidR="00F45FAC" w:rsidRDefault="00F45FA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D3DF7469"/>
    <w:multiLevelType w:val="multilevel"/>
    <w:tmpl w:val="C5BC40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E5962E5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92"/>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E5906"/>
    <w:rsid w:val="004557E5"/>
    <w:rsid w:val="004E29B3"/>
    <w:rsid w:val="005248C5"/>
    <w:rsid w:val="00590D07"/>
    <w:rsid w:val="00744F92"/>
    <w:rsid w:val="00784D58"/>
    <w:rsid w:val="007D6A1A"/>
    <w:rsid w:val="007E45D7"/>
    <w:rsid w:val="007F1815"/>
    <w:rsid w:val="008D6863"/>
    <w:rsid w:val="009B3963"/>
    <w:rsid w:val="00B86B75"/>
    <w:rsid w:val="00BC48D5"/>
    <w:rsid w:val="00C35387"/>
    <w:rsid w:val="00C36279"/>
    <w:rsid w:val="00E315A3"/>
    <w:rsid w:val="00F45FA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CEEF78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emf"/><Relationship Id="rId8" Type="http://schemas.openxmlformats.org/officeDocument/2006/relationships/image" Target="media/image2.emf"/><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350</Words>
  <Characters>2001</Characters>
  <Application>Microsoft Macintosh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2347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Guillerme, Thomas</cp:lastModifiedBy>
  <cp:revision>8</cp:revision>
  <dcterms:created xsi:type="dcterms:W3CDTF">2018-06-26T06:23:00Z</dcterms:created>
  <dcterms:modified xsi:type="dcterms:W3CDTF">2018-06-26T06:45:00Z</dcterms:modified>
</cp:coreProperties>
</file>