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2F297" w14:textId="275DFD9A" w:rsidR="006D58D1" w:rsidRPr="006D58D1" w:rsidRDefault="00D51C54" w:rsidP="006D58D1">
      <w:pPr>
        <w:rPr>
          <w:b/>
          <w:bCs/>
        </w:rPr>
      </w:pPr>
      <w:r>
        <w:rPr>
          <w:b/>
          <w:bCs/>
        </w:rPr>
        <w:t xml:space="preserve">Primer: </w:t>
      </w:r>
      <w:r w:rsidR="006D58D1" w:rsidRPr="006D58D1">
        <w:rPr>
          <w:b/>
          <w:bCs/>
        </w:rPr>
        <w:t xml:space="preserve">Prüfung </w:t>
      </w:r>
      <w:r w:rsidR="006D58D1">
        <w:rPr>
          <w:b/>
          <w:bCs/>
        </w:rPr>
        <w:t>von RAGs gegenüber einem „Goldstandard“</w:t>
      </w:r>
    </w:p>
    <w:p w14:paraId="74A147D0" w14:textId="6772F8A5" w:rsidR="006D58D1" w:rsidRPr="006D58D1" w:rsidRDefault="006D58D1" w:rsidP="006D58D1">
      <w:r>
        <w:t xml:space="preserve">Ein Goldstandard ist in diesem Kontext ein </w:t>
      </w:r>
      <w:r w:rsidRPr="006D58D1">
        <w:t>Vorrat von Fragen mit fachlich abgesicherten Soll-Antworten, gegen den das System wiederholt geprüft wird. Im juristischen RAG-Kontext ist er die einzige Stelle, an der menschliche fachliche Urteilskraft in den ansonsten automatisierten Prüfkreislauf eintritt</w:t>
      </w:r>
    </w:p>
    <w:p w14:paraId="0DD4941A" w14:textId="53E789E0" w:rsidR="006D58D1" w:rsidRPr="006D58D1" w:rsidRDefault="006D58D1" w:rsidP="006D58D1">
      <w:pPr>
        <w:rPr>
          <w:b/>
          <w:bCs/>
        </w:rPr>
      </w:pPr>
      <w:r w:rsidRPr="006D58D1">
        <w:rPr>
          <w:b/>
          <w:bCs/>
        </w:rPr>
        <w:t>Fünf Entscheidungsachsen vor der Methodenwahl</w:t>
      </w:r>
    </w:p>
    <w:p w14:paraId="2F425DAA" w14:textId="77777777" w:rsidR="006D58D1" w:rsidRPr="006D58D1" w:rsidRDefault="006D58D1" w:rsidP="006D58D1">
      <w:r w:rsidRPr="006D58D1">
        <w:rPr>
          <w:i/>
          <w:iCs/>
        </w:rPr>
        <w:t>Granularität.</w:t>
      </w:r>
      <w:r w:rsidRPr="006D58D1">
        <w:t xml:space="preserve"> Was ist die Einheit? Eine Frage mit einer Soll-Antwort in eigenen Worten; eine Frage mit einer Liste relevanter Fundstellen; eine Frage mit einem markierten Wortlaut-Span ("highlight in the source"); oder eine Frage mit erwarteten Auslegungsoptionen. Diese Wahl bestimmt, was Sie eigentlich messen — Antwortqualität, Retrieval-Qualität, Auslegungsbreite.</w:t>
      </w:r>
    </w:p>
    <w:p w14:paraId="200FFE24" w14:textId="77777777" w:rsidR="006D58D1" w:rsidRPr="006D58D1" w:rsidRDefault="006D58D1" w:rsidP="006D58D1">
      <w:r w:rsidRPr="006D58D1">
        <w:rPr>
          <w:i/>
          <w:iCs/>
        </w:rPr>
        <w:t>Antwortform.</w:t>
      </w:r>
      <w:r w:rsidRPr="006D58D1">
        <w:t xml:space="preserve"> Extraktiv (der Span steht wörtlich im Dokument), abstraktiv (das System paraphrasiert), Mehrfachauswahl (für robuste Auswertung mit klaren Labels), oder Ranking (für reine Retrieval-Tests). Im juristischen Kontext ist extraktiv mit Mehrfachauswahl der konservativste Pfad, weil er die Bewertung von "ist die Antwort richtig?" auf "ist die markierte Stelle die richtige?" reduziert.</w:t>
      </w:r>
    </w:p>
    <w:p w14:paraId="20956FD4" w14:textId="77777777" w:rsidR="006D58D1" w:rsidRPr="006D58D1" w:rsidRDefault="006D58D1" w:rsidP="006D58D1">
      <w:r w:rsidRPr="006D58D1">
        <w:rPr>
          <w:i/>
          <w:iCs/>
        </w:rPr>
        <w:t>Schwierigkeitsspektrum.</w:t>
      </w:r>
      <w:r w:rsidRPr="006D58D1">
        <w:t xml:space="preserve"> Eine Goldsammlung mit nur Lehrbuchfällen produziert systematisches Overfitting auf das Erkennen klarer Fälle. Echte juristische Praxis besteht aus Mehrnorm-Fragen, Konkurrenzfragen, Lückenfragen, Versionsfragen und Auslegungskontroversen. Eine seriöse Sammlung deckt das Spektrum bewusst ab und protokolliert die Schwierigkeitsklasse je Item.</w:t>
      </w:r>
    </w:p>
    <w:p w14:paraId="1FEFD173" w14:textId="77777777" w:rsidR="006D58D1" w:rsidRPr="006D58D1" w:rsidRDefault="006D58D1" w:rsidP="006D58D1">
      <w:r w:rsidRPr="006D58D1">
        <w:rPr>
          <w:i/>
          <w:iCs/>
        </w:rPr>
        <w:t>Annotatoren-Setup.</w:t>
      </w:r>
      <w:r w:rsidRPr="006D58D1">
        <w:t xml:space="preserve"> Einzel-Experte (schnell, aber nicht messbar reliabel), Doppel-Annotation mit Adjudikation durch eine dritte Instanz (Goldstandard im Wortsinn), oder Triple mit Mehrheit. Das gewählte Setup bestimmt, ob Sie überhaupt eine Reliabilitätszahl ausweisen können.</w:t>
      </w:r>
    </w:p>
    <w:p w14:paraId="4E42F82A" w14:textId="77777777" w:rsidR="006D58D1" w:rsidRPr="006D58D1" w:rsidRDefault="006D58D1" w:rsidP="006D58D1">
      <w:r w:rsidRPr="006D58D1">
        <w:rPr>
          <w:i/>
          <w:iCs/>
        </w:rPr>
        <w:t>Reliabilitätsmessung.</w:t>
      </w:r>
      <w:r w:rsidRPr="006D58D1">
        <w:t xml:space="preserve"> Welche Kennzahl belegt, dass die menschlichen Urteile selbst stabil sind? Hier kommen die Inter-Annotator-Agreement-Maße ins Spiel (siehe unten).</w:t>
      </w:r>
    </w:p>
    <w:p w14:paraId="7A373B1C" w14:textId="77777777" w:rsidR="006D58D1" w:rsidRPr="006D58D1" w:rsidRDefault="006D58D1" w:rsidP="006D58D1">
      <w:pPr>
        <w:rPr>
          <w:b/>
          <w:bCs/>
        </w:rPr>
      </w:pPr>
      <w:r w:rsidRPr="006D58D1">
        <w:rPr>
          <w:b/>
          <w:bCs/>
        </w:rPr>
        <w:t>Sechs etablierte Standards als Optionen</w:t>
      </w:r>
    </w:p>
    <w:p w14:paraId="33E38D38" w14:textId="77777777" w:rsidR="006D58D1" w:rsidRPr="006D58D1" w:rsidRDefault="006D58D1" w:rsidP="006D58D1">
      <w:r w:rsidRPr="006D58D1">
        <w:rPr>
          <w:b/>
          <w:bCs/>
        </w:rPr>
        <w:t>Option A — TREC/Cranfield-Tradition für reine Retrieval-Evaluation.</w:t>
      </w:r>
      <w:r w:rsidRPr="006D58D1">
        <w:t xml:space="preserve"> Die Text REtrieval Conference (seit 1992 unter NIST-Schirmherrschaft) hat die Methodologie für Information-Retrieval-Evaluation kodifiziert: Eine Sammlung von Anfragen, eine Sammlung von Dokumenten, sogenannte </w:t>
      </w:r>
      <w:r w:rsidRPr="006D58D1">
        <w:rPr>
          <w:i/>
          <w:iCs/>
        </w:rPr>
        <w:t>qrels</w:t>
      </w:r>
      <w:r w:rsidRPr="006D58D1">
        <w:t xml:space="preserve"> (query-relevance-judgments) als Tabelle "Anfrage × Dokument → Relevanz" und bei großen Korpora die Pooling-Methode (mehrere Systeme liefern ihre Top-k-Treffer; nur der Pool wird menschlich beurteilt). Die Tradition ist im Voorhees-und-Harman-Band (2005) ausführlich beschrieben. Der Vorteil für Ihren Fall: bewährt, statistisch durchgerechnet, viele etablierte Kennzahlen (Precision@k, </w:t>
      </w:r>
      <w:r w:rsidRPr="006D58D1">
        <w:lastRenderedPageBreak/>
        <w:t>Recall@k, MAP, nDCG). Der Nachteil: TREC bewertet Retrieval, nicht Generierung — Sie brauchen zusätzlich eine Antwort-Bewertungsschicht.</w:t>
      </w:r>
    </w:p>
    <w:p w14:paraId="3BAD747C" w14:textId="77777777" w:rsidR="006D58D1" w:rsidRPr="006D58D1" w:rsidRDefault="006D58D1" w:rsidP="006D58D1">
      <w:r w:rsidRPr="006D58D1">
        <w:rPr>
          <w:b/>
          <w:bCs/>
          <w:lang w:val="en-US"/>
        </w:rPr>
        <w:t xml:space="preserve">Option B — </w:t>
      </w:r>
      <w:proofErr w:type="spellStart"/>
      <w:r w:rsidRPr="006D58D1">
        <w:rPr>
          <w:b/>
          <w:bCs/>
          <w:lang w:val="en-US"/>
        </w:rPr>
        <w:t>SQuAD</w:t>
      </w:r>
      <w:proofErr w:type="spellEnd"/>
      <w:r w:rsidRPr="006D58D1">
        <w:rPr>
          <w:b/>
          <w:bCs/>
          <w:lang w:val="en-US"/>
        </w:rPr>
        <w:t>-Stil (Stanford Question Answering Dataset).</w:t>
      </w:r>
      <w:r w:rsidRPr="006D58D1">
        <w:rPr>
          <w:lang w:val="en-US"/>
        </w:rPr>
        <w:t xml:space="preserve"> </w:t>
      </w:r>
      <w:r w:rsidRPr="006D58D1">
        <w:t xml:space="preserve">Rajpurkar et al. (2016) etablierten ein Format, das für extraktive juristische RAG fast ideal passt: Pro Item gehört eine Frage zu genau einer Passage, und die Soll-Antwort ist ein wörtlicher Span aus dieser Passage. Im SQuAD-2.0-Format (Rajpurkar, Jia &amp; Liang, 2018) kommt eine wichtige Erweiterung hinzu: Fragen, die </w:t>
      </w:r>
      <w:r w:rsidRPr="006D58D1">
        <w:rPr>
          <w:i/>
          <w:iCs/>
        </w:rPr>
        <w:t>nicht</w:t>
      </w:r>
      <w:r w:rsidRPr="006D58D1">
        <w:t xml:space="preserve"> aus der Passage beantwortbar sind, gehören explizit dazu, weil das System auch "Keine Antwort im Material" zuverlässig produzieren muss. Genau diese Eigenschaft brauchen Sie im juristischen Kontext: Halluzinationsfreiheit verlangt zuverlässige Verweigerung. Der Aufwand pro Item ist überschaubar, das Format ist standardisiert, viele Werkzeuge unterstützen es nativ.</w:t>
      </w:r>
    </w:p>
    <w:p w14:paraId="085A9C68" w14:textId="77777777" w:rsidR="006D58D1" w:rsidRPr="006D58D1" w:rsidRDefault="006D58D1" w:rsidP="006D58D1">
      <w:r w:rsidRPr="006D58D1">
        <w:rPr>
          <w:b/>
          <w:bCs/>
        </w:rPr>
        <w:t>Option C — LegalBench-RAG.</w:t>
      </w:r>
      <w:r w:rsidRPr="006D58D1">
        <w:t xml:space="preserve"> Pipitone und Alami (2024) haben die erste benchmark-orientierte Methodologie speziell für RAG auf juristischen Texten vorgelegt. Ihr Kerngedanke: anders als bei klassischen Retrieval-Tests wird nicht das ganze Dokument als relevant markiert, sondern minimal große, hochrelevante Spans — also Sätze oder Halbsätze, nicht Kapitel. Das passt strukturell sehr gut zu unserem Deterministic-Quoting-Setup, in dem Sie ohnehin auf Norm-Atom-Granularität arbeiten. Die Autoren veröffentlichen Code und Datensätze auf GitHub, sodass das Schema unmittelbar nachgenutzt werden kann. Limitation: das Original arbeitet auf englischsprachigen Verträgen (CUAD, MAUD, PrivacyQA), nicht auf deutschen Gesetzestexten — Sie übernehmen die Methodik, nicht die Daten.</w:t>
      </w:r>
    </w:p>
    <w:p w14:paraId="172EEFB7" w14:textId="77777777" w:rsidR="006D58D1" w:rsidRPr="006D58D1" w:rsidRDefault="006D58D1" w:rsidP="006D58D1">
      <w:r w:rsidRPr="006D58D1">
        <w:rPr>
          <w:b/>
          <w:bCs/>
          <w:lang w:val="en-US"/>
        </w:rPr>
        <w:t xml:space="preserve">Option D — </w:t>
      </w:r>
      <w:proofErr w:type="spellStart"/>
      <w:r w:rsidRPr="006D58D1">
        <w:rPr>
          <w:b/>
          <w:bCs/>
          <w:lang w:val="en-US"/>
        </w:rPr>
        <w:t>GerDaLIR</w:t>
      </w:r>
      <w:proofErr w:type="spellEnd"/>
      <w:r w:rsidRPr="006D58D1">
        <w:rPr>
          <w:b/>
          <w:bCs/>
          <w:lang w:val="en-US"/>
        </w:rPr>
        <w:t xml:space="preserve"> (German Dataset for Legal Information Retrieval).</w:t>
      </w:r>
      <w:r w:rsidRPr="006D58D1">
        <w:rPr>
          <w:lang w:val="en-US"/>
        </w:rPr>
        <w:t xml:space="preserve"> </w:t>
      </w:r>
      <w:r w:rsidRPr="006D58D1">
        <w:t xml:space="preserve">Wrzalik und Krechel (2021) haben den bisher einzigen großen deutschsprachigen juristischen Retrieval-Benchmark vorgelegt, mit 123 000 Anfragen über 131 000 Falldokumenten aus Open Legal Data. Die Relevanzlabels entstehen aus Zitationen: Passagen, die ein Urteil zitieren, werden zu Anfragen, das zitierte Urteil ist die Soll-Antwort. Für Sie weniger als fertiger Datensatz interessant — Falldokumente, nicht Gesetzestext — als wegen der dahinterliegenden Methode, </w:t>
      </w:r>
      <w:r w:rsidRPr="006D58D1">
        <w:rPr>
          <w:i/>
          <w:iCs/>
        </w:rPr>
        <w:t>Zitationsbeziehungen</w:t>
      </w:r>
      <w:r w:rsidRPr="006D58D1">
        <w:t xml:space="preserve"> als implizite Relevanzlabels zu nutzen. Wenn Ihr Gesetzestext Querverweise zwischen Normen enthält (was bei BGB, HGB, AktG ausnahmslos der Fall ist), können Sie nach demselben Muster automatisch ein Grundgerüst von Q→A-Paaren erzeugen, das anschließend nur noch menschlich validiert werden muss.</w:t>
      </w:r>
    </w:p>
    <w:p w14:paraId="7EAF0037" w14:textId="77777777" w:rsidR="006D58D1" w:rsidRPr="006D58D1" w:rsidRDefault="006D58D1" w:rsidP="006D58D1">
      <w:r w:rsidRPr="006D58D1">
        <w:rPr>
          <w:b/>
          <w:bCs/>
        </w:rPr>
        <w:t>Option E — CheckList-Methodik für Verhaltenstests.</w:t>
      </w:r>
      <w:r w:rsidRPr="006D58D1">
        <w:t xml:space="preserve"> Ribeiro et al. (2020) — ACL Best Paper — verlegen die Idee aus dem Software-Testing in die NLP: statt einer Stichprobe von Items wird das System gegen </w:t>
      </w:r>
      <w:r w:rsidRPr="006D58D1">
        <w:rPr>
          <w:i/>
          <w:iCs/>
        </w:rPr>
        <w:t>Fähigkeitsklassen</w:t>
      </w:r>
      <w:r w:rsidRPr="006D58D1">
        <w:t xml:space="preserve"> getestet. Die drei Test-Typen sind Minimum Functionality Tests (kann das System die Aufgabe in einfachsten Fällen?), Invariance Tests (bleibt die Antwort stabil unter trivialen Änderungen der Frage?) und Directional Expectation Tests (ändert sich die Antwort in vorhersagbarer Richtung bei systematischen Änderungen der Frage?). Für juristisches RAG ergeben sich daraus sehr trennscharfe Tests: Ändert sich die Auslegung sinnvoll, wenn der Sachverhalt um ein </w:t>
      </w:r>
      <w:r w:rsidRPr="006D58D1">
        <w:lastRenderedPageBreak/>
        <w:t>entscheidendes Merkmal erweitert wird? Bleibt sie konstant, wenn das Datum der Anfrage variiert wird, der Normbestand aber gleich ist? Erkennt das System die Verwechslung zweier formal ähnlicher Paragraphen? CheckList ist als Ergänzung zu einem klassischen Goldstandard gedacht, nicht als Ersatz.</w:t>
      </w:r>
    </w:p>
    <w:p w14:paraId="1AA83BCA" w14:textId="77777777" w:rsidR="006D58D1" w:rsidRPr="006D58D1" w:rsidRDefault="006D58D1" w:rsidP="006D58D1">
      <w:r w:rsidRPr="006D58D1">
        <w:rPr>
          <w:b/>
          <w:bCs/>
          <w:lang w:val="en-US"/>
        </w:rPr>
        <w:t>Option F — RAGAS-synthetic-Test-Sets.</w:t>
      </w:r>
      <w:r w:rsidRPr="006D58D1">
        <w:rPr>
          <w:lang w:val="en-US"/>
        </w:rPr>
        <w:t xml:space="preserve"> </w:t>
      </w:r>
      <w:r w:rsidRPr="006D58D1">
        <w:t>RAGAS (Es et al., 2024) erzeugt automatisch Q→A-Paare aus dem Quelldokument mit Hilfe eines Sprachmodells. Der Vorteil: in wenigen Stunden haben Sie ein Test-Set von mehreren hundert Items. Der Nachteil ist ein methodischer Konstruktionsfehler, der nicht weggehen wird: das System wird gegen Fragen geprüft, die ein Sprachmodell aus demselben Text erzeugt hat — die "Lehrbuchhaftigkeit" der Fragen wird systematisch überschätzt, kontroverse Auslegungsfragen unterschätzt. Praktisch sinnvoll als Aufwärmphase und für Regressionstests bei Codeänderungen; nicht ausreichend als alleinige Grundlage einer Qualitätsaussage.</w:t>
      </w:r>
    </w:p>
    <w:p w14:paraId="430A66F6" w14:textId="77777777" w:rsidR="006D58D1" w:rsidRPr="006D58D1" w:rsidRDefault="006D58D1" w:rsidP="006D58D1">
      <w:r w:rsidRPr="006D58D1">
        <w:t>CUAD (Hendrycks et al., 2021), häufig zusammen mit Option C zitiert, sei für Vollständigkeit erwähnt: 510 Verträge, 41 Klauseltypen, hochqualifiziert annotiert. Methodisch interessant für Vertragsprüfung, weniger einschlägig für ein reines Gesetzes-RAG.</w:t>
      </w:r>
    </w:p>
    <w:p w14:paraId="011CB626" w14:textId="77777777" w:rsidR="006D58D1" w:rsidRPr="006D58D1" w:rsidRDefault="006D58D1" w:rsidP="006D58D1">
      <w:pPr>
        <w:rPr>
          <w:b/>
          <w:bCs/>
        </w:rPr>
      </w:pPr>
      <w:r w:rsidRPr="006D58D1">
        <w:rPr>
          <w:b/>
          <w:bCs/>
        </w:rPr>
        <w:t>Inter-Annotator-Reliabilität als Brücke zur Wissenschaftlichkeit</w:t>
      </w:r>
    </w:p>
    <w:p w14:paraId="45848DEC" w14:textId="77777777" w:rsidR="006D58D1" w:rsidRPr="006D58D1" w:rsidRDefault="006D58D1" w:rsidP="006D58D1">
      <w:r w:rsidRPr="006D58D1">
        <w:t xml:space="preserve">Welche Methode auch immer Sie wählen — eine Aussage über die Qualität Ihres Systems verlangt eine Aussage über die Qualität Ihres Goldstandards. Drei Maße haben sich durchgesetzt. </w:t>
      </w:r>
      <w:r w:rsidRPr="006D58D1">
        <w:rPr>
          <w:i/>
          <w:iCs/>
        </w:rPr>
        <w:t>Cohens Kappa</w:t>
      </w:r>
      <w:r w:rsidRPr="006D58D1">
        <w:t xml:space="preserve"> (Cohen, 1960) misst zwei Beurteiler auf kategorialen Daten, korrigiert um zufällige Übereinstimmung — geeignet für Doppel-Annotation mit klar definierten Labels (relevant/nicht relevant, korrekt/inkorrekt). </w:t>
      </w:r>
      <w:r w:rsidRPr="006D58D1">
        <w:rPr>
          <w:i/>
          <w:iCs/>
        </w:rPr>
        <w:t>Fleiss' Kappa</w:t>
      </w:r>
      <w:r w:rsidRPr="006D58D1">
        <w:t xml:space="preserve"> (Fleiss, 1971) erweitert das auf beliebig viele Beurteiler. </w:t>
      </w:r>
      <w:r w:rsidRPr="006D58D1">
        <w:rPr>
          <w:i/>
          <w:iCs/>
        </w:rPr>
        <w:t>Krippendorffs Alpha</w:t>
      </w:r>
      <w:r w:rsidRPr="006D58D1">
        <w:t xml:space="preserve"> (Krippendorff, 2018; Hayes &amp; Krippendorff, 2007) ist das flexibelste Maß: beliebig viele Beurteiler, beliebige Skalenniveaus, fehlende Werte erlaubt — die Standardwahl, wenn Sie zukünftig nicht in jedes neue Setup eine neue Kennzahl einführen wollen. Die in der Literatur weit zitierten Schwellen stammen von Landis und Koch (1977): unter 0,40 schwache, 0,40–0,60 moderate, 0,60–0,80 substantielle, über 0,80 fast perfekte Übereinstimmung — sind aber selbst umstritten und ersetzen kein domänenspezifisches Urteil. Im juristischen Kontext können Werte unter 0,60 in Auslegungsfragen ehrlich sein und produktiv genutzt werden, indem Dissens als eigenes Datum behandelt und protokolliert wird.</w:t>
      </w:r>
    </w:p>
    <w:p w14:paraId="09456078" w14:textId="77777777" w:rsidR="006D58D1" w:rsidRPr="006D58D1" w:rsidRDefault="006D58D1" w:rsidP="006D58D1">
      <w:pPr>
        <w:rPr>
          <w:b/>
          <w:bCs/>
        </w:rPr>
      </w:pPr>
      <w:r w:rsidRPr="006D58D1">
        <w:rPr>
          <w:b/>
          <w:bCs/>
        </w:rPr>
        <w:t>Konkrete Empfehlung für ein deutsches Gesetzes-RAG</w:t>
      </w:r>
    </w:p>
    <w:p w14:paraId="45929058" w14:textId="77777777" w:rsidR="006D58D1" w:rsidRPr="006D58D1" w:rsidRDefault="006D58D1" w:rsidP="006D58D1">
      <w:r w:rsidRPr="006D58D1">
        <w:t xml:space="preserve">Eine pragmatische Synthese kombiniert vier der genannten Optionen in einer schichtweise wachsenden Sammlung. Beginnen Sie mit einem </w:t>
      </w:r>
      <w:r w:rsidRPr="006D58D1">
        <w:rPr>
          <w:b/>
          <w:bCs/>
        </w:rPr>
        <w:t>SQuAD-2.0-konformen Kerndatensatz</w:t>
      </w:r>
      <w:r w:rsidRPr="006D58D1">
        <w:t xml:space="preserve"> (Option B) von 80–120 Items, manuell von einem Volljuristen erstellt: Frage, Passage, Soll-Antwortspan, plus mindestens 20 Prozent unbeantwortbarer Fragen ("Keine textliche Grundlage"). Das deckt die Antwortqualität bei klaren Fällen ab. </w:t>
      </w:r>
      <w:r w:rsidRPr="006D58D1">
        <w:lastRenderedPageBreak/>
        <w:t xml:space="preserve">Erweitern Sie diesen Kern mit der </w:t>
      </w:r>
      <w:r w:rsidRPr="006D58D1">
        <w:rPr>
          <w:b/>
          <w:bCs/>
        </w:rPr>
        <w:t>LegalBench-RAG-Span-Methodik</w:t>
      </w:r>
      <w:r w:rsidRPr="006D58D1">
        <w:t xml:space="preserve"> (Option C), indem Sie für jede Frage zusätzlich alle relevanten Stellen im Gesamtdokument als minimale Spans markieren — das gibt Ihnen den Retrieval-Test (Context Precision und Recall in RAGAS). Nutzen Sie die </w:t>
      </w:r>
      <w:r w:rsidRPr="006D58D1">
        <w:rPr>
          <w:b/>
          <w:bCs/>
        </w:rPr>
        <w:t>GerDaLIR-Logik</w:t>
      </w:r>
      <w:r w:rsidRPr="006D58D1">
        <w:t xml:space="preserve"> (Option D) für die </w:t>
      </w:r>
      <w:r w:rsidRPr="006D58D1">
        <w:rPr>
          <w:i/>
          <w:iCs/>
        </w:rPr>
        <w:t>Generierung von Kandidatenfragen</w:t>
      </w:r>
      <w:r w:rsidRPr="006D58D1">
        <w:t xml:space="preserve">: aus den Querverweisen Ihres Gesetzestextes lassen sich automatisch hunderte plausible Q→A-Strukturen ableiten, die der Volljurist nur noch filtert statt erfindet — das senkt den Aufwand auf einen Bruchteil. Ergänzen Sie schließlich </w:t>
      </w:r>
      <w:r w:rsidRPr="006D58D1">
        <w:rPr>
          <w:b/>
          <w:bCs/>
        </w:rPr>
        <w:t>CheckList-Tests</w:t>
      </w:r>
      <w:r w:rsidRPr="006D58D1">
        <w:t xml:space="preserve"> (Option E) für robustheitskritische Verhaltensweisen: Wechsel des Datums bei gleichem Sachverhalt, Wechsel eines entscheidenden Tatbestandsmerkmals, Verwechslungspaare ähnlicher Paragraphen.</w:t>
      </w:r>
    </w:p>
    <w:p w14:paraId="22B85504" w14:textId="77777777" w:rsidR="006D58D1" w:rsidRPr="006D58D1" w:rsidRDefault="006D58D1" w:rsidP="006D58D1">
      <w:r w:rsidRPr="006D58D1">
        <w:t>Für die Annotation arbeiten Sie mit Doppel-Annotation plus Adjudikation: zwei juristisch geschulte Personen labeln unabhängig, eine dritte adjudiziert Dissens, Krippendorffs Alpha wird pro Item-Klasse berichtet. Dokumentieren Sie für jedes Item Schwierigkeitsklasse (Lehrbuch / Mehrnorm / Konkurrenz / Lücke / Versionsbezug), das fachliche Streitspektrum (falls vorhanden, mit Kommentarverweis) und die Gültigkeitsperiode des Normbestands, gegen den die Soll-Antwort formuliert wurde. Diese Metadaten kosten beim Erstellen wenig und sind später entscheidend für stratifizierte Auswertung — eine Faithfulness-Zahl von 0,85 bedeutet etwas anderes, wenn sie nur auf Lehrbuchfällen erreicht wird, als wenn sie über das volle Schwierigkeitsspektrum gehalten wird.</w:t>
      </w:r>
    </w:p>
    <w:p w14:paraId="0EF05DDA" w14:textId="77777777" w:rsidR="00D51C54" w:rsidRPr="00D51C54" w:rsidRDefault="00D51C54" w:rsidP="00D51C54">
      <w:pPr>
        <w:rPr>
          <w:b/>
          <w:bCs/>
          <w:lang w:val="en-US"/>
        </w:rPr>
      </w:pPr>
      <w:proofErr w:type="spellStart"/>
      <w:r w:rsidRPr="00D51C54">
        <w:rPr>
          <w:b/>
          <w:bCs/>
          <w:lang w:val="en-US"/>
        </w:rPr>
        <w:t>Referenzen</w:t>
      </w:r>
      <w:proofErr w:type="spellEnd"/>
    </w:p>
    <w:p w14:paraId="364D30E3" w14:textId="77777777" w:rsidR="00D51C54" w:rsidRPr="00D51C54" w:rsidRDefault="00D51C54" w:rsidP="00D51C54">
      <w:pPr>
        <w:rPr>
          <w:lang w:val="en-US"/>
        </w:rPr>
      </w:pPr>
      <w:r w:rsidRPr="00D51C54">
        <w:rPr>
          <w:lang w:val="en-US"/>
        </w:rPr>
        <w:t xml:space="preserve">Cohen, J. (1960). A coefficient of agreement for nominal scales. </w:t>
      </w:r>
      <w:r w:rsidRPr="00D51C54">
        <w:rPr>
          <w:i/>
          <w:iCs/>
          <w:lang w:val="en-US"/>
        </w:rPr>
        <w:t>Educational and Psychological Measurement</w:t>
      </w:r>
      <w:r w:rsidRPr="00D51C54">
        <w:rPr>
          <w:lang w:val="en-US"/>
        </w:rPr>
        <w:t xml:space="preserve">, 20(1), 37–46. </w:t>
      </w:r>
      <w:hyperlink r:id="rId4" w:history="1">
        <w:r w:rsidRPr="00D51C54">
          <w:rPr>
            <w:rStyle w:val="Hyperlink"/>
            <w:lang w:val="en-US"/>
          </w:rPr>
          <w:t>https://doi.org/10.1177/001316446002000104</w:t>
        </w:r>
      </w:hyperlink>
    </w:p>
    <w:p w14:paraId="4A595340" w14:textId="77777777" w:rsidR="00D51C54" w:rsidRPr="00D51C54" w:rsidRDefault="00D51C54" w:rsidP="00D51C54">
      <w:pPr>
        <w:rPr>
          <w:lang w:val="en-US"/>
        </w:rPr>
      </w:pPr>
      <w:r w:rsidRPr="00D51C54">
        <w:rPr>
          <w:lang w:val="en-US"/>
        </w:rPr>
        <w:t xml:space="preserve">Es, S., James, J., Espinosa-Anke, L., &amp; </w:t>
      </w:r>
      <w:proofErr w:type="spellStart"/>
      <w:r w:rsidRPr="00D51C54">
        <w:rPr>
          <w:lang w:val="en-US"/>
        </w:rPr>
        <w:t>Schockaert</w:t>
      </w:r>
      <w:proofErr w:type="spellEnd"/>
      <w:r w:rsidRPr="00D51C54">
        <w:rPr>
          <w:lang w:val="en-US"/>
        </w:rPr>
        <w:t xml:space="preserve">, S. (2024). RAGAs: Automated evaluation of retrieval augmented generation. In </w:t>
      </w:r>
      <w:r w:rsidRPr="00D51C54">
        <w:rPr>
          <w:i/>
          <w:iCs/>
          <w:lang w:val="en-US"/>
        </w:rPr>
        <w:t>Proceedings of the 18th Conference of the European Chapter of the Association for Computational Linguistics: System Demonstrations</w:t>
      </w:r>
      <w:r w:rsidRPr="00D51C54">
        <w:rPr>
          <w:lang w:val="en-US"/>
        </w:rPr>
        <w:t xml:space="preserve"> (pp. 150–158). Association for Computational Linguistics. </w:t>
      </w:r>
      <w:hyperlink r:id="rId5" w:history="1">
        <w:r w:rsidRPr="00D51C54">
          <w:rPr>
            <w:rStyle w:val="Hyperlink"/>
            <w:lang w:val="en-US"/>
          </w:rPr>
          <w:t>https://aclanthology.org/2024.eacl-demo.16/</w:t>
        </w:r>
      </w:hyperlink>
    </w:p>
    <w:p w14:paraId="5FDB8F78" w14:textId="77777777" w:rsidR="00D51C54" w:rsidRPr="00D51C54" w:rsidRDefault="00D51C54" w:rsidP="00D51C54">
      <w:pPr>
        <w:rPr>
          <w:lang w:val="en-US"/>
        </w:rPr>
      </w:pPr>
      <w:r w:rsidRPr="00D51C54">
        <w:rPr>
          <w:lang w:val="en-US"/>
        </w:rPr>
        <w:t xml:space="preserve">Fleiss, J. L. (1971). Measuring nominal scale agreement among many raters. </w:t>
      </w:r>
      <w:r w:rsidRPr="00D51C54">
        <w:rPr>
          <w:i/>
          <w:iCs/>
          <w:lang w:val="en-US"/>
        </w:rPr>
        <w:t>Psychological Bulletin</w:t>
      </w:r>
      <w:r w:rsidRPr="00D51C54">
        <w:rPr>
          <w:lang w:val="en-US"/>
        </w:rPr>
        <w:t xml:space="preserve">, 76(5), 378–382. </w:t>
      </w:r>
      <w:hyperlink r:id="rId6" w:history="1">
        <w:r w:rsidRPr="00D51C54">
          <w:rPr>
            <w:rStyle w:val="Hyperlink"/>
            <w:lang w:val="en-US"/>
          </w:rPr>
          <w:t>https://doi.org/10.1037/h0031619</w:t>
        </w:r>
      </w:hyperlink>
    </w:p>
    <w:p w14:paraId="051BEAE7" w14:textId="77777777" w:rsidR="00D51C54" w:rsidRPr="00D51C54" w:rsidRDefault="00D51C54" w:rsidP="00D51C54">
      <w:pPr>
        <w:rPr>
          <w:lang w:val="en-US"/>
        </w:rPr>
      </w:pPr>
      <w:r w:rsidRPr="00D51C54">
        <w:rPr>
          <w:lang w:val="en-US"/>
        </w:rPr>
        <w:t xml:space="preserve">Hayes, A. F., &amp; </w:t>
      </w:r>
      <w:proofErr w:type="spellStart"/>
      <w:r w:rsidRPr="00D51C54">
        <w:rPr>
          <w:lang w:val="en-US"/>
        </w:rPr>
        <w:t>Krippendorff</w:t>
      </w:r>
      <w:proofErr w:type="spellEnd"/>
      <w:r w:rsidRPr="00D51C54">
        <w:rPr>
          <w:lang w:val="en-US"/>
        </w:rPr>
        <w:t xml:space="preserve">, K. (2007). Answering the call for a standard reliability measure for coding data. </w:t>
      </w:r>
      <w:r w:rsidRPr="00D51C54">
        <w:rPr>
          <w:i/>
          <w:iCs/>
          <w:lang w:val="en-US"/>
        </w:rPr>
        <w:t>Communication Methods and Measures</w:t>
      </w:r>
      <w:r w:rsidRPr="00D51C54">
        <w:rPr>
          <w:lang w:val="en-US"/>
        </w:rPr>
        <w:t xml:space="preserve">, 1(1), 77–89. </w:t>
      </w:r>
      <w:hyperlink r:id="rId7" w:history="1">
        <w:r w:rsidRPr="00D51C54">
          <w:rPr>
            <w:rStyle w:val="Hyperlink"/>
            <w:lang w:val="en-US"/>
          </w:rPr>
          <w:t>https://doi.org/10.1080/19312450709336664</w:t>
        </w:r>
      </w:hyperlink>
    </w:p>
    <w:p w14:paraId="1B0F6082" w14:textId="77777777" w:rsidR="00D51C54" w:rsidRPr="00D51C54" w:rsidRDefault="00D51C54" w:rsidP="00D51C54">
      <w:pPr>
        <w:rPr>
          <w:lang w:val="en-US"/>
        </w:rPr>
      </w:pPr>
      <w:r w:rsidRPr="00D51C54">
        <w:rPr>
          <w:lang w:val="en-US"/>
        </w:rPr>
        <w:t xml:space="preserve">Hendrycks, D., Burns, C., Chen, A., &amp; Ball, S. (2021). CUAD: An expert-annotated NLP dataset for legal contract review. </w:t>
      </w:r>
      <w:proofErr w:type="spellStart"/>
      <w:r w:rsidRPr="00D51C54">
        <w:rPr>
          <w:i/>
          <w:iCs/>
          <w:lang w:val="en-US"/>
        </w:rPr>
        <w:t>arXiv</w:t>
      </w:r>
      <w:proofErr w:type="spellEnd"/>
      <w:r w:rsidRPr="00D51C54">
        <w:rPr>
          <w:lang w:val="en-US"/>
        </w:rPr>
        <w:t xml:space="preserve">. </w:t>
      </w:r>
      <w:hyperlink r:id="rId8" w:history="1">
        <w:r w:rsidRPr="00D51C54">
          <w:rPr>
            <w:rStyle w:val="Hyperlink"/>
            <w:lang w:val="en-US"/>
          </w:rPr>
          <w:t>https://arxiv.org/abs/2103.06268</w:t>
        </w:r>
      </w:hyperlink>
    </w:p>
    <w:p w14:paraId="37F624BB" w14:textId="77777777" w:rsidR="00D51C54" w:rsidRPr="00D51C54" w:rsidRDefault="00D51C54" w:rsidP="00D51C54">
      <w:pPr>
        <w:rPr>
          <w:lang w:val="en-US"/>
        </w:rPr>
      </w:pPr>
      <w:r w:rsidRPr="00D51C54">
        <w:rPr>
          <w:lang w:val="en-US"/>
        </w:rPr>
        <w:t xml:space="preserve">Krippendorff, K. (2018). </w:t>
      </w:r>
      <w:r w:rsidRPr="00D51C54">
        <w:rPr>
          <w:i/>
          <w:iCs/>
          <w:lang w:val="en-US"/>
        </w:rPr>
        <w:t>Content analysis: An introduction to its methodology</w:t>
      </w:r>
      <w:r w:rsidRPr="00D51C54">
        <w:rPr>
          <w:lang w:val="en-US"/>
        </w:rPr>
        <w:t xml:space="preserve"> (4th ed.). SAGE Publications.</w:t>
      </w:r>
    </w:p>
    <w:p w14:paraId="78EBFB0A" w14:textId="77777777" w:rsidR="00D51C54" w:rsidRPr="00D51C54" w:rsidRDefault="00D51C54" w:rsidP="00D51C54">
      <w:pPr>
        <w:rPr>
          <w:lang w:val="en-US"/>
        </w:rPr>
      </w:pPr>
      <w:r w:rsidRPr="00D51C54">
        <w:rPr>
          <w:lang w:val="en-US"/>
        </w:rPr>
        <w:lastRenderedPageBreak/>
        <w:t xml:space="preserve">Landis, J. R., &amp; Koch, G. G. (1977). The measurement of observer agreement for categorical data. </w:t>
      </w:r>
      <w:r w:rsidRPr="00D51C54">
        <w:rPr>
          <w:i/>
          <w:iCs/>
          <w:lang w:val="en-US"/>
        </w:rPr>
        <w:t>Biometrics</w:t>
      </w:r>
      <w:r w:rsidRPr="00D51C54">
        <w:rPr>
          <w:lang w:val="en-US"/>
        </w:rPr>
        <w:t xml:space="preserve">, 33(1), 159–174. </w:t>
      </w:r>
      <w:hyperlink r:id="rId9" w:history="1">
        <w:r w:rsidRPr="00D51C54">
          <w:rPr>
            <w:rStyle w:val="Hyperlink"/>
            <w:lang w:val="en-US"/>
          </w:rPr>
          <w:t>https://doi.org/10.2307/2529310</w:t>
        </w:r>
      </w:hyperlink>
    </w:p>
    <w:p w14:paraId="100A980F" w14:textId="77777777" w:rsidR="00D51C54" w:rsidRPr="00D51C54" w:rsidRDefault="00D51C54" w:rsidP="00D51C54">
      <w:pPr>
        <w:rPr>
          <w:lang w:val="en-US"/>
        </w:rPr>
      </w:pPr>
      <w:r w:rsidRPr="00D51C54">
        <w:rPr>
          <w:lang w:val="en-US"/>
        </w:rPr>
        <w:t xml:space="preserve">Pipitone, N., &amp; </w:t>
      </w:r>
      <w:proofErr w:type="spellStart"/>
      <w:r w:rsidRPr="00D51C54">
        <w:rPr>
          <w:lang w:val="en-US"/>
        </w:rPr>
        <w:t>Houir</w:t>
      </w:r>
      <w:proofErr w:type="spellEnd"/>
      <w:r w:rsidRPr="00D51C54">
        <w:rPr>
          <w:lang w:val="en-US"/>
        </w:rPr>
        <w:t xml:space="preserve"> Alami, G. (2024). </w:t>
      </w:r>
      <w:proofErr w:type="spellStart"/>
      <w:r w:rsidRPr="00D51C54">
        <w:rPr>
          <w:lang w:val="en-US"/>
        </w:rPr>
        <w:t>LegalBench</w:t>
      </w:r>
      <w:proofErr w:type="spellEnd"/>
      <w:r w:rsidRPr="00D51C54">
        <w:rPr>
          <w:lang w:val="en-US"/>
        </w:rPr>
        <w:t xml:space="preserve">-RAG: A benchmark for retrieval-augmented generation in the legal domain. </w:t>
      </w:r>
      <w:proofErr w:type="spellStart"/>
      <w:r w:rsidRPr="00D51C54">
        <w:rPr>
          <w:i/>
          <w:iCs/>
          <w:lang w:val="en-US"/>
        </w:rPr>
        <w:t>arXiv</w:t>
      </w:r>
      <w:proofErr w:type="spellEnd"/>
      <w:r w:rsidRPr="00D51C54">
        <w:rPr>
          <w:lang w:val="en-US"/>
        </w:rPr>
        <w:t xml:space="preserve">. </w:t>
      </w:r>
      <w:hyperlink r:id="rId10" w:history="1">
        <w:r w:rsidRPr="00D51C54">
          <w:rPr>
            <w:rStyle w:val="Hyperlink"/>
            <w:lang w:val="en-US"/>
          </w:rPr>
          <w:t>https://arxiv.org/abs/2408.10343</w:t>
        </w:r>
      </w:hyperlink>
    </w:p>
    <w:p w14:paraId="017840CF" w14:textId="77777777" w:rsidR="00D51C54" w:rsidRPr="00D51C54" w:rsidRDefault="00D51C54" w:rsidP="00D51C54">
      <w:pPr>
        <w:rPr>
          <w:lang w:val="en-US"/>
        </w:rPr>
      </w:pPr>
      <w:proofErr w:type="spellStart"/>
      <w:r w:rsidRPr="00D51C54">
        <w:rPr>
          <w:lang w:val="en-US"/>
        </w:rPr>
        <w:t>Rajpurkar</w:t>
      </w:r>
      <w:proofErr w:type="spellEnd"/>
      <w:r w:rsidRPr="00D51C54">
        <w:rPr>
          <w:lang w:val="en-US"/>
        </w:rPr>
        <w:t xml:space="preserve">, P., Zhang, J., Lopyrev, K., &amp; Liang, P. (2016). </w:t>
      </w:r>
      <w:proofErr w:type="spellStart"/>
      <w:r w:rsidRPr="00D51C54">
        <w:rPr>
          <w:lang w:val="en-US"/>
        </w:rPr>
        <w:t>SQuAD</w:t>
      </w:r>
      <w:proofErr w:type="spellEnd"/>
      <w:r w:rsidRPr="00D51C54">
        <w:rPr>
          <w:lang w:val="en-US"/>
        </w:rPr>
        <w:t xml:space="preserve">: 100,000+ questions for machine comprehension of text. In </w:t>
      </w:r>
      <w:r w:rsidRPr="00D51C54">
        <w:rPr>
          <w:i/>
          <w:iCs/>
          <w:lang w:val="en-US"/>
        </w:rPr>
        <w:t>Proceedings of EMNLP 2016</w:t>
      </w:r>
      <w:r w:rsidRPr="00D51C54">
        <w:rPr>
          <w:lang w:val="en-US"/>
        </w:rPr>
        <w:t xml:space="preserve"> (pp. 2383–2392). </w:t>
      </w:r>
      <w:hyperlink r:id="rId11" w:history="1">
        <w:r w:rsidRPr="00D51C54">
          <w:rPr>
            <w:rStyle w:val="Hyperlink"/>
            <w:lang w:val="en-US"/>
          </w:rPr>
          <w:t>https://doi.org/10.18653/v1/D16-1264</w:t>
        </w:r>
      </w:hyperlink>
    </w:p>
    <w:p w14:paraId="7D5AF201" w14:textId="77777777" w:rsidR="00D51C54" w:rsidRPr="00D51C54" w:rsidRDefault="00D51C54" w:rsidP="00D51C54">
      <w:pPr>
        <w:rPr>
          <w:lang w:val="en-US"/>
        </w:rPr>
      </w:pPr>
      <w:r w:rsidRPr="00D51C54">
        <w:t xml:space="preserve">Rajpurkar, P., Jia, R., &amp; Liang, P. (2018). </w:t>
      </w:r>
      <w:r w:rsidRPr="00D51C54">
        <w:rPr>
          <w:lang w:val="en-US"/>
        </w:rPr>
        <w:t xml:space="preserve">Know what you don't know: Unanswerable questions for </w:t>
      </w:r>
      <w:proofErr w:type="spellStart"/>
      <w:r w:rsidRPr="00D51C54">
        <w:rPr>
          <w:lang w:val="en-US"/>
        </w:rPr>
        <w:t>SQuAD</w:t>
      </w:r>
      <w:proofErr w:type="spellEnd"/>
      <w:r w:rsidRPr="00D51C54">
        <w:rPr>
          <w:lang w:val="en-US"/>
        </w:rPr>
        <w:t xml:space="preserve">. In </w:t>
      </w:r>
      <w:r w:rsidRPr="00D51C54">
        <w:rPr>
          <w:i/>
          <w:iCs/>
          <w:lang w:val="en-US"/>
        </w:rPr>
        <w:t>Proceedings of ACL 2018</w:t>
      </w:r>
      <w:r w:rsidRPr="00D51C54">
        <w:rPr>
          <w:lang w:val="en-US"/>
        </w:rPr>
        <w:t xml:space="preserve"> (pp. 784–789). </w:t>
      </w:r>
      <w:hyperlink r:id="rId12" w:history="1">
        <w:r w:rsidRPr="00D51C54">
          <w:rPr>
            <w:rStyle w:val="Hyperlink"/>
            <w:lang w:val="en-US"/>
          </w:rPr>
          <w:t>https://doi.org/10.18653/v1/P18-2124</w:t>
        </w:r>
      </w:hyperlink>
    </w:p>
    <w:p w14:paraId="25030208" w14:textId="77777777" w:rsidR="00D51C54" w:rsidRPr="00D51C54" w:rsidRDefault="00D51C54" w:rsidP="00D51C54">
      <w:pPr>
        <w:rPr>
          <w:lang w:val="en-US"/>
        </w:rPr>
      </w:pPr>
      <w:r w:rsidRPr="00D51C54">
        <w:rPr>
          <w:lang w:val="en-US"/>
        </w:rPr>
        <w:t xml:space="preserve">Ribeiro, M. T., Wu, T., </w:t>
      </w:r>
      <w:proofErr w:type="spellStart"/>
      <w:r w:rsidRPr="00D51C54">
        <w:rPr>
          <w:lang w:val="en-US"/>
        </w:rPr>
        <w:t>Guestrin</w:t>
      </w:r>
      <w:proofErr w:type="spellEnd"/>
      <w:r w:rsidRPr="00D51C54">
        <w:rPr>
          <w:lang w:val="en-US"/>
        </w:rPr>
        <w:t xml:space="preserve">, C., &amp; Singh, S. (2020). Beyond accuracy: Behavioral testing of NLP models with </w:t>
      </w:r>
      <w:proofErr w:type="spellStart"/>
      <w:r w:rsidRPr="00D51C54">
        <w:rPr>
          <w:lang w:val="en-US"/>
        </w:rPr>
        <w:t>CheckList</w:t>
      </w:r>
      <w:proofErr w:type="spellEnd"/>
      <w:r w:rsidRPr="00D51C54">
        <w:rPr>
          <w:lang w:val="en-US"/>
        </w:rPr>
        <w:t xml:space="preserve">. In </w:t>
      </w:r>
      <w:r w:rsidRPr="00D51C54">
        <w:rPr>
          <w:i/>
          <w:iCs/>
          <w:lang w:val="en-US"/>
        </w:rPr>
        <w:t>Proceedings of ACL 2020</w:t>
      </w:r>
      <w:r w:rsidRPr="00D51C54">
        <w:rPr>
          <w:lang w:val="en-US"/>
        </w:rPr>
        <w:t xml:space="preserve"> (pp. 4902–4912). </w:t>
      </w:r>
      <w:hyperlink r:id="rId13" w:history="1">
        <w:r w:rsidRPr="00D51C54">
          <w:rPr>
            <w:rStyle w:val="Hyperlink"/>
            <w:lang w:val="en-US"/>
          </w:rPr>
          <w:t>https://doi.org/10.18653/v1/2020.acl-main.442</w:t>
        </w:r>
      </w:hyperlink>
    </w:p>
    <w:p w14:paraId="7F71C10C" w14:textId="77777777" w:rsidR="00D51C54" w:rsidRPr="00D51C54" w:rsidRDefault="00D51C54" w:rsidP="00D51C54">
      <w:pPr>
        <w:rPr>
          <w:lang w:val="en-US"/>
        </w:rPr>
      </w:pPr>
      <w:r w:rsidRPr="00D51C54">
        <w:rPr>
          <w:lang w:val="en-US"/>
        </w:rPr>
        <w:t xml:space="preserve">Voorhees, E. M., &amp; Harman, D. K. (Eds.). (2005). </w:t>
      </w:r>
      <w:r w:rsidRPr="00D51C54">
        <w:rPr>
          <w:i/>
          <w:iCs/>
          <w:lang w:val="en-US"/>
        </w:rPr>
        <w:t>TREC: Experiment and evaluation in information retrieval</w:t>
      </w:r>
      <w:r w:rsidRPr="00D51C54">
        <w:rPr>
          <w:lang w:val="en-US"/>
        </w:rPr>
        <w:t>. MIT Press.</w:t>
      </w:r>
    </w:p>
    <w:p w14:paraId="4A07E8E3" w14:textId="77777777" w:rsidR="00D51C54" w:rsidRPr="00D51C54" w:rsidRDefault="00D51C54" w:rsidP="00D51C54">
      <w:proofErr w:type="spellStart"/>
      <w:r w:rsidRPr="00D51C54">
        <w:rPr>
          <w:lang w:val="en-US"/>
        </w:rPr>
        <w:t>Wrzalik</w:t>
      </w:r>
      <w:proofErr w:type="spellEnd"/>
      <w:r w:rsidRPr="00D51C54">
        <w:rPr>
          <w:lang w:val="en-US"/>
        </w:rPr>
        <w:t xml:space="preserve">, M., &amp; Krechel, D. (2021). </w:t>
      </w:r>
      <w:proofErr w:type="spellStart"/>
      <w:r w:rsidRPr="00D51C54">
        <w:rPr>
          <w:lang w:val="en-US"/>
        </w:rPr>
        <w:t>GerDaLIR</w:t>
      </w:r>
      <w:proofErr w:type="spellEnd"/>
      <w:r w:rsidRPr="00D51C54">
        <w:rPr>
          <w:lang w:val="en-US"/>
        </w:rPr>
        <w:t xml:space="preserve">: A German dataset for legal information retrieval. In </w:t>
      </w:r>
      <w:r w:rsidRPr="00D51C54">
        <w:rPr>
          <w:i/>
          <w:iCs/>
          <w:lang w:val="en-US"/>
        </w:rPr>
        <w:t>Proceedings of the Natural Legal Language Processing Workshop 2021</w:t>
      </w:r>
      <w:r w:rsidRPr="00D51C54">
        <w:rPr>
          <w:lang w:val="en-US"/>
        </w:rPr>
        <w:t xml:space="preserve"> (pp. 123–128). </w:t>
      </w:r>
      <w:r w:rsidRPr="00D51C54">
        <w:t xml:space="preserve">Association for Computational Linguistics. </w:t>
      </w:r>
      <w:hyperlink r:id="rId14" w:history="1">
        <w:r w:rsidRPr="00D51C54">
          <w:rPr>
            <w:rStyle w:val="Hyperlink"/>
          </w:rPr>
          <w:t>https://doi.org/10.18653/v1/2021.nllp-1.13</w:t>
        </w:r>
      </w:hyperlink>
    </w:p>
    <w:p w14:paraId="52D7A287" w14:textId="77777777" w:rsidR="006D58D1" w:rsidRDefault="006D58D1"/>
    <w:sectPr w:rsidR="006D58D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8D1"/>
    <w:rsid w:val="006D58D1"/>
    <w:rsid w:val="00823CB5"/>
    <w:rsid w:val="00D51C5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BBE25"/>
  <w15:chartTrackingRefBased/>
  <w15:docId w15:val="{ECCCB712-54B9-497A-AF32-FAC6E3943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8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8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8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8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8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8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8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8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8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8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8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8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8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8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8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8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8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8D1"/>
    <w:rPr>
      <w:rFonts w:eastAsiaTheme="majorEastAsia" w:cstheme="majorBidi"/>
      <w:color w:val="272727" w:themeColor="text1" w:themeTint="D8"/>
    </w:rPr>
  </w:style>
  <w:style w:type="paragraph" w:styleId="Title">
    <w:name w:val="Title"/>
    <w:basedOn w:val="Normal"/>
    <w:next w:val="Normal"/>
    <w:link w:val="TitleChar"/>
    <w:uiPriority w:val="10"/>
    <w:qFormat/>
    <w:rsid w:val="006D58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8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8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8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8D1"/>
    <w:pPr>
      <w:spacing w:before="160"/>
      <w:jc w:val="center"/>
    </w:pPr>
    <w:rPr>
      <w:i/>
      <w:iCs/>
      <w:color w:val="404040" w:themeColor="text1" w:themeTint="BF"/>
    </w:rPr>
  </w:style>
  <w:style w:type="character" w:customStyle="1" w:styleId="QuoteChar">
    <w:name w:val="Quote Char"/>
    <w:basedOn w:val="DefaultParagraphFont"/>
    <w:link w:val="Quote"/>
    <w:uiPriority w:val="29"/>
    <w:rsid w:val="006D58D1"/>
    <w:rPr>
      <w:i/>
      <w:iCs/>
      <w:color w:val="404040" w:themeColor="text1" w:themeTint="BF"/>
    </w:rPr>
  </w:style>
  <w:style w:type="paragraph" w:styleId="ListParagraph">
    <w:name w:val="List Paragraph"/>
    <w:basedOn w:val="Normal"/>
    <w:uiPriority w:val="34"/>
    <w:qFormat/>
    <w:rsid w:val="006D58D1"/>
    <w:pPr>
      <w:ind w:left="720"/>
      <w:contextualSpacing/>
    </w:pPr>
  </w:style>
  <w:style w:type="character" w:styleId="IntenseEmphasis">
    <w:name w:val="Intense Emphasis"/>
    <w:basedOn w:val="DefaultParagraphFont"/>
    <w:uiPriority w:val="21"/>
    <w:qFormat/>
    <w:rsid w:val="006D58D1"/>
    <w:rPr>
      <w:i/>
      <w:iCs/>
      <w:color w:val="0F4761" w:themeColor="accent1" w:themeShade="BF"/>
    </w:rPr>
  </w:style>
  <w:style w:type="paragraph" w:styleId="IntenseQuote">
    <w:name w:val="Intense Quote"/>
    <w:basedOn w:val="Normal"/>
    <w:next w:val="Normal"/>
    <w:link w:val="IntenseQuoteChar"/>
    <w:uiPriority w:val="30"/>
    <w:qFormat/>
    <w:rsid w:val="006D58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8D1"/>
    <w:rPr>
      <w:i/>
      <w:iCs/>
      <w:color w:val="0F4761" w:themeColor="accent1" w:themeShade="BF"/>
    </w:rPr>
  </w:style>
  <w:style w:type="character" w:styleId="IntenseReference">
    <w:name w:val="Intense Reference"/>
    <w:basedOn w:val="DefaultParagraphFont"/>
    <w:uiPriority w:val="32"/>
    <w:qFormat/>
    <w:rsid w:val="006D58D1"/>
    <w:rPr>
      <w:b/>
      <w:bCs/>
      <w:smallCaps/>
      <w:color w:val="0F4761" w:themeColor="accent1" w:themeShade="BF"/>
      <w:spacing w:val="5"/>
    </w:rPr>
  </w:style>
  <w:style w:type="character" w:styleId="Hyperlink">
    <w:name w:val="Hyperlink"/>
    <w:basedOn w:val="DefaultParagraphFont"/>
    <w:uiPriority w:val="99"/>
    <w:unhideWhenUsed/>
    <w:rsid w:val="00D51C54"/>
    <w:rPr>
      <w:color w:val="467886" w:themeColor="hyperlink"/>
      <w:u w:val="single"/>
    </w:rPr>
  </w:style>
  <w:style w:type="character" w:styleId="UnresolvedMention">
    <w:name w:val="Unresolved Mention"/>
    <w:basedOn w:val="DefaultParagraphFont"/>
    <w:uiPriority w:val="99"/>
    <w:semiHidden/>
    <w:unhideWhenUsed/>
    <w:rsid w:val="00D51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103.06268" TargetMode="External"/><Relationship Id="rId13" Type="http://schemas.openxmlformats.org/officeDocument/2006/relationships/hyperlink" Target="https://doi.org/10.18653/v1/2020.acl-main.442" TargetMode="External"/><Relationship Id="rId3" Type="http://schemas.openxmlformats.org/officeDocument/2006/relationships/webSettings" Target="webSettings.xml"/><Relationship Id="rId7" Type="http://schemas.openxmlformats.org/officeDocument/2006/relationships/hyperlink" Target="https://doi.org/10.1080/19312450709336664" TargetMode="External"/><Relationship Id="rId12" Type="http://schemas.openxmlformats.org/officeDocument/2006/relationships/hyperlink" Target="https://doi.org/10.18653/v1/P18-2124"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oi.org/10.1037/h0031619" TargetMode="External"/><Relationship Id="rId11" Type="http://schemas.openxmlformats.org/officeDocument/2006/relationships/hyperlink" Target="https://doi.org/10.18653/v1/D16-1264" TargetMode="External"/><Relationship Id="rId5" Type="http://schemas.openxmlformats.org/officeDocument/2006/relationships/hyperlink" Target="https://aclanthology.org/2024.eacl-demo.16/" TargetMode="External"/><Relationship Id="rId15" Type="http://schemas.openxmlformats.org/officeDocument/2006/relationships/fontTable" Target="fontTable.xml"/><Relationship Id="rId10" Type="http://schemas.openxmlformats.org/officeDocument/2006/relationships/hyperlink" Target="https://arxiv.org/abs/2408.10343" TargetMode="External"/><Relationship Id="rId4" Type="http://schemas.openxmlformats.org/officeDocument/2006/relationships/hyperlink" Target="https://doi.org/10.1177/001316446002000104" TargetMode="External"/><Relationship Id="rId9" Type="http://schemas.openxmlformats.org/officeDocument/2006/relationships/hyperlink" Target="https://doi.org/10.2307/2529310" TargetMode="External"/><Relationship Id="rId14" Type="http://schemas.openxmlformats.org/officeDocument/2006/relationships/hyperlink" Target="https://doi.org/10.18653/v1/2021.nllp-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1673</Words>
  <Characters>11715</Characters>
  <Application>Microsoft Office Word</Application>
  <DocSecurity>0</DocSecurity>
  <Lines>177</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Bartnik</dc:creator>
  <cp:keywords/>
  <dc:description/>
  <cp:lastModifiedBy>Roman Bartnik</cp:lastModifiedBy>
  <cp:revision>1</cp:revision>
  <dcterms:created xsi:type="dcterms:W3CDTF">2026-05-13T09:34:00Z</dcterms:created>
  <dcterms:modified xsi:type="dcterms:W3CDTF">2026-05-13T09:36:00Z</dcterms:modified>
</cp:coreProperties>
</file>