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268A7" w14:textId="047431BB" w:rsidR="004932B3" w:rsidRPr="004932B3" w:rsidRDefault="004932B3" w:rsidP="004932B3">
      <w:pPr>
        <w:rPr>
          <w:b/>
          <w:bCs/>
        </w:rPr>
      </w:pPr>
      <w:r w:rsidRPr="004932B3">
        <w:rPr>
          <w:b/>
          <w:bCs/>
        </w:rPr>
        <w:t xml:space="preserve">Primer: </w:t>
      </w:r>
      <w:r w:rsidR="00321B28">
        <w:rPr>
          <w:b/>
          <w:bCs/>
        </w:rPr>
        <w:t xml:space="preserve">Optionen der </w:t>
      </w:r>
      <w:r w:rsidRPr="004932B3">
        <w:rPr>
          <w:b/>
          <w:bCs/>
        </w:rPr>
        <w:t>Qualitätsprüfung im juristischen RAG</w:t>
      </w:r>
    </w:p>
    <w:p w14:paraId="01E594CE" w14:textId="0E664203" w:rsidR="004932B3" w:rsidRPr="004932B3" w:rsidRDefault="004932B3" w:rsidP="004932B3">
      <w:r w:rsidRPr="004932B3">
        <w:t xml:space="preserve">Qualitätssicherung in einem halluzinationsempfindlichen RAG-System folgt dem Prinzip </w:t>
      </w:r>
      <w:r w:rsidRPr="004932B3">
        <w:rPr>
          <w:i/>
          <w:iCs/>
        </w:rPr>
        <w:t>Defense in Depth</w:t>
      </w:r>
      <w:r w:rsidRPr="004932B3">
        <w:t xml:space="preserve">  — keine einzelne Maßnahme genügt, die Schichten fangen jeweils andere Fehlerklassen ab. Das didaktische Bild ist das Käsescheibenmodell aus der Sicherheitsforschung: jede Maßnahme ist eine Käsescheibe mit eigenen Löchern, ein Schaden entsteht nur, wenn die Löcher zufällig zur Deckung kommen (Reason, 2000). Für die Prüfung von Antworten auf einem Gesetzestext bauen wir drei Schichten übereinander: das Prompt-Engineering diszipliniert das Sprachmodell, der deterministische Check nimmt dem Modell die Verantwortung für den Wortlaut aus der Hand, das Testmanagement bewertet die verbliebenen Risiken empirisch.</w:t>
      </w:r>
    </w:p>
    <w:p w14:paraId="5F8A56E9" w14:textId="77777777" w:rsidR="004932B3" w:rsidRPr="004932B3" w:rsidRDefault="004932B3" w:rsidP="004932B3">
      <w:pPr>
        <w:rPr>
          <w:b/>
          <w:bCs/>
        </w:rPr>
      </w:pPr>
      <w:r w:rsidRPr="004932B3">
        <w:rPr>
          <w:b/>
          <w:bCs/>
        </w:rPr>
        <w:t>Ebene 1 — Prompt-Engineering: das Modell zur Disziplin erziehen</w:t>
      </w:r>
    </w:p>
    <w:p w14:paraId="59350BB3" w14:textId="77777777" w:rsidR="004932B3" w:rsidRPr="004932B3" w:rsidRDefault="004932B3" w:rsidP="004932B3">
      <w:r w:rsidRPr="004932B3">
        <w:t xml:space="preserve">Die erste Schicht arbeitet vollständig innerhalb der Sprachmodell-Antwort und kombiniert sechs der Muster aus dem </w:t>
      </w:r>
      <w:r w:rsidRPr="004932B3">
        <w:rPr>
          <w:i/>
          <w:iCs/>
        </w:rPr>
        <w:t>Prompt Pattern Catalog</w:t>
      </w:r>
      <w:r w:rsidRPr="004932B3">
        <w:t xml:space="preserve"> von White et al. (2023). Jedes Muster löst ein spezifisches Versagensszenario.</w:t>
      </w:r>
    </w:p>
    <w:p w14:paraId="630EC7D0" w14:textId="77777777" w:rsidR="004932B3" w:rsidRPr="004932B3" w:rsidRDefault="004932B3" w:rsidP="004932B3">
      <w:r w:rsidRPr="004932B3">
        <w:t xml:space="preserve">Der </w:t>
      </w:r>
      <w:r w:rsidRPr="004932B3">
        <w:rPr>
          <w:b/>
          <w:bCs/>
        </w:rPr>
        <w:t>Context Manager</w:t>
      </w:r>
      <w:r w:rsidRPr="004932B3">
        <w:t xml:space="preserve"> begrenzt den Antwortraum strikt auf den im Retrieval gelieferten Text und verbietet jeden Rückgriff auf Trainingswissen — das verhindert Antworten, die auf Kommentarliteratur oder ähnlichen Gesetzen aufbauen, die das Modell ungeprüft aus dem Gedächtnis abruft. Die </w:t>
      </w:r>
      <w:r w:rsidRPr="004932B3">
        <w:rPr>
          <w:b/>
          <w:bCs/>
        </w:rPr>
        <w:t>Persona</w:t>
      </w:r>
      <w:r w:rsidRPr="004932B3">
        <w:t xml:space="preserve"> weist dem Modell die Rolle eines wortgetreuen Textanalysten ohne Entscheidungskompetenz zu — das verhindert Subsumtionen und Empfehlungen, die im juristischen Kontext rechtlich heikel und epistemisch nicht abgedeckt sind. Das </w:t>
      </w:r>
      <w:r w:rsidRPr="004932B3">
        <w:rPr>
          <w:b/>
          <w:bCs/>
        </w:rPr>
        <w:t>Template Pattern</w:t>
      </w:r>
      <w:r w:rsidRPr="004932B3">
        <w:t xml:space="preserve"> erzwingt eine feste Ausgabestruktur (Sachverhalt → einschlägige Stellen → Auslegungsoptionen → Grenzen → Fact Check → Selbstprüfung) — das diszipliniert die Antwort und macht ihre Bestandteile maschinell und menschlich gut prüfbar. Das </w:t>
      </w:r>
      <w:r w:rsidRPr="004932B3">
        <w:rPr>
          <w:b/>
          <w:bCs/>
        </w:rPr>
        <w:t>Fact Check List Pattern</w:t>
      </w:r>
      <w:r w:rsidRPr="004932B3">
        <w:t xml:space="preserve"> zwingt das Modell, am Ende der Antwort jede Aussage offenzulegen, die nicht direkt aus dem Wortlaut folgt, sondern Folgerung ist — das gibt dem Leser eine forensische Spur, die er gezielt verifizieren kann. Das </w:t>
      </w:r>
      <w:r w:rsidRPr="004932B3">
        <w:rPr>
          <w:b/>
          <w:bCs/>
        </w:rPr>
        <w:t>Reflection Pattern</w:t>
      </w:r>
      <w:r w:rsidRPr="004932B3">
        <w:t xml:space="preserve"> instruiert das Modell zur Selbstprüfung vor Abgabe — das fängt einen Teil der eigenen Halluzinationen ab, eliminiert sie aber nicht, weil dieselben Schwachstellen, die die Halluzination erzeugen, auch die Reflexion betreffen. Das </w:t>
      </w:r>
      <w:r w:rsidRPr="004932B3">
        <w:rPr>
          <w:b/>
          <w:bCs/>
        </w:rPr>
        <w:t>Alternative Approaches Pattern</w:t>
      </w:r>
      <w:r w:rsidRPr="004932B3">
        <w:t xml:space="preserve"> schließlich verlangt mehrere Auslegungsoptionen statt einer Entscheidung — das verschiebt die Wahl-Verantwortung zurück zum menschlichen Leser, wo sie hingehört.</w:t>
      </w:r>
    </w:p>
    <w:p w14:paraId="49146515" w14:textId="77777777" w:rsidR="004932B3" w:rsidRPr="004932B3" w:rsidRDefault="004932B3" w:rsidP="004932B3">
      <w:r w:rsidRPr="004932B3">
        <w:t xml:space="preserve">Was diese Schicht </w:t>
      </w:r>
      <w:r w:rsidRPr="004932B3">
        <w:rPr>
          <w:i/>
          <w:iCs/>
        </w:rPr>
        <w:t>nicht</w:t>
      </w:r>
      <w:r w:rsidRPr="004932B3">
        <w:t xml:space="preserve"> leistet: Sie kontrolliert nicht den Wortlaut der zitierten Stellen. Das Modell kann perfekt strukturiert antworten und dabei einen Halbsatz im Zitat verschlucken oder einen erfundenen Absatz mit überzeugender Fundstellenangabe versehen. Genau diese Lücke schließt die nächste Schicht.</w:t>
      </w:r>
    </w:p>
    <w:p w14:paraId="2E76AD66" w14:textId="77777777" w:rsidR="004932B3" w:rsidRPr="004932B3" w:rsidRDefault="004932B3" w:rsidP="004932B3">
      <w:pPr>
        <w:rPr>
          <w:b/>
          <w:bCs/>
        </w:rPr>
      </w:pPr>
      <w:r w:rsidRPr="004932B3">
        <w:rPr>
          <w:b/>
          <w:bCs/>
        </w:rPr>
        <w:t>Ebene 2 — Deterministische Prüfung: dem Modell den Stift aus der Hand nehmen</w:t>
      </w:r>
    </w:p>
    <w:p w14:paraId="19E6E292" w14:textId="77777777" w:rsidR="004932B3" w:rsidRPr="004932B3" w:rsidRDefault="004932B3" w:rsidP="004932B3">
      <w:r w:rsidRPr="004932B3">
        <w:lastRenderedPageBreak/>
        <w:t xml:space="preserve">Die zweite Schicht arbeitet außerhalb des Sprachmodells. Yeungs </w:t>
      </w:r>
      <w:r w:rsidRPr="004932B3">
        <w:rPr>
          <w:i/>
          <w:iCs/>
        </w:rPr>
        <w:t>Deterministic Quoting</w:t>
      </w:r>
      <w:r w:rsidRPr="004932B3">
        <w:t xml:space="preserve"> (2024) trennt die Aufgabe "richtige Stelle auswählen" von der Aufgabe "Wortlaut wiedergeben" und überträgt nur die erste an das Sprachmodell. Das Modell markiert seine Zitate mit kanonischen IDs (BGB-§433-Abs1-Satz1); ein nachgeschaltetes Skript — kein KI-Modell — extrahiert die IDs, schlägt den echten Wortlaut im Index nach und überschreibt den vom Modell gelieferten Text. Wenn die ID nicht im Index existiert, ist sie halluziniert und wird verworfen oder rot markiert. Yeung berichtet aus eigenen Tests "zero false positives" für den so geprüften Bereich: 100 Prozent der wörtlich angezeigten Texte sind tatsächlich aus der Quelle. </w:t>
      </w:r>
      <w:r w:rsidRPr="004932B3">
        <w:fldChar w:fldCharType="begin"/>
      </w:r>
      <w:r w:rsidRPr="004932B3">
        <w:instrText>HYPERLINK "https://mattyyeung.github.io/deterministic-quoting" \t "_blank"</w:instrText>
      </w:r>
      <w:r w:rsidRPr="004932B3">
        <w:fldChar w:fldCharType="separate"/>
      </w:r>
      <w:r w:rsidRPr="004932B3">
        <w:rPr>
          <w:rStyle w:val="Hyperlink"/>
        </w:rPr>
        <w:t>Matt Yeung</w:t>
      </w:r>
      <w:r w:rsidRPr="004932B3">
        <w:fldChar w:fldCharType="end"/>
      </w:r>
    </w:p>
    <w:p w14:paraId="498EBD93" w14:textId="77777777" w:rsidR="004932B3" w:rsidRPr="004932B3" w:rsidRDefault="004932B3" w:rsidP="004932B3">
      <w:r w:rsidRPr="004932B3">
        <w:t xml:space="preserve">Was diese Schicht </w:t>
      </w:r>
      <w:r w:rsidRPr="004932B3">
        <w:rPr>
          <w:i/>
          <w:iCs/>
        </w:rPr>
        <w:t>nicht</w:t>
      </w:r>
      <w:r w:rsidRPr="004932B3">
        <w:t xml:space="preserve"> leistet: drei Restrisiken bleiben. Das Modell kann eine </w:t>
      </w:r>
      <w:r w:rsidRPr="004932B3">
        <w:rPr>
          <w:i/>
          <w:iCs/>
        </w:rPr>
        <w:t>richtige</w:t>
      </w:r>
      <w:r w:rsidRPr="004932B3">
        <w:t xml:space="preserve"> Stelle wörtlich zitieren, die aber die </w:t>
      </w:r>
      <w:r w:rsidRPr="004932B3">
        <w:rPr>
          <w:i/>
          <w:iCs/>
        </w:rPr>
        <w:t>falsche</w:t>
      </w:r>
      <w:r w:rsidRPr="004932B3">
        <w:t xml:space="preserve"> Stelle für die Frage ist — die Verifikation prüft Wortlauttreue, nicht Themenpassung. Der Kommentartext zwischen den Zitaten bleibt LLM-Output und ist potentiell halluziniert; Yeung (2024) misst hier einen Rückgang von 12 auf 2 Prozent halluzinierter Aussagen, also Verbesserung, aber keine Eliminierung. Und die Verifikation hängt vollständig an einer korrekten Chunk-zu-ID-Zuordnung im Index — ein beim Indexaufbau falsch zugeordneter Absatz wird vom System als "verifiziert" zertifiziert. Das nährt die Notwendigkeit der dritten Schicht.</w:t>
      </w:r>
    </w:p>
    <w:p w14:paraId="040B95A2" w14:textId="77777777" w:rsidR="004932B3" w:rsidRPr="004932B3" w:rsidRDefault="004932B3" w:rsidP="004932B3">
      <w:pPr>
        <w:rPr>
          <w:b/>
          <w:bCs/>
        </w:rPr>
      </w:pPr>
      <w:r w:rsidRPr="004932B3">
        <w:rPr>
          <w:b/>
          <w:bCs/>
        </w:rPr>
        <w:t>Ebene 3 — Testmanagement: das System gegen sich selbst messen</w:t>
      </w:r>
    </w:p>
    <w:p w14:paraId="4B782A8A" w14:textId="77777777" w:rsidR="004932B3" w:rsidRPr="004932B3" w:rsidRDefault="004932B3" w:rsidP="004932B3">
      <w:r w:rsidRPr="004932B3">
        <w:t>Die dritte Schicht prüft nicht eine einzelne Antwort, sondern die statistische Qualität des Systems über viele Antworten. Das Standardwerkzeug dafür ist RAGAS (</w:t>
      </w:r>
      <w:r w:rsidRPr="004932B3">
        <w:rPr>
          <w:i/>
          <w:iCs/>
        </w:rPr>
        <w:t>Retrieval Augmented Generation Assessment</w:t>
      </w:r>
      <w:r w:rsidRPr="004932B3">
        <w:t>), ein Open-Source-Framework von Es et al. (2024), das die wichtigsten Qualitätsdimensionen eines RAG-Systems automatisiert misst. RAGAS arbeitet weitgehend "reference-free", also ohne handannotierte Goldstandard-Antworten — das senkt den Aufwand, verschiebt aber das Vertrauen darauf, dass ein zweites Sprachmodell als Juror zuverlässig urteilt. Diesen Vorbehalt muss man mitdenken.</w:t>
      </w:r>
    </w:p>
    <w:p w14:paraId="5C04BCEF" w14:textId="77777777" w:rsidR="004932B3" w:rsidRPr="004932B3" w:rsidRDefault="004932B3" w:rsidP="004932B3">
      <w:r w:rsidRPr="004932B3">
        <w:t xml:space="preserve">Die vier Kernmetriken bilden zwei Familien. </w:t>
      </w:r>
      <w:r w:rsidRPr="004932B3">
        <w:rPr>
          <w:i/>
          <w:iCs/>
        </w:rPr>
        <w:t>Faithfulness</w:t>
      </w:r>
      <w:r w:rsidRPr="004932B3">
        <w:t xml:space="preserve"> (Treue) und </w:t>
      </w:r>
      <w:r w:rsidRPr="004932B3">
        <w:rPr>
          <w:i/>
          <w:iCs/>
        </w:rPr>
        <w:t>Answer Relevancy</w:t>
      </w:r>
      <w:r w:rsidRPr="004932B3">
        <w:t xml:space="preserve"> (Antwortrelevanz) bewerten die Generierung: Wie viele der im Antworttext aufgestellten Behauptungen lassen sich aus dem retrieveten Kontext herleiten? Wie gut adressiert die Antwort tatsächlich die Frage? </w:t>
      </w:r>
      <w:r w:rsidRPr="004932B3">
        <w:rPr>
          <w:i/>
          <w:iCs/>
        </w:rPr>
        <w:t>Context Precision</w:t>
      </w:r>
      <w:r w:rsidRPr="004932B3">
        <w:t xml:space="preserve"> (Präzision des Kontexts) und </w:t>
      </w:r>
      <w:r w:rsidRPr="004932B3">
        <w:rPr>
          <w:i/>
          <w:iCs/>
        </w:rPr>
        <w:t>Context Recall</w:t>
      </w:r>
      <w:r w:rsidRPr="004932B3">
        <w:t xml:space="preserve"> (Vollständigkeit des Kontexts) bewerten das Retrieval: Stehen die relevanten Chunks weit oben in der Trefferliste? Wurden alle relevanten Chunks überhaupt gefunden? Eine schlechte Antwort lässt sich so kausal zerlegen — schlechte Faithfulness bei guter Context Precision zeigt ein Generator-Problem, schlechte Context Recall ein Retrieval-Problem, schlechte beide ein Index-Problem.</w:t>
      </w:r>
    </w:p>
    <w:p w14:paraId="3CD0FDA2" w14:textId="77777777" w:rsidR="004932B3" w:rsidRPr="004932B3" w:rsidRDefault="004932B3" w:rsidP="004932B3">
      <w:r w:rsidRPr="004932B3">
        <w:t xml:space="preserve">Über diese vier hinaus stellt RAGAS weitere Metriken bereit — </w:t>
      </w:r>
      <w:r w:rsidRPr="004932B3">
        <w:rPr>
          <w:i/>
          <w:iCs/>
        </w:rPr>
        <w:t>Context Entities Recall</w:t>
      </w:r>
      <w:r w:rsidRPr="004932B3">
        <w:t xml:space="preserve">, </w:t>
      </w:r>
      <w:r w:rsidRPr="004932B3">
        <w:rPr>
          <w:i/>
          <w:iCs/>
        </w:rPr>
        <w:t>Noise Sensitivity</w:t>
      </w:r>
      <w:r w:rsidRPr="004932B3">
        <w:t xml:space="preserve">, </w:t>
      </w:r>
      <w:r w:rsidRPr="004932B3">
        <w:rPr>
          <w:i/>
          <w:iCs/>
        </w:rPr>
        <w:t>Answer Semantic Similarity</w:t>
      </w:r>
      <w:r w:rsidRPr="004932B3">
        <w:t xml:space="preserve">, </w:t>
      </w:r>
      <w:r w:rsidRPr="004932B3">
        <w:rPr>
          <w:i/>
          <w:iCs/>
        </w:rPr>
        <w:t>Answer Correctness</w:t>
      </w:r>
      <w:r w:rsidRPr="004932B3">
        <w:t xml:space="preserve"> (die letzten beiden brauchen eine Referenzantwort). Für eine erste Diagnose genügen die vier Kernmetriken. Eine Untersuchung an einem medizinischen Glaukom-RAG (Pradhan et al., 2025) </w:t>
      </w:r>
      <w:r w:rsidRPr="004932B3">
        <w:lastRenderedPageBreak/>
        <w:t>demonstriert das typische Setup: das System wurde auf Diagnoseaufgaben gegen Fachärzte verglichen und parallel mit RAGAS bewertet, um Antwortqualität entlang von Faithfulness, Context Precision, Context Recall und Answer Relevancy zu zerlegen.</w:t>
      </w:r>
    </w:p>
    <w:p w14:paraId="389EFD67" w14:textId="77777777" w:rsidR="004932B3" w:rsidRPr="004932B3" w:rsidRDefault="004932B3" w:rsidP="004932B3">
      <w:r w:rsidRPr="004932B3">
        <w:t xml:space="preserve">Was RAGAS </w:t>
      </w:r>
      <w:r w:rsidRPr="004932B3">
        <w:rPr>
          <w:i/>
          <w:iCs/>
        </w:rPr>
        <w:t>nicht</w:t>
      </w:r>
      <w:r w:rsidRPr="004932B3">
        <w:t xml:space="preserve"> leistet — und das verdient eine Warnung: die Faithfulness-Bewertung selbst wird von einem Sprachmodell vorgenommen, das wiederum halluziniert. Magesh et al. (2025) zeigen in einer Studie an juristischen RAG-Systemen, dass die Anbietermetriken die tatsächliche Halluzinationsrate systematisch unterschätzen. Praktisch bedeutet das: RAGAS taugt für Regression (Wird mein System schlechter, wenn ich den Chunker ändere?), nicht für absolute Zertifizierung (Ist mein System sicher genug für den Produktivbetrieb?). Den absoluten Befund liefert nur ein von Hand kuratierter Goldstandard — eine Sammlung typischer juristischer Fragen mit expertengeprüften Antworten, gegen die das System regelmäßig laufen muss. Diese Goldsammlung ist die einzige nicht reduzierbare Stelle, an der menschliche juristische Expertise in den Prüfkreislauf eingespeist wird.</w:t>
      </w:r>
    </w:p>
    <w:p w14:paraId="466C322F" w14:textId="77777777" w:rsidR="004932B3" w:rsidRPr="004932B3" w:rsidRDefault="004932B3" w:rsidP="004932B3">
      <w:r w:rsidRPr="004932B3">
        <w:t>Die Indexvorbereitung gehört konzeptionell zu dieser dritten Schicht, weil ihre Qualität sich nur in Goldstandard-Tests sauber sichtbar machen lässt. Yeung (2024) nennt die Datenaufbereitung die zeitintensivste Phase eines RAG-Projekts. Für Gesetzestexte stellt sich die Frage konkret: Wurde nach Norm-Atom richtig gechunkt? Sind Querverweise (§§-Verweise, Verweise auf andere Gesetze) als Metadaten mitindexiert? Sind Versionsstände (gültig ab/gültig bis) eingepflegt? Jede dieser Schwachstellen produziert systematisch falsche Antworten, die in Einzeltests zufällig aussehen.</w:t>
      </w:r>
    </w:p>
    <w:p w14:paraId="3FCDFFC7" w14:textId="77777777" w:rsidR="004932B3" w:rsidRPr="004932B3" w:rsidRDefault="004932B3" w:rsidP="004932B3">
      <w:pPr>
        <w:rPr>
          <w:b/>
          <w:bCs/>
        </w:rPr>
      </w:pPr>
      <w:r w:rsidRPr="004932B3">
        <w:rPr>
          <w:b/>
          <w:bCs/>
        </w:rPr>
        <w:t>Ausbauoptionen für deutsche Gesetzestexte</w:t>
      </w:r>
    </w:p>
    <w:p w14:paraId="5CDA52CD" w14:textId="77777777" w:rsidR="004932B3" w:rsidRPr="004932B3" w:rsidRDefault="004932B3" w:rsidP="004932B3">
      <w:r w:rsidRPr="004932B3">
        <w:t xml:space="preserve">Vier konkrete Ausbaurichtungen ergeben sich für Ihren Anwendungsfall. Erstens: Nutzen Sie strukturierte amtliche Quellen statt PDF. </w:t>
      </w:r>
      <w:r w:rsidRPr="004932B3">
        <w:rPr>
          <w:i/>
          <w:iCs/>
        </w:rPr>
        <w:t>gesetze-im-internet.de</w:t>
      </w:r>
      <w:r w:rsidRPr="004932B3">
        <w:t xml:space="preserve"> (Bundesministerium der Justiz) bietet maschinenlesbare XML-Versionen, in denen Buch/Abschnitt/Paragraph/Absatz/Satz bereits als Tags ausgezeichnet sind. Damit erübrigt sich semantisches Chunking per Heuristik — die Struktur ist gegeben und die ID-Erzeugung wird trivial. Für Landesrecht und EU-Recht leisten die Justizportale der Länder und EUR-Lex Vergleichbares.</w:t>
      </w:r>
    </w:p>
    <w:p w14:paraId="3EA776B0" w14:textId="77777777" w:rsidR="004932B3" w:rsidRPr="004932B3" w:rsidRDefault="004932B3" w:rsidP="004932B3">
      <w:r w:rsidRPr="004932B3">
        <w:t>Zweitens: Versionierung als Metadatum. Jeder Chunk bekommt ein Feld "gültig ab" und "gültig bis" sowie eine Verweisliste auf seine Vorgängerfassung. Eine Anfrage zu einem Sachverhalt im Jahr 2019 darf nicht durch den 2024 geänderten Wortlaut beantwortet werden — der häufigste juristische RAG-Fehler liegt nach unserer Erfahrung nicht im Wortlaut, sondern in der Zeitscheibe. Das Retrieval muss die Zeit als Filter mitführen.</w:t>
      </w:r>
    </w:p>
    <w:p w14:paraId="39810D36" w14:textId="77777777" w:rsidR="004932B3" w:rsidRPr="004932B3" w:rsidRDefault="004932B3" w:rsidP="004932B3">
      <w:r w:rsidRPr="004932B3">
        <w:t>Drittens: Hybride Suche statt reiner Vektorsuche. Juristische Sprache enthält Fachbegriffe (</w:t>
      </w:r>
      <w:r w:rsidRPr="004932B3">
        <w:rPr>
          <w:i/>
          <w:iCs/>
        </w:rPr>
        <w:t>Treu und Glauben</w:t>
      </w:r>
      <w:r w:rsidRPr="004932B3">
        <w:t xml:space="preserve">, </w:t>
      </w:r>
      <w:r w:rsidRPr="004932B3">
        <w:rPr>
          <w:i/>
          <w:iCs/>
        </w:rPr>
        <w:t>Geschäftsgrundlage</w:t>
      </w:r>
      <w:r w:rsidRPr="004932B3">
        <w:t xml:space="preserve">, </w:t>
      </w:r>
      <w:r w:rsidRPr="004932B3">
        <w:rPr>
          <w:i/>
          <w:iCs/>
        </w:rPr>
        <w:t>Verkehrssitte</w:t>
      </w:r>
      <w:r w:rsidRPr="004932B3">
        <w:t xml:space="preserve">), die Vektor-Embeddings unzuverlässig erfassen, weil ihre kanonische Bedeutung im juristischen Kontext stark von der Alltagsbedeutung abweicht. Ein klassisches Stichwortsuchverfahren (BM25) findet diese Begriffe zuverlässig wortwörtlich; eine </w:t>
      </w:r>
      <w:r w:rsidRPr="004932B3">
        <w:lastRenderedPageBreak/>
        <w:t xml:space="preserve">hybride Pipeline aus BM25 plus Vektor plus Re-Ranker schlägt in der Praxis die einzelnen Verfahren deutlich. Re-Ranker wie </w:t>
      </w:r>
      <w:r w:rsidRPr="004932B3">
        <w:rPr>
          <w:i/>
          <w:iCs/>
        </w:rPr>
        <w:t>jina-reranker-v2-base-multilingual</w:t>
      </w:r>
      <w:r w:rsidRPr="004932B3">
        <w:t xml:space="preserve"> arbeiten auf Deutsch zuverlässig.</w:t>
      </w:r>
    </w:p>
    <w:p w14:paraId="26E4B134" w14:textId="77777777" w:rsidR="004932B3" w:rsidRPr="004932B3" w:rsidRDefault="004932B3" w:rsidP="004932B3">
      <w:r w:rsidRPr="004932B3">
        <w:t>Viertens: Trennung von Gesetzestext und Kommentarliteratur in zwei separaten Indizes mit unterschiedlicher Vertrauensstufe. Der Gesetzesindex ist Quelle für Ebene 2 (Deterministic Quoting); aus ihm kommen die garantierten Zitate. Der Kommentarindex (Beck-OK, MüKo, Palandt, sofern lizenziert) liefert nur Hintergrundinformation für den weißen Kommentartext und wird vom Modell explizit als "nicht-autoritativ" geführt. Diese Trennung verhindert, dass das Modell Kommentarmeinungen als Gesetzeswortlaut zitiert — ein häufiger und für Juristen besonders peinlicher Fehler.</w:t>
      </w:r>
    </w:p>
    <w:p w14:paraId="2E6ED08A" w14:textId="69F61E1D" w:rsidR="004932B3" w:rsidRPr="004932B3" w:rsidRDefault="004932B3" w:rsidP="004932B3">
      <w:r w:rsidRPr="004932B3">
        <w:t xml:space="preserve">Der </w:t>
      </w:r>
      <w:r w:rsidR="00CD24B1">
        <w:t xml:space="preserve">manuell erstellte </w:t>
      </w:r>
      <w:r w:rsidRPr="004932B3">
        <w:t xml:space="preserve">Goldstandard </w:t>
      </w:r>
      <w:r w:rsidR="00CD24B1">
        <w:t xml:space="preserve">(s. zweiter Primer) </w:t>
      </w:r>
      <w:r w:rsidRPr="004932B3">
        <w:t>schließlich sollte mit etwa 50 bis 100 typischen Fragen aus Ihrer eigenen Lehrpraxis starten, von Studierenden und einem Volljuristen kreuzbewertet, und in einer Tabelle (Frage, erwartete Norm(en), erwartete Auslegungsoptionen) gepflegt werden. Jede Systemänderung — neuer Chunker, neues Embedding, neues Modell — läuft gegen diese Sammlung; jeder Treffer der Sammlung wird mit RAGAS quantifiziert und manuell gegengeprüft. Der Aufwand ist nicht trivial, aber er ist endlich, einmalig und der Hebel im Verhältnis Aufwand zu garantierter Sicherheit ist hoch.</w:t>
      </w:r>
    </w:p>
    <w:p w14:paraId="6C42FDE5" w14:textId="77777777" w:rsidR="004932B3" w:rsidRPr="004932B3" w:rsidRDefault="004932B3" w:rsidP="004932B3">
      <w:pPr>
        <w:rPr>
          <w:b/>
          <w:bCs/>
        </w:rPr>
      </w:pPr>
      <w:r w:rsidRPr="004932B3">
        <w:rPr>
          <w:b/>
          <w:bCs/>
        </w:rPr>
        <w:t>Referenzen</w:t>
      </w:r>
    </w:p>
    <w:p w14:paraId="61132A22" w14:textId="77777777" w:rsidR="004932B3" w:rsidRPr="004932B3" w:rsidRDefault="004932B3" w:rsidP="004932B3">
      <w:pPr>
        <w:rPr>
          <w:lang w:val="en-US"/>
        </w:rPr>
      </w:pPr>
      <w:r w:rsidRPr="004932B3">
        <w:t xml:space="preserve">Es, S., James, J., Espinosa-Anke, L., &amp; Schockaert, S. (2024). </w:t>
      </w:r>
      <w:r w:rsidRPr="004932B3">
        <w:rPr>
          <w:lang w:val="en-US"/>
        </w:rPr>
        <w:t xml:space="preserve">RAGAs: Automated evaluation of retrieval augmented generation. In </w:t>
      </w:r>
      <w:r w:rsidRPr="004932B3">
        <w:rPr>
          <w:i/>
          <w:iCs/>
          <w:lang w:val="en-US"/>
        </w:rPr>
        <w:t>Proceedings of the 18th Conference of the European Chapter of the Association for Computational Linguistics: System Demonstrations</w:t>
      </w:r>
      <w:r w:rsidRPr="004932B3">
        <w:rPr>
          <w:lang w:val="en-US"/>
        </w:rPr>
        <w:t xml:space="preserve"> (pp. 150–158). Association for Computational Linguistics. </w:t>
      </w:r>
      <w:hyperlink r:id="rId7" w:history="1">
        <w:r w:rsidRPr="004932B3">
          <w:rPr>
            <w:rStyle w:val="Hyperlink"/>
            <w:lang w:val="en-US"/>
          </w:rPr>
          <w:t>https://aclanthology.org/2024.eacl-demo.16/</w:t>
        </w:r>
      </w:hyperlink>
    </w:p>
    <w:p w14:paraId="37444294" w14:textId="77777777" w:rsidR="004932B3" w:rsidRPr="004932B3" w:rsidRDefault="004932B3" w:rsidP="004932B3">
      <w:pPr>
        <w:rPr>
          <w:lang w:val="en-US"/>
        </w:rPr>
      </w:pPr>
      <w:r w:rsidRPr="004932B3">
        <w:rPr>
          <w:lang w:val="en-US"/>
        </w:rPr>
        <w:t xml:space="preserve">Magesh, V., Surani, F., Dahl, M., </w:t>
      </w:r>
      <w:proofErr w:type="spellStart"/>
      <w:r w:rsidRPr="004932B3">
        <w:rPr>
          <w:lang w:val="en-US"/>
        </w:rPr>
        <w:t>Suzgun</w:t>
      </w:r>
      <w:proofErr w:type="spellEnd"/>
      <w:r w:rsidRPr="004932B3">
        <w:rPr>
          <w:lang w:val="en-US"/>
        </w:rPr>
        <w:t xml:space="preserve">, M., Manning, C. D., &amp; Ho, D. E. (2025). Hallucination-free? Assessing the reliability of leading AI legal research tools. </w:t>
      </w:r>
      <w:r w:rsidRPr="004932B3">
        <w:rPr>
          <w:i/>
          <w:iCs/>
          <w:lang w:val="en-US"/>
        </w:rPr>
        <w:t>Journal of Empirical Legal Studies</w:t>
      </w:r>
      <w:r w:rsidRPr="004932B3">
        <w:rPr>
          <w:lang w:val="en-US"/>
        </w:rPr>
        <w:t xml:space="preserve">, 1–27. </w:t>
      </w:r>
      <w:hyperlink r:id="rId8" w:history="1">
        <w:r w:rsidRPr="004932B3">
          <w:rPr>
            <w:rStyle w:val="Hyperlink"/>
            <w:lang w:val="en-US"/>
          </w:rPr>
          <w:t>https://doi.org/10.1111/jels.12413</w:t>
        </w:r>
      </w:hyperlink>
    </w:p>
    <w:p w14:paraId="50BAF4A4" w14:textId="77777777" w:rsidR="004932B3" w:rsidRPr="004932B3" w:rsidRDefault="004932B3" w:rsidP="004932B3">
      <w:pPr>
        <w:rPr>
          <w:lang w:val="en-US"/>
        </w:rPr>
      </w:pPr>
      <w:r w:rsidRPr="004932B3">
        <w:rPr>
          <w:lang w:val="en-US"/>
        </w:rPr>
        <w:t xml:space="preserve">Reason, J. (2000). Human error: Models and management. </w:t>
      </w:r>
      <w:r w:rsidRPr="004932B3">
        <w:rPr>
          <w:i/>
          <w:iCs/>
          <w:lang w:val="en-US"/>
        </w:rPr>
        <w:t>BMJ</w:t>
      </w:r>
      <w:r w:rsidRPr="004932B3">
        <w:rPr>
          <w:lang w:val="en-US"/>
        </w:rPr>
        <w:t xml:space="preserve">, 320(7237), 768–770. </w:t>
      </w:r>
      <w:hyperlink r:id="rId9" w:history="1">
        <w:r w:rsidRPr="004932B3">
          <w:rPr>
            <w:rStyle w:val="Hyperlink"/>
            <w:lang w:val="en-US"/>
          </w:rPr>
          <w:t>https://doi.org/10.1136/bmj.320.7237.768</w:t>
        </w:r>
      </w:hyperlink>
    </w:p>
    <w:p w14:paraId="2F481F5B" w14:textId="77777777" w:rsidR="004932B3" w:rsidRPr="004932B3" w:rsidRDefault="004932B3" w:rsidP="004932B3">
      <w:pPr>
        <w:rPr>
          <w:lang w:val="en-US"/>
        </w:rPr>
      </w:pPr>
      <w:r w:rsidRPr="004932B3">
        <w:rPr>
          <w:lang w:val="en-US"/>
        </w:rPr>
        <w:t xml:space="preserve">White, J., Fu, Q., Hays, S., Sandborn, M., Olea, C., Gilbert, H., </w:t>
      </w:r>
      <w:proofErr w:type="spellStart"/>
      <w:r w:rsidRPr="004932B3">
        <w:rPr>
          <w:lang w:val="en-US"/>
        </w:rPr>
        <w:t>Elnashar</w:t>
      </w:r>
      <w:proofErr w:type="spellEnd"/>
      <w:r w:rsidRPr="004932B3">
        <w:rPr>
          <w:lang w:val="en-US"/>
        </w:rPr>
        <w:t xml:space="preserve">, A., Spencer-Smith, J., &amp; Schmidt, D. C. (2023). A prompt pattern catalog to enhance prompt engineering with ChatGPT. </w:t>
      </w:r>
      <w:proofErr w:type="spellStart"/>
      <w:r w:rsidRPr="004932B3">
        <w:rPr>
          <w:i/>
          <w:iCs/>
          <w:lang w:val="en-US"/>
        </w:rPr>
        <w:t>arXiv</w:t>
      </w:r>
      <w:proofErr w:type="spellEnd"/>
      <w:r w:rsidRPr="004932B3">
        <w:rPr>
          <w:lang w:val="en-US"/>
        </w:rPr>
        <w:t xml:space="preserve">. </w:t>
      </w:r>
      <w:hyperlink r:id="rId10" w:history="1">
        <w:r w:rsidRPr="004932B3">
          <w:rPr>
            <w:rStyle w:val="Hyperlink"/>
            <w:lang w:val="en-US"/>
          </w:rPr>
          <w:t>https://arxiv.org/abs/2302.11382</w:t>
        </w:r>
      </w:hyperlink>
    </w:p>
    <w:p w14:paraId="7CE7AF7C" w14:textId="77777777" w:rsidR="004932B3" w:rsidRPr="004932B3" w:rsidRDefault="004932B3" w:rsidP="004932B3">
      <w:r w:rsidRPr="004932B3">
        <w:rPr>
          <w:lang w:val="en-US"/>
        </w:rPr>
        <w:t xml:space="preserve">Yeung, M. (2024, April 21). </w:t>
      </w:r>
      <w:r w:rsidRPr="004932B3">
        <w:rPr>
          <w:i/>
          <w:iCs/>
          <w:lang w:val="en-US"/>
        </w:rPr>
        <w:t>Deterministic quoting: Making LLMs safer for healthcare</w:t>
      </w:r>
      <w:r w:rsidRPr="004932B3">
        <w:rPr>
          <w:lang w:val="en-US"/>
        </w:rPr>
        <w:t xml:space="preserve">. </w:t>
      </w:r>
      <w:hyperlink r:id="rId11" w:history="1">
        <w:r w:rsidRPr="004932B3">
          <w:rPr>
            <w:rStyle w:val="Hyperlink"/>
          </w:rPr>
          <w:t>https://mattyyeung.github.io/deterministic-quoting</w:t>
        </w:r>
      </w:hyperlink>
    </w:p>
    <w:p w14:paraId="04ABA62B" w14:textId="77777777" w:rsidR="004932B3" w:rsidRDefault="004932B3"/>
    <w:sectPr w:rsidR="004932B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2B3"/>
    <w:rsid w:val="001007D4"/>
    <w:rsid w:val="00321B28"/>
    <w:rsid w:val="004932B3"/>
    <w:rsid w:val="0069138C"/>
    <w:rsid w:val="00823CB5"/>
    <w:rsid w:val="00CD24B1"/>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929F3"/>
  <w15:chartTrackingRefBased/>
  <w15:docId w15:val="{9A947AF3-6737-4583-9F59-02EFDC669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2B3"/>
    <w:rPr>
      <w:rFonts w:eastAsiaTheme="majorEastAsia" w:cstheme="majorBidi"/>
      <w:color w:val="272727" w:themeColor="text1" w:themeTint="D8"/>
    </w:rPr>
  </w:style>
  <w:style w:type="paragraph" w:styleId="Title">
    <w:name w:val="Title"/>
    <w:basedOn w:val="Normal"/>
    <w:next w:val="Normal"/>
    <w:link w:val="TitleChar"/>
    <w:uiPriority w:val="10"/>
    <w:qFormat/>
    <w:rsid w:val="00493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2B3"/>
    <w:pPr>
      <w:spacing w:before="160"/>
      <w:jc w:val="center"/>
    </w:pPr>
    <w:rPr>
      <w:i/>
      <w:iCs/>
      <w:color w:val="404040" w:themeColor="text1" w:themeTint="BF"/>
    </w:rPr>
  </w:style>
  <w:style w:type="character" w:customStyle="1" w:styleId="QuoteChar">
    <w:name w:val="Quote Char"/>
    <w:basedOn w:val="DefaultParagraphFont"/>
    <w:link w:val="Quote"/>
    <w:uiPriority w:val="29"/>
    <w:rsid w:val="004932B3"/>
    <w:rPr>
      <w:i/>
      <w:iCs/>
      <w:color w:val="404040" w:themeColor="text1" w:themeTint="BF"/>
    </w:rPr>
  </w:style>
  <w:style w:type="paragraph" w:styleId="ListParagraph">
    <w:name w:val="List Paragraph"/>
    <w:basedOn w:val="Normal"/>
    <w:uiPriority w:val="34"/>
    <w:qFormat/>
    <w:rsid w:val="004932B3"/>
    <w:pPr>
      <w:ind w:left="720"/>
      <w:contextualSpacing/>
    </w:pPr>
  </w:style>
  <w:style w:type="character" w:styleId="IntenseEmphasis">
    <w:name w:val="Intense Emphasis"/>
    <w:basedOn w:val="DefaultParagraphFont"/>
    <w:uiPriority w:val="21"/>
    <w:qFormat/>
    <w:rsid w:val="004932B3"/>
    <w:rPr>
      <w:i/>
      <w:iCs/>
      <w:color w:val="0F4761" w:themeColor="accent1" w:themeShade="BF"/>
    </w:rPr>
  </w:style>
  <w:style w:type="paragraph" w:styleId="IntenseQuote">
    <w:name w:val="Intense Quote"/>
    <w:basedOn w:val="Normal"/>
    <w:next w:val="Normal"/>
    <w:link w:val="IntenseQuoteChar"/>
    <w:uiPriority w:val="30"/>
    <w:qFormat/>
    <w:rsid w:val="00493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2B3"/>
    <w:rPr>
      <w:i/>
      <w:iCs/>
      <w:color w:val="0F4761" w:themeColor="accent1" w:themeShade="BF"/>
    </w:rPr>
  </w:style>
  <w:style w:type="character" w:styleId="IntenseReference">
    <w:name w:val="Intense Reference"/>
    <w:basedOn w:val="DefaultParagraphFont"/>
    <w:uiPriority w:val="32"/>
    <w:qFormat/>
    <w:rsid w:val="004932B3"/>
    <w:rPr>
      <w:b/>
      <w:bCs/>
      <w:smallCaps/>
      <w:color w:val="0F4761" w:themeColor="accent1" w:themeShade="BF"/>
      <w:spacing w:val="5"/>
    </w:rPr>
  </w:style>
  <w:style w:type="character" w:styleId="Hyperlink">
    <w:name w:val="Hyperlink"/>
    <w:basedOn w:val="DefaultParagraphFont"/>
    <w:uiPriority w:val="99"/>
    <w:unhideWhenUsed/>
    <w:rsid w:val="004932B3"/>
    <w:rPr>
      <w:color w:val="467886" w:themeColor="hyperlink"/>
      <w:u w:val="single"/>
    </w:rPr>
  </w:style>
  <w:style w:type="character" w:styleId="UnresolvedMention">
    <w:name w:val="Unresolved Mention"/>
    <w:basedOn w:val="DefaultParagraphFont"/>
    <w:uiPriority w:val="99"/>
    <w:semiHidden/>
    <w:unhideWhenUsed/>
    <w:rsid w:val="004932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els.12413"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aclanthology.org/2024.eacl-demo.16/"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attyyeung.github.io/deterministic-quoting" TargetMode="External"/><Relationship Id="rId5" Type="http://schemas.openxmlformats.org/officeDocument/2006/relationships/settings" Target="settings.xml"/><Relationship Id="rId10" Type="http://schemas.openxmlformats.org/officeDocument/2006/relationships/hyperlink" Target="https://arxiv.org/abs/2302.11382" TargetMode="External"/><Relationship Id="rId4" Type="http://schemas.openxmlformats.org/officeDocument/2006/relationships/styles" Target="styles.xml"/><Relationship Id="rId9" Type="http://schemas.openxmlformats.org/officeDocument/2006/relationships/hyperlink" Target="https://doi.org/10.1136/bmj.320.7237.7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ECD756DC738464BA56A4596ED834060" ma:contentTypeVersion="19" ma:contentTypeDescription="Ein neues Dokument erstellen." ma:contentTypeScope="" ma:versionID="c4ee971edb853bb0be6216e0fcf1a120">
  <xsd:schema xmlns:xsd="http://www.w3.org/2001/XMLSchema" xmlns:xs="http://www.w3.org/2001/XMLSchema" xmlns:p="http://schemas.microsoft.com/office/2006/metadata/properties" xmlns:ns3="191f6711-e4b0-4c15-9825-ece4a4ee03e0" xmlns:ns4="959c70ed-c25c-45aa-b708-1b3fefe443af" targetNamespace="http://schemas.microsoft.com/office/2006/metadata/properties" ma:root="true" ma:fieldsID="a3eccae83ce06e1cf105a51be7ca59b4" ns3:_="" ns4:_="">
    <xsd:import namespace="191f6711-e4b0-4c15-9825-ece4a4ee03e0"/>
    <xsd:import namespace="959c70ed-c25c-45aa-b708-1b3fefe443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LengthInSeconds" minOccurs="0"/>
                <xsd:element ref="ns4:_activity" minOccurs="0"/>
                <xsd:element ref="ns4:MediaServiceAutoTags" minOccurs="0"/>
                <xsd:element ref="ns4:MediaServiceObjectDetectorVersions" minOccurs="0"/>
                <xsd:element ref="ns4:MediaServiceSearchProperties" minOccurs="0"/>
                <xsd:element ref="ns4:MediaServiceSystemTags" minOccurs="0"/>
                <xsd:element ref="ns4:MediaServiceLocation" minOccurs="0"/>
                <xsd:element ref="ns4:MediaServiceGenerationTime" minOccurs="0"/>
                <xsd:element ref="ns4:MediaServiceEventHashCode" minOccurs="0"/>
                <xsd:element ref="ns4:MediaServiceOCR"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f6711-e4b0-4c15-9825-ece4a4ee03e0"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SharingHintHash" ma:index="10" nillable="true" ma:displayName="Freigabehinweis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9c70ed-c25c-45aa-b708-1b3fefe443a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59c70ed-c25c-45aa-b708-1b3fefe443af" xsi:nil="true"/>
  </documentManagement>
</p:properties>
</file>

<file path=customXml/itemProps1.xml><?xml version="1.0" encoding="utf-8"?>
<ds:datastoreItem xmlns:ds="http://schemas.openxmlformats.org/officeDocument/2006/customXml" ds:itemID="{B1D9EFC8-B6BF-48E1-9B36-52E9ACE58D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f6711-e4b0-4c15-9825-ece4a4ee03e0"/>
    <ds:schemaRef ds:uri="959c70ed-c25c-45aa-b708-1b3fefe443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3AA717-EB5A-4FA2-9203-C255376E2274}">
  <ds:schemaRefs>
    <ds:schemaRef ds:uri="http://schemas.microsoft.com/sharepoint/v3/contenttype/forms"/>
  </ds:schemaRefs>
</ds:datastoreItem>
</file>

<file path=customXml/itemProps3.xml><?xml version="1.0" encoding="utf-8"?>
<ds:datastoreItem xmlns:ds="http://schemas.openxmlformats.org/officeDocument/2006/customXml" ds:itemID="{F3A59A35-7AB6-4211-BC54-608D9FF76E37}">
  <ds:schemaRefs>
    <ds:schemaRef ds:uri="http://schemas.microsoft.com/office/2006/metadata/properties"/>
    <ds:schemaRef ds:uri="http://schemas.microsoft.com/office/infopath/2007/PartnerControls"/>
    <ds:schemaRef ds:uri="959c70ed-c25c-45aa-b708-1b3fefe443a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1518</Words>
  <Characters>10399</Characters>
  <Application>Microsoft Office Word</Application>
  <DocSecurity>0</DocSecurity>
  <Lines>155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Bartnik</dc:creator>
  <cp:keywords/>
  <dc:description/>
  <cp:lastModifiedBy>Roman Bartnik</cp:lastModifiedBy>
  <cp:revision>5</cp:revision>
  <dcterms:created xsi:type="dcterms:W3CDTF">2026-05-13T09:38:00Z</dcterms:created>
  <dcterms:modified xsi:type="dcterms:W3CDTF">2026-05-13T09:39:00Z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0x0101004ECD756DC738464BA56A4596ED834060</vt:lpwstr>
  </property>
</Properties>
</file>