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9CB2" w14:textId="2367359A" w:rsidR="002E13F3" w:rsidRDefault="002E13F3" w:rsidP="00A25457">
      <w:pPr>
        <w:pStyle w:val="Heading1"/>
      </w:pPr>
      <w:r>
        <w:t>Geosynchronous</w:t>
      </w:r>
      <w:r w:rsidR="00B578AE">
        <w:t xml:space="preserve"> Orbit</w:t>
      </w:r>
    </w:p>
    <w:p w14:paraId="121B4610" w14:textId="77777777" w:rsidR="002E13F3" w:rsidRDefault="002E13F3" w:rsidP="002E13F3">
      <w:pPr>
        <w:pStyle w:val="Heading2"/>
      </w:pPr>
      <w:r>
        <w:t>Description</w:t>
      </w:r>
    </w:p>
    <w:p w14:paraId="3B5B8EC8" w14:textId="1A2F7BA9" w:rsidR="002E13F3" w:rsidRDefault="002E13F3" w:rsidP="002E13F3">
      <w:pPr>
        <w:rPr>
          <w:rFonts w:cs="Open Sans"/>
          <w:color w:val="333333"/>
          <w:shd w:val="clear" w:color="auto" w:fill="FFFFFF"/>
        </w:rPr>
      </w:pPr>
      <w:r>
        <w:rPr>
          <w:rFonts w:cs="Open Sans"/>
          <w:color w:val="333333"/>
          <w:shd w:val="clear" w:color="auto" w:fill="FFFFFF"/>
        </w:rPr>
        <w:t xml:space="preserve">A geosynchronous orbit is a high Earth orbit that allows satellites to match Earth's rotation. Located at 22,236 miles (35,786 kilometers) above Earth's equator, this position is </w:t>
      </w:r>
      <w:r w:rsidR="00EA7577">
        <w:rPr>
          <w:rFonts w:cs="Open Sans"/>
          <w:color w:val="333333"/>
          <w:shd w:val="clear" w:color="auto" w:fill="FFFFFF"/>
        </w:rPr>
        <w:t>ideal</w:t>
      </w:r>
      <w:r>
        <w:rPr>
          <w:rFonts w:cs="Open Sans"/>
          <w:color w:val="333333"/>
          <w:shd w:val="clear" w:color="auto" w:fill="FFFFFF"/>
        </w:rPr>
        <w:t xml:space="preserve"> for monitoring weather, communications and surveillance. The International Telecommunication Union</w:t>
      </w:r>
      <w:r w:rsidR="00EA7577">
        <w:rPr>
          <w:rFonts w:cs="Open Sans"/>
          <w:color w:val="333333"/>
          <w:shd w:val="clear" w:color="auto" w:fill="FFFFFF"/>
        </w:rPr>
        <w:t xml:space="preserve"> (ITU)</w:t>
      </w:r>
      <w:r>
        <w:rPr>
          <w:rFonts w:cs="Open Sans"/>
          <w:color w:val="333333"/>
          <w:shd w:val="clear" w:color="auto" w:fill="FFFFFF"/>
        </w:rPr>
        <w:t xml:space="preserve"> assigns slots for geosynchronous orbit and settles disputes between countries about slots. </w:t>
      </w:r>
      <w:r w:rsidR="00EA7577">
        <w:rPr>
          <w:rFonts w:cs="Open Sans"/>
          <w:color w:val="333333"/>
          <w:shd w:val="clear" w:color="auto" w:fill="FFFFFF"/>
        </w:rPr>
        <w:t>For disposal</w:t>
      </w:r>
      <w:r>
        <w:rPr>
          <w:rFonts w:cs="Open Sans"/>
          <w:color w:val="333333"/>
          <w:shd w:val="clear" w:color="auto" w:fill="FFFFFF"/>
        </w:rPr>
        <w:t>, it is considered good practice to move</w:t>
      </w:r>
      <w:r w:rsidR="00EA7577">
        <w:rPr>
          <w:rFonts w:cs="Open Sans"/>
          <w:color w:val="333333"/>
          <w:shd w:val="clear" w:color="auto" w:fill="FFFFFF"/>
        </w:rPr>
        <w:t xml:space="preserve"> </w:t>
      </w:r>
      <w:r>
        <w:rPr>
          <w:rFonts w:cs="Open Sans"/>
          <w:color w:val="333333"/>
          <w:shd w:val="clear" w:color="auto" w:fill="FFFFFF"/>
        </w:rPr>
        <w:t>satellites</w:t>
      </w:r>
      <w:r w:rsidR="00EA7577">
        <w:rPr>
          <w:rFonts w:cs="Open Sans"/>
          <w:color w:val="333333"/>
          <w:shd w:val="clear" w:color="auto" w:fill="FFFFFF"/>
        </w:rPr>
        <w:t xml:space="preserve"> at or near end-of-life</w:t>
      </w:r>
      <w:r>
        <w:rPr>
          <w:rFonts w:cs="Open Sans"/>
          <w:color w:val="333333"/>
          <w:shd w:val="clear" w:color="auto" w:fill="FFFFFF"/>
        </w:rPr>
        <w:t xml:space="preserve"> into a "graveyard" orbit above geosynchronous orbit before they run out of fuel</w:t>
      </w:r>
      <w:r w:rsidR="00EA7577">
        <w:rPr>
          <w:rFonts w:cs="Open Sans"/>
          <w:color w:val="333333"/>
          <w:shd w:val="clear" w:color="auto" w:fill="FFFFFF"/>
        </w:rPr>
        <w:t xml:space="preserve"> so to open the slot for follow-on systems</w:t>
      </w:r>
      <w:sdt>
        <w:sdtPr>
          <w:rPr>
            <w:rFonts w:cs="Open Sans"/>
            <w:color w:val="333333"/>
            <w:shd w:val="clear" w:color="auto" w:fill="FFFFFF"/>
          </w:rPr>
          <w:id w:val="-1889330847"/>
          <w:citation/>
        </w:sdtPr>
        <w:sdtContent>
          <w:r>
            <w:rPr>
              <w:rFonts w:cs="Open Sans"/>
              <w:color w:val="333333"/>
              <w:shd w:val="clear" w:color="auto" w:fill="FFFFFF"/>
            </w:rPr>
            <w:fldChar w:fldCharType="begin"/>
          </w:r>
          <w:r>
            <w:rPr>
              <w:rFonts w:cs="Open Sans"/>
              <w:color w:val="333333"/>
              <w:shd w:val="clear" w:color="auto" w:fill="FFFFFF"/>
            </w:rPr>
            <w:instrText xml:space="preserve"> CITATION How15 \l 1033 </w:instrText>
          </w:r>
          <w:r>
            <w:rPr>
              <w:rFonts w:cs="Open Sans"/>
              <w:color w:val="333333"/>
              <w:shd w:val="clear" w:color="auto" w:fill="FFFFFF"/>
            </w:rPr>
            <w:fldChar w:fldCharType="separate"/>
          </w:r>
          <w:r>
            <w:rPr>
              <w:rFonts w:cs="Open Sans"/>
              <w:noProof/>
              <w:color w:val="333333"/>
              <w:shd w:val="clear" w:color="auto" w:fill="FFFFFF"/>
            </w:rPr>
            <w:t xml:space="preserve"> </w:t>
          </w:r>
          <w:r w:rsidRPr="002E13F3">
            <w:rPr>
              <w:rFonts w:cs="Open Sans"/>
              <w:noProof/>
              <w:color w:val="333333"/>
              <w:shd w:val="clear" w:color="auto" w:fill="FFFFFF"/>
            </w:rPr>
            <w:t>[1]</w:t>
          </w:r>
          <w:r>
            <w:rPr>
              <w:rFonts w:cs="Open Sans"/>
              <w:color w:val="333333"/>
              <w:shd w:val="clear" w:color="auto" w:fill="FFFFFF"/>
            </w:rPr>
            <w:fldChar w:fldCharType="end"/>
          </w:r>
        </w:sdtContent>
      </w:sdt>
      <w:r>
        <w:rPr>
          <w:rFonts w:cs="Open Sans"/>
          <w:color w:val="333333"/>
          <w:shd w:val="clear" w:color="auto" w:fill="FFFFFF"/>
        </w:rPr>
        <w:t>.</w:t>
      </w:r>
    </w:p>
    <w:p w14:paraId="54FAF237" w14:textId="54D6EFE4" w:rsidR="00B578AE" w:rsidRDefault="00B578AE" w:rsidP="002E13F3">
      <w:pPr>
        <w:rPr>
          <w:rFonts w:cs="Open Sans"/>
          <w:color w:val="3A3A3A"/>
        </w:rPr>
      </w:pPr>
      <w:r w:rsidRPr="00B578AE">
        <w:rPr>
          <w:rFonts w:cs="Open Sans"/>
          <w:color w:val="3A3A3A"/>
        </w:rPr>
        <w:t>A geosynchronous orbit (GEO) is a prograde, low inclination orbit about Earth having a period of 23 hours 56 minutes 4 seconds. A spacecraft in geosynchronous orbit appears to remain above Earth at a constant longitude, although it may seem to wander north and south. The spacecraft returns to the same point in the sky at the same time each day</w:t>
      </w:r>
      <w:sdt>
        <w:sdtPr>
          <w:rPr>
            <w:rFonts w:cs="Open Sans"/>
            <w:color w:val="3A3A3A"/>
          </w:rPr>
          <w:id w:val="-741398990"/>
          <w:citation/>
        </w:sdtPr>
        <w:sdtContent>
          <w:r>
            <w:rPr>
              <w:rFonts w:cs="Open Sans"/>
              <w:color w:val="3A3A3A"/>
            </w:rPr>
            <w:fldChar w:fldCharType="begin"/>
          </w:r>
          <w:r>
            <w:rPr>
              <w:rFonts w:cs="Open Sans"/>
              <w:color w:val="3A3A3A"/>
            </w:rPr>
            <w:instrText xml:space="preserve"> CITATION NAS22 \l 1033 </w:instrText>
          </w:r>
          <w:r>
            <w:rPr>
              <w:rFonts w:cs="Open Sans"/>
              <w:color w:val="3A3A3A"/>
            </w:rPr>
            <w:fldChar w:fldCharType="separate"/>
          </w:r>
          <w:r>
            <w:rPr>
              <w:rFonts w:cs="Open Sans"/>
              <w:noProof/>
              <w:color w:val="3A3A3A"/>
            </w:rPr>
            <w:t xml:space="preserve"> </w:t>
          </w:r>
          <w:r w:rsidRPr="00B578AE">
            <w:rPr>
              <w:rFonts w:cs="Open Sans"/>
              <w:noProof/>
              <w:color w:val="3A3A3A"/>
            </w:rPr>
            <w:t>[2]</w:t>
          </w:r>
          <w:r>
            <w:rPr>
              <w:rFonts w:cs="Open Sans"/>
              <w:color w:val="3A3A3A"/>
            </w:rPr>
            <w:fldChar w:fldCharType="end"/>
          </w:r>
        </w:sdtContent>
      </w:sdt>
      <w:r w:rsidRPr="00B578AE">
        <w:rPr>
          <w:rFonts w:cs="Open Sans"/>
          <w:color w:val="3A3A3A"/>
        </w:rPr>
        <w:t>.</w:t>
      </w:r>
    </w:p>
    <w:p w14:paraId="253F8AB0" w14:textId="242DDDF1" w:rsidR="00163F91" w:rsidRPr="00163F91" w:rsidRDefault="00163F91" w:rsidP="00163F91">
      <w:pPr>
        <w:rPr>
          <w:rFonts w:cs="Open Sans"/>
          <w:color w:val="333333"/>
          <w:shd w:val="clear" w:color="auto" w:fill="FFFFFF"/>
        </w:rPr>
      </w:pPr>
      <w:bookmarkStart w:id="0" w:name="types"/>
      <w:r w:rsidRPr="00163F91">
        <w:rPr>
          <w:rFonts w:cs="Open Sans"/>
          <w:color w:val="333333"/>
          <w:shd w:val="clear" w:color="auto" w:fill="FFFFFF"/>
        </w:rPr>
        <w:t>Geosynchronous orbits (GEO) are circular orbits around the Earth having a period of 24 hours. A geosynchronous orbit with an inclination of zero degrees is called a </w:t>
      </w:r>
      <w:r w:rsidRPr="00163F91">
        <w:rPr>
          <w:rFonts w:cs="Open Sans"/>
          <w:i/>
          <w:iCs/>
          <w:color w:val="333333"/>
          <w:shd w:val="clear" w:color="auto" w:fill="FFFFFF"/>
        </w:rPr>
        <w:t>geostationary orbit</w:t>
      </w:r>
      <w:r w:rsidRPr="00163F91">
        <w:rPr>
          <w:rFonts w:cs="Open Sans"/>
          <w:color w:val="333333"/>
          <w:shd w:val="clear" w:color="auto" w:fill="FFFFFF"/>
        </w:rPr>
        <w:t>. A spacecraft in a geostationary orbit appears to hang motionless above one position on the Earth's equator. For this reason, they are ideal for some types of communication and meteorological satellites. A spacecraft in an inclined geosynchronous orbit will appear to follow a regular figure-8 pattern in the sky once every orbit. To attain geosynchronous orbit, a spacecraft is first launched into an elliptical orbit with an apogee of 35,786 km (22,236 miles) called a geosynchronous transfer orbit (GTO). The orbit is then circularized by firing the spacecraft's engine at apogee</w:t>
      </w:r>
      <w:sdt>
        <w:sdtPr>
          <w:rPr>
            <w:rFonts w:cs="Open Sans"/>
            <w:color w:val="333333"/>
            <w:shd w:val="clear" w:color="auto" w:fill="FFFFFF"/>
          </w:rPr>
          <w:id w:val="-682737117"/>
          <w:citation/>
        </w:sdtPr>
        <w:sdtContent>
          <w:r>
            <w:rPr>
              <w:rFonts w:cs="Open Sans"/>
              <w:color w:val="333333"/>
              <w:shd w:val="clear" w:color="auto" w:fill="FFFFFF"/>
            </w:rPr>
            <w:fldChar w:fldCharType="begin"/>
          </w:r>
          <w:r>
            <w:rPr>
              <w:rFonts w:cs="Open Sans"/>
              <w:color w:val="333333"/>
              <w:shd w:val="clear" w:color="auto" w:fill="FFFFFF"/>
            </w:rPr>
            <w:instrText xml:space="preserve"> CITATION Bra13 \l 1033 </w:instrText>
          </w:r>
          <w:r>
            <w:rPr>
              <w:rFonts w:cs="Open Sans"/>
              <w:color w:val="333333"/>
              <w:shd w:val="clear" w:color="auto" w:fill="FFFFFF"/>
            </w:rPr>
            <w:fldChar w:fldCharType="separate"/>
          </w:r>
          <w:r>
            <w:rPr>
              <w:rFonts w:cs="Open Sans"/>
              <w:noProof/>
              <w:color w:val="333333"/>
              <w:shd w:val="clear" w:color="auto" w:fill="FFFFFF"/>
            </w:rPr>
            <w:t xml:space="preserve"> </w:t>
          </w:r>
          <w:r w:rsidRPr="00163F91">
            <w:rPr>
              <w:rFonts w:cs="Open Sans"/>
              <w:noProof/>
              <w:color w:val="333333"/>
              <w:shd w:val="clear" w:color="auto" w:fill="FFFFFF"/>
            </w:rPr>
            <w:t>[3]</w:t>
          </w:r>
          <w:r>
            <w:rPr>
              <w:rFonts w:cs="Open Sans"/>
              <w:color w:val="333333"/>
              <w:shd w:val="clear" w:color="auto" w:fill="FFFFFF"/>
            </w:rPr>
            <w:fldChar w:fldCharType="end"/>
          </w:r>
        </w:sdtContent>
      </w:sdt>
      <w:r w:rsidRPr="00163F91">
        <w:rPr>
          <w:rFonts w:cs="Open Sans"/>
          <w:color w:val="333333"/>
          <w:shd w:val="clear" w:color="auto" w:fill="FFFFFF"/>
        </w:rPr>
        <w:t>.</w:t>
      </w:r>
    </w:p>
    <w:bookmarkEnd w:id="0"/>
    <w:p w14:paraId="54BDDBB6" w14:textId="77777777" w:rsidR="00163F91" w:rsidRPr="00B578AE" w:rsidRDefault="00163F91" w:rsidP="002E13F3">
      <w:pPr>
        <w:rPr>
          <w:rFonts w:cs="Open Sans"/>
          <w:color w:val="333333"/>
          <w:shd w:val="clear" w:color="auto" w:fill="FFFFFF"/>
        </w:rPr>
      </w:pPr>
    </w:p>
    <w:p w14:paraId="4281669F" w14:textId="71D6CDA4" w:rsidR="002E13F3" w:rsidRDefault="002E13F3" w:rsidP="002E13F3">
      <w:pPr>
        <w:pStyle w:val="Heading2"/>
        <w:rPr>
          <w:shd w:val="clear" w:color="auto" w:fill="FFFFFF"/>
        </w:rPr>
      </w:pPr>
      <w:r>
        <w:rPr>
          <w:shd w:val="clear" w:color="auto" w:fill="FFFFFF"/>
        </w:rPr>
        <w:t xml:space="preserve">Advantages </w:t>
      </w:r>
      <w:r w:rsidR="001F4546">
        <w:rPr>
          <w:shd w:val="clear" w:color="auto" w:fill="FFFFFF"/>
        </w:rPr>
        <w:t>of GEO</w:t>
      </w:r>
    </w:p>
    <w:p w14:paraId="794AC50A" w14:textId="51E00939" w:rsidR="002E13F3" w:rsidRDefault="001F4546" w:rsidP="002E13F3">
      <w:pPr>
        <w:rPr>
          <w:rFonts w:cs="Open Sans"/>
          <w:color w:val="333333"/>
          <w:shd w:val="clear" w:color="auto" w:fill="FFFFFF"/>
        </w:rPr>
      </w:pPr>
      <w:r>
        <w:rPr>
          <w:rFonts w:cs="Open Sans"/>
          <w:color w:val="333333"/>
          <w:shd w:val="clear" w:color="auto" w:fill="FFFFFF"/>
        </w:rPr>
        <w:t xml:space="preserve">Due to the height of satellites in geosynchronous earth orbit a significant geographical area can be covered by a single satellite. More specifically, only three satellites are required to provide coverage for the entire earth </w:t>
      </w:r>
      <w:proofErr w:type="gramStart"/>
      <w:r>
        <w:rPr>
          <w:rFonts w:cs="Open Sans"/>
          <w:color w:val="333333"/>
          <w:shd w:val="clear" w:color="auto" w:fill="FFFFFF"/>
        </w:rPr>
        <w:t>with the exception of</w:t>
      </w:r>
      <w:proofErr w:type="gramEnd"/>
      <w:r>
        <w:rPr>
          <w:rFonts w:cs="Open Sans"/>
          <w:color w:val="333333"/>
          <w:shd w:val="clear" w:color="auto" w:fill="FFFFFF"/>
        </w:rPr>
        <w:t xml:space="preserve"> the north and south polar regions.</w:t>
      </w:r>
      <w:r w:rsidR="00A360AC">
        <w:rPr>
          <w:rFonts w:cs="Open Sans"/>
          <w:color w:val="333333"/>
          <w:shd w:val="clear" w:color="auto" w:fill="FFFFFF"/>
        </w:rPr>
        <w:t xml:space="preserve"> </w:t>
      </w:r>
      <w:r>
        <w:rPr>
          <w:rFonts w:cs="Open Sans"/>
          <w:color w:val="333333"/>
          <w:shd w:val="clear" w:color="auto" w:fill="FFFFFF"/>
        </w:rPr>
        <w:t>Satellites in GEO remain in a fixed position enabling 24/7 access from ground stations</w:t>
      </w:r>
      <w:r w:rsidR="00A360AC">
        <w:rPr>
          <w:rFonts w:cs="Open Sans"/>
          <w:color w:val="333333"/>
          <w:shd w:val="clear" w:color="auto" w:fill="FFFFFF"/>
        </w:rPr>
        <w:t xml:space="preserve"> eliminating the need for inter-satellite handovers. Lastly, satellites in geosynchronous earth orbit eliminate the need to compensate for doppler shifts due to satellite being stationary relative to the earth. </w:t>
      </w:r>
    </w:p>
    <w:p w14:paraId="5694256A" w14:textId="0C0DA07C" w:rsidR="00A360AC" w:rsidRDefault="00A360AC" w:rsidP="00A360AC">
      <w:pPr>
        <w:pStyle w:val="Heading2"/>
        <w:rPr>
          <w:shd w:val="clear" w:color="auto" w:fill="FFFFFF"/>
        </w:rPr>
      </w:pPr>
      <w:r>
        <w:rPr>
          <w:shd w:val="clear" w:color="auto" w:fill="FFFFFF"/>
        </w:rPr>
        <w:t>Disadvantages of GEO</w:t>
      </w:r>
    </w:p>
    <w:p w14:paraId="01D263F5" w14:textId="59D96082" w:rsidR="00A360AC" w:rsidRPr="00A360AC" w:rsidRDefault="0007408A" w:rsidP="00A360AC">
      <w:r>
        <w:t>Due to the height of satellites relative to ground stations, there is</w:t>
      </w:r>
      <w:r w:rsidR="00A360AC" w:rsidRPr="00A360AC">
        <w:t xml:space="preserve"> considerable latency of approximately 240 milli-seconds (round-trip) due to the radial distance of the satellite from earth ground stations.</w:t>
      </w:r>
      <w:r>
        <w:t xml:space="preserve"> Therefore, despite the increased coverage with less satellites, these satellites are not ideal for time-critical operations such as real-time voice, image, and video </w:t>
      </w:r>
      <w:r>
        <w:lastRenderedPageBreak/>
        <w:t xml:space="preserve">communication systems. Furthermore, the increased distance also results in the need of more complex and costly electronics such as low-noise amplifiers and signal processing equipment on the payload as well as the ground stations. Lastly, due to the fixed position of satellites in geosynchronous earth orbit and the curvature of the earth, communications of \pm 70 degrees latitude is not possible. </w:t>
      </w:r>
    </w:p>
    <w:p w14:paraId="031FD6EC" w14:textId="5C8CDF81" w:rsidR="00B578AE" w:rsidRPr="00A25457" w:rsidRDefault="00B578AE" w:rsidP="00A25457">
      <w:pPr>
        <w:pStyle w:val="Heading1"/>
        <w:rPr>
          <w:shd w:val="clear" w:color="auto" w:fill="FFFFFF"/>
        </w:rPr>
      </w:pPr>
      <w:r>
        <w:rPr>
          <w:shd w:val="clear" w:color="auto" w:fill="FFFFFF"/>
        </w:rPr>
        <w:t>Geostationary Orbit</w:t>
      </w:r>
    </w:p>
    <w:p w14:paraId="6FC79D94" w14:textId="5F64F7C9" w:rsidR="00B578AE" w:rsidRDefault="00B578AE" w:rsidP="00B578AE">
      <w:pPr>
        <w:pStyle w:val="Heading2"/>
      </w:pPr>
      <w:r>
        <w:t>Description</w:t>
      </w:r>
    </w:p>
    <w:p w14:paraId="4C1AF8E9" w14:textId="7F53BD85" w:rsidR="00A25457" w:rsidRDefault="00B578AE" w:rsidP="00B578AE">
      <w:pPr>
        <w:rPr>
          <w:rFonts w:cs="Open Sans"/>
          <w:color w:val="3A3A3A"/>
        </w:rPr>
      </w:pPr>
      <w:r w:rsidRPr="00B578AE">
        <w:rPr>
          <w:rFonts w:cs="Open Sans"/>
          <w:color w:val="3A3A3A"/>
        </w:rPr>
        <w:t xml:space="preserve">To achieve a geostationary orbit, a geosynchronous orbit is chosen with an eccentricity of zero, and an inclination of either zero, right on the equator, or else low enough that the spacecraft can use propulsive means to constrain the spacecraft's apparent </w:t>
      </w:r>
      <w:r w:rsidRPr="00B578AE">
        <w:rPr>
          <w:rFonts w:cs="Open Sans"/>
          <w:color w:val="3A3A3A"/>
        </w:rPr>
        <w:t>position,</w:t>
      </w:r>
      <w:r w:rsidRPr="00B578AE">
        <w:rPr>
          <w:rFonts w:cs="Open Sans"/>
          <w:color w:val="3A3A3A"/>
        </w:rPr>
        <w:t xml:space="preserve"> so it hangs seemingly motionless above a point on Earth. (Any such maneuvering on orbit, or making other adjustments to maintain its orbit, is a process called </w:t>
      </w:r>
      <w:r w:rsidRPr="00B578AE">
        <w:rPr>
          <w:rFonts w:cs="Open Sans"/>
          <w:b/>
          <w:bCs/>
          <w:color w:val="3A3A3A"/>
        </w:rPr>
        <w:t>station keeping</w:t>
      </w:r>
      <w:r w:rsidRPr="00B578AE">
        <w:rPr>
          <w:rFonts w:cs="Open Sans"/>
          <w:color w:val="3A3A3A"/>
        </w:rPr>
        <w:t xml:space="preserve">.) The orbit can then be called geostationary. This orbit is ideal for certain kinds of communication satellites and meteorological satellites. The idea of a geosynchronous orbit for communications spacecraft was first </w:t>
      </w:r>
      <w:r w:rsidRPr="00B578AE">
        <w:rPr>
          <w:rFonts w:cs="Open Sans"/>
          <w:color w:val="3A3A3A"/>
        </w:rPr>
        <w:t>popularized</w:t>
      </w:r>
      <w:r w:rsidRPr="00B578AE">
        <w:rPr>
          <w:rFonts w:cs="Open Sans"/>
          <w:color w:val="3A3A3A"/>
        </w:rPr>
        <w:t xml:space="preserve"> by science fiction author Sir Arthur C. Clarke in 1945, so it is sometimes called the Clarke orbit</w:t>
      </w:r>
      <w:sdt>
        <w:sdtPr>
          <w:rPr>
            <w:rFonts w:cs="Open Sans"/>
            <w:color w:val="3A3A3A"/>
          </w:rPr>
          <w:id w:val="1626969892"/>
          <w:citation/>
        </w:sdtPr>
        <w:sdtContent>
          <w:r>
            <w:rPr>
              <w:rFonts w:cs="Open Sans"/>
              <w:color w:val="3A3A3A"/>
            </w:rPr>
            <w:fldChar w:fldCharType="begin"/>
          </w:r>
          <w:r>
            <w:rPr>
              <w:rFonts w:cs="Open Sans"/>
              <w:color w:val="3A3A3A"/>
            </w:rPr>
            <w:instrText xml:space="preserve"> CITATION NAS22 \l 1033 </w:instrText>
          </w:r>
          <w:r>
            <w:rPr>
              <w:rFonts w:cs="Open Sans"/>
              <w:color w:val="3A3A3A"/>
            </w:rPr>
            <w:fldChar w:fldCharType="separate"/>
          </w:r>
          <w:r>
            <w:rPr>
              <w:rFonts w:cs="Open Sans"/>
              <w:noProof/>
              <w:color w:val="3A3A3A"/>
            </w:rPr>
            <w:t xml:space="preserve"> </w:t>
          </w:r>
          <w:r w:rsidRPr="00B578AE">
            <w:rPr>
              <w:rFonts w:cs="Open Sans"/>
              <w:noProof/>
              <w:color w:val="3A3A3A"/>
            </w:rPr>
            <w:t>[2]</w:t>
          </w:r>
          <w:r>
            <w:rPr>
              <w:rFonts w:cs="Open Sans"/>
              <w:color w:val="3A3A3A"/>
            </w:rPr>
            <w:fldChar w:fldCharType="end"/>
          </w:r>
        </w:sdtContent>
      </w:sdt>
      <w:r w:rsidRPr="00B578AE">
        <w:rPr>
          <w:rFonts w:cs="Open Sans"/>
          <w:color w:val="3A3A3A"/>
        </w:rPr>
        <w:t>.</w:t>
      </w:r>
    </w:p>
    <w:p w14:paraId="451FA396" w14:textId="6A33B3FD" w:rsidR="00B578AE" w:rsidRPr="00B578AE" w:rsidRDefault="00B578AE" w:rsidP="00A25457">
      <w:pPr>
        <w:pStyle w:val="Heading1"/>
      </w:pPr>
      <w:r>
        <w:t>Geosynchronous Transfer Orbit</w:t>
      </w:r>
    </w:p>
    <w:p w14:paraId="054DE786" w14:textId="641B2219" w:rsidR="00D663BF" w:rsidRDefault="00B578AE" w:rsidP="00B578AE">
      <w:pPr>
        <w:pStyle w:val="Heading2"/>
      </w:pPr>
      <w:r>
        <w:t>Description</w:t>
      </w:r>
    </w:p>
    <w:p w14:paraId="7FF80AAB" w14:textId="640DD2D8" w:rsidR="00B578AE" w:rsidRPr="00660510" w:rsidRDefault="00A25457" w:rsidP="00B578AE">
      <w:pPr>
        <w:rPr>
          <w:rFonts w:cs="Open Sans"/>
        </w:rPr>
      </w:pPr>
      <w:r w:rsidRPr="00660510">
        <w:rPr>
          <w:rFonts w:cs="Open Sans"/>
        </w:rPr>
        <w:t>To attain geosynchronous (</w:t>
      </w:r>
      <w:r w:rsidRPr="00660510">
        <w:rPr>
          <w:rFonts w:cs="Open Sans"/>
        </w:rPr>
        <w:t>and</w:t>
      </w:r>
      <w:r w:rsidRPr="00660510">
        <w:rPr>
          <w:rFonts w:cs="Open Sans"/>
        </w:rPr>
        <w:t xml:space="preserve"> geostationary) Earth orbits, a spacecraft is first launched into an elliptical orbit with an apoapsis altitude </w:t>
      </w:r>
      <w:r w:rsidRPr="00660510">
        <w:rPr>
          <w:rFonts w:cs="Open Sans"/>
        </w:rPr>
        <w:t>about</w:t>
      </w:r>
      <w:r w:rsidRPr="00660510">
        <w:rPr>
          <w:rFonts w:cs="Open Sans"/>
        </w:rPr>
        <w:t xml:space="preserve"> 37,000 km. This is called a </w:t>
      </w:r>
      <w:r w:rsidRPr="00660510">
        <w:rPr>
          <w:rFonts w:cs="Open Sans"/>
          <w:b/>
          <w:bCs/>
        </w:rPr>
        <w:t>Geosynchronous Transfer Orbit</w:t>
      </w:r>
      <w:r w:rsidRPr="00660510">
        <w:rPr>
          <w:rFonts w:cs="Open Sans"/>
        </w:rPr>
        <w:t> (GTO). The spacecraft then circularizes the orbit by turning parallel to the equator at apoapsis and firing its rocket engine. That engine is usually called an </w:t>
      </w:r>
      <w:r w:rsidRPr="00660510">
        <w:rPr>
          <w:rFonts w:cs="Open Sans"/>
          <w:b/>
          <w:bCs/>
        </w:rPr>
        <w:t>apogee motor</w:t>
      </w:r>
      <w:r w:rsidRPr="00660510">
        <w:rPr>
          <w:rFonts w:cs="Open Sans"/>
        </w:rPr>
        <w:t>. It is common to compare various </w:t>
      </w:r>
      <w:hyperlink r:id="rId5" w:history="1">
        <w:r w:rsidRPr="00660510">
          <w:rPr>
            <w:rStyle w:val="Hyperlink"/>
            <w:rFonts w:cs="Open Sans"/>
          </w:rPr>
          <w:t>launch vehicles' capabilities</w:t>
        </w:r>
      </w:hyperlink>
      <w:r w:rsidRPr="00660510">
        <w:rPr>
          <w:rFonts w:cs="Open Sans"/>
        </w:rPr>
        <w:t> according to the amount of mass they can lift to GTO</w:t>
      </w:r>
      <w:sdt>
        <w:sdtPr>
          <w:rPr>
            <w:rFonts w:cs="Open Sans"/>
          </w:rPr>
          <w:id w:val="-926036687"/>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7DDF3D4E" w14:textId="4B8FE43C" w:rsidR="00A25457" w:rsidRDefault="00A25457" w:rsidP="00A25457">
      <w:pPr>
        <w:pStyle w:val="Heading1"/>
      </w:pPr>
      <w:r>
        <w:t>Polar Orbits</w:t>
      </w:r>
    </w:p>
    <w:p w14:paraId="4289ABE6" w14:textId="798C929D" w:rsidR="00A25457" w:rsidRDefault="00A25457" w:rsidP="00A25457">
      <w:pPr>
        <w:pStyle w:val="Heading2"/>
      </w:pPr>
      <w:r>
        <w:t>Description</w:t>
      </w:r>
    </w:p>
    <w:p w14:paraId="20E19A15" w14:textId="671F78C3" w:rsidR="00A25457" w:rsidRPr="00660510" w:rsidRDefault="00A25457" w:rsidP="00A25457">
      <w:pPr>
        <w:rPr>
          <w:rFonts w:cs="Open Sans"/>
        </w:rPr>
      </w:pPr>
      <w:r w:rsidRPr="00660510">
        <w:rPr>
          <w:rFonts w:cs="Open Sans"/>
        </w:rPr>
        <w:t xml:space="preserve">Polar orbits are </w:t>
      </w:r>
      <w:r w:rsidRPr="00660510">
        <w:rPr>
          <w:rFonts w:cs="Open Sans"/>
        </w:rPr>
        <w:t>90-degree</w:t>
      </w:r>
      <w:r w:rsidRPr="00660510">
        <w:rPr>
          <w:rFonts w:cs="Open Sans"/>
        </w:rPr>
        <w:t xml:space="preserve"> inclination orbits, useful for spacecraft that carry out mapping or surveillance operations. Since the orbital plane is nominally fixed in inertial space, the planet rotates below a polar orbit, allowing the spacecraft low-altitude access to virtually every point on the surface.</w:t>
      </w:r>
      <w:r w:rsidRPr="00660510">
        <w:rPr>
          <w:rFonts w:cs="Open Sans"/>
        </w:rPr>
        <w:t xml:space="preserve"> </w:t>
      </w:r>
      <w:r w:rsidRPr="00660510">
        <w:rPr>
          <w:rFonts w:cs="Open Sans"/>
        </w:rPr>
        <w:t xml:space="preserve">To achieve a polar orbit at Earth requires more energy, thus more propellant, than does a direct orbit of low inclination. To achieve the latter, launch is normally accomplished near the equator, where the rotational speed of the surface contributes a significant part of the final speed required for orbit. A polar orbit will not be able to take advantage of the "free ride" provided by Earth's rotation, and thus the launch vehicle must provide </w:t>
      </w:r>
      <w:r w:rsidRPr="00660510">
        <w:rPr>
          <w:rFonts w:cs="Open Sans"/>
        </w:rPr>
        <w:t>all</w:t>
      </w:r>
      <w:r w:rsidRPr="00660510">
        <w:rPr>
          <w:rFonts w:cs="Open Sans"/>
        </w:rPr>
        <w:t xml:space="preserve"> the energy for attaining orbital speed</w:t>
      </w:r>
      <w:sdt>
        <w:sdtPr>
          <w:rPr>
            <w:rFonts w:cs="Open Sans"/>
          </w:rPr>
          <w:id w:val="1314443330"/>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3D68D071" w14:textId="5C1EA254" w:rsidR="00A25457" w:rsidRDefault="00A25457" w:rsidP="00A25457">
      <w:pPr>
        <w:pStyle w:val="Heading1"/>
      </w:pPr>
      <w:r>
        <w:lastRenderedPageBreak/>
        <w:t>Walking Orbits</w:t>
      </w:r>
    </w:p>
    <w:p w14:paraId="1E4665DB" w14:textId="00A50730" w:rsidR="00A25457" w:rsidRDefault="00A25457" w:rsidP="00A25457">
      <w:pPr>
        <w:pStyle w:val="Heading2"/>
      </w:pPr>
      <w:r>
        <w:t>Description</w:t>
      </w:r>
    </w:p>
    <w:p w14:paraId="56115ED4" w14:textId="18ABA820" w:rsidR="00A25457" w:rsidRPr="00660510" w:rsidRDefault="00A25457" w:rsidP="00A25457">
      <w:pPr>
        <w:rPr>
          <w:rFonts w:cs="Open Sans"/>
        </w:rPr>
      </w:pPr>
      <w:r w:rsidRPr="00660510">
        <w:rPr>
          <w:rFonts w:cs="Open Sans"/>
        </w:rPr>
        <w:t xml:space="preserve">Planets are not perfectly spherical, and they do not have evenly distributed surface mass. Also, they do not exist in a gravity "vacuum." Other bodies such as the sun, or natural satellites, contribute their gravitational influences </w:t>
      </w:r>
      <w:r w:rsidRPr="00660510">
        <w:rPr>
          <w:rFonts w:cs="Open Sans"/>
        </w:rPr>
        <w:t>on</w:t>
      </w:r>
      <w:r w:rsidRPr="00660510">
        <w:rPr>
          <w:rFonts w:cs="Open Sans"/>
        </w:rPr>
        <w:t xml:space="preserve"> a spacecraft in orbit about a planet. It is possible to choose the parameters of a spacecraft's orbit to take advantage of some or </w:t>
      </w:r>
      <w:r w:rsidRPr="00660510">
        <w:rPr>
          <w:rFonts w:cs="Open Sans"/>
        </w:rPr>
        <w:t>all</w:t>
      </w:r>
      <w:r w:rsidRPr="00660510">
        <w:rPr>
          <w:rFonts w:cs="Open Sans"/>
        </w:rPr>
        <w:t xml:space="preserve"> these gravitational influences to induce precession, which causes a useful motion of the orbital plane. The result is called a walking orbit or a </w:t>
      </w:r>
      <w:proofErr w:type="spellStart"/>
      <w:r w:rsidRPr="00660510">
        <w:rPr>
          <w:rFonts w:cs="Open Sans"/>
        </w:rPr>
        <w:t>precessing</w:t>
      </w:r>
      <w:proofErr w:type="spellEnd"/>
      <w:r w:rsidRPr="00660510">
        <w:rPr>
          <w:rFonts w:cs="Open Sans"/>
        </w:rPr>
        <w:t xml:space="preserve"> orbit, since the orbital plane moves slowly with respect to fixed inertial space</w:t>
      </w:r>
      <w:sdt>
        <w:sdtPr>
          <w:rPr>
            <w:rFonts w:cs="Open Sans"/>
          </w:rPr>
          <w:id w:val="467395311"/>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0C5D9F75" w14:textId="2995127B" w:rsidR="00A25457" w:rsidRDefault="00A25457" w:rsidP="00A25457">
      <w:pPr>
        <w:pStyle w:val="Heading1"/>
      </w:pPr>
      <w:r>
        <w:t>Sun-synchronous Orbits</w:t>
      </w:r>
    </w:p>
    <w:p w14:paraId="56F2B1A1" w14:textId="35FCA2EC" w:rsidR="00A25457" w:rsidRDefault="00A25457" w:rsidP="00A25457">
      <w:pPr>
        <w:pStyle w:val="Heading2"/>
      </w:pPr>
      <w:r>
        <w:t>Description</w:t>
      </w:r>
    </w:p>
    <w:p w14:paraId="3802F7E0" w14:textId="2E3961B1" w:rsidR="00A25457" w:rsidRPr="00660510" w:rsidRDefault="00A25457" w:rsidP="00A25457">
      <w:pPr>
        <w:rPr>
          <w:rFonts w:cs="Open Sans"/>
        </w:rPr>
      </w:pPr>
      <w:r w:rsidRPr="00660510">
        <w:rPr>
          <w:rFonts w:cs="Open Sans"/>
        </w:rPr>
        <w:t xml:space="preserve">A walking orbit whose parameters are chosen such that the orbital plane </w:t>
      </w:r>
      <w:proofErr w:type="spellStart"/>
      <w:r w:rsidRPr="00660510">
        <w:rPr>
          <w:rFonts w:cs="Open Sans"/>
        </w:rPr>
        <w:t>precesses</w:t>
      </w:r>
      <w:proofErr w:type="spellEnd"/>
      <w:r w:rsidRPr="00660510">
        <w:rPr>
          <w:rFonts w:cs="Open Sans"/>
        </w:rPr>
        <w:t xml:space="preserve"> with nearly the same period as the planet's solar orbit period is called a sun synchronous orbit. In such an orbit, the spacecraft crosses periapsis at about the same local time every orbit. This can be useful if instruments on board depend on a certain angle of solar illumination on the surface. Mars Global Surveyor's orbit is a 2-pm Mars Local Time sun-synchronous orbit, chosen to permit well-placed shadows for best viewing.</w:t>
      </w:r>
      <w:r w:rsidR="001565A8" w:rsidRPr="00660510">
        <w:rPr>
          <w:rFonts w:cs="Open Sans"/>
        </w:rPr>
        <w:t xml:space="preserve"> </w:t>
      </w:r>
      <w:r w:rsidR="001565A8" w:rsidRPr="00660510">
        <w:rPr>
          <w:rFonts w:cs="Open Sans"/>
        </w:rPr>
        <w:t>It may not be possible to rely on use of the gravity field alone to exactly maintain a desired synchronous timing, and occasional propulsive maneuvers may be necessary to adjust the orbit</w:t>
      </w:r>
      <w:sdt>
        <w:sdtPr>
          <w:rPr>
            <w:rFonts w:cs="Open Sans"/>
          </w:rPr>
          <w:id w:val="-1688518404"/>
          <w:citation/>
        </w:sdtPr>
        <w:sdtContent>
          <w:r w:rsidR="001565A8" w:rsidRPr="00660510">
            <w:rPr>
              <w:rFonts w:cs="Open Sans"/>
            </w:rPr>
            <w:fldChar w:fldCharType="begin"/>
          </w:r>
          <w:r w:rsidR="001565A8" w:rsidRPr="00660510">
            <w:rPr>
              <w:rFonts w:cs="Open Sans"/>
            </w:rPr>
            <w:instrText xml:space="preserve"> CITATION NAS22 \l 1033 </w:instrText>
          </w:r>
          <w:r w:rsidR="001565A8" w:rsidRPr="00660510">
            <w:rPr>
              <w:rFonts w:cs="Open Sans"/>
            </w:rPr>
            <w:fldChar w:fldCharType="separate"/>
          </w:r>
          <w:r w:rsidR="001565A8" w:rsidRPr="00660510">
            <w:rPr>
              <w:rFonts w:cs="Open Sans"/>
              <w:noProof/>
            </w:rPr>
            <w:t xml:space="preserve"> [2]</w:t>
          </w:r>
          <w:r w:rsidR="001565A8" w:rsidRPr="00660510">
            <w:rPr>
              <w:rFonts w:cs="Open Sans"/>
            </w:rPr>
            <w:fldChar w:fldCharType="end"/>
          </w:r>
        </w:sdtContent>
      </w:sdt>
      <w:r w:rsidR="001565A8" w:rsidRPr="00660510">
        <w:rPr>
          <w:rFonts w:cs="Open Sans"/>
        </w:rPr>
        <w:t>.</w:t>
      </w:r>
    </w:p>
    <w:p w14:paraId="36DCBD53" w14:textId="5EA43687" w:rsidR="00A25457" w:rsidRDefault="00067F4F" w:rsidP="00067F4F">
      <w:pPr>
        <w:pStyle w:val="Heading1"/>
      </w:pPr>
      <w:r>
        <w:t>Orbital Elements</w:t>
      </w:r>
    </w:p>
    <w:p w14:paraId="5CCCBC3F" w14:textId="55E0CDB7" w:rsidR="00067F4F" w:rsidRDefault="00067F4F" w:rsidP="00067F4F">
      <w:pPr>
        <w:rPr>
          <w:rFonts w:cs="Open Sans"/>
        </w:rPr>
      </w:pPr>
      <w:r w:rsidRPr="00067F4F">
        <w:rPr>
          <w:rFonts w:cs="Open Sans"/>
        </w:rPr>
        <w:t>To completely describe an orbit mathematically, six quantities must be calculated. These quantities are called orbital elements, or Keplerian elements, after Johannes Kepler (1571-1630).</w:t>
      </w:r>
    </w:p>
    <w:p w14:paraId="2C40BB6D" w14:textId="48E88675" w:rsidR="00067F4F" w:rsidRDefault="00067F4F" w:rsidP="00067F4F">
      <w:pPr>
        <w:pStyle w:val="Heading2"/>
      </w:pPr>
      <w:r>
        <w:t>Semi-major Axis</w:t>
      </w:r>
    </w:p>
    <w:p w14:paraId="1B7B15F7" w14:textId="05CC9130" w:rsidR="00067F4F" w:rsidRPr="00067F4F" w:rsidRDefault="00E03106" w:rsidP="00067F4F">
      <w:pPr>
        <w:rPr>
          <w:rFonts w:cs="Open Sans"/>
        </w:rPr>
      </w:pPr>
      <w:r>
        <w:rPr>
          <w:rFonts w:cs="Open Sans"/>
        </w:rPr>
        <w:t>The value representing one-half of the major axis and the satellites mean distance from the Earth</w:t>
      </w:r>
    </w:p>
    <w:p w14:paraId="7CCE5FC4" w14:textId="68B0D3F1" w:rsidR="00067F4F" w:rsidRDefault="00067F4F" w:rsidP="00067F4F">
      <w:pPr>
        <w:pStyle w:val="Heading2"/>
      </w:pPr>
      <w:r>
        <w:t>Eccentricity</w:t>
      </w:r>
    </w:p>
    <w:p w14:paraId="62BFB218" w14:textId="2E254407" w:rsidR="00067F4F" w:rsidRDefault="00067F4F" w:rsidP="00067F4F">
      <w:r>
        <w:t>The quantitative value describing deviation of a curve or orbit from circularity (i.e., a value of zero indicates a circle)</w:t>
      </w:r>
    </w:p>
    <w:p w14:paraId="412A86A2" w14:textId="65A7B93C" w:rsidR="00067F4F" w:rsidRDefault="00067F4F" w:rsidP="00067F4F">
      <w:pPr>
        <w:pStyle w:val="Heading2"/>
      </w:pPr>
      <w:r>
        <w:t>Inclination</w:t>
      </w:r>
    </w:p>
    <w:p w14:paraId="6E7A194C" w14:textId="2DBB4193" w:rsidR="00067F4F" w:rsidRDefault="00067F4F" w:rsidP="00067F4F">
      <w:r>
        <w:t>The angular distance of the orbital plane from the plane of the planet’s equator (or from the ecliptic plane in heliocentric orbits)</w:t>
      </w:r>
    </w:p>
    <w:p w14:paraId="1815B774" w14:textId="79B62BF8" w:rsidR="00067F4F" w:rsidRDefault="00067F4F" w:rsidP="00067F4F">
      <w:pPr>
        <w:pStyle w:val="Heading2"/>
      </w:pPr>
      <w:r>
        <w:t>Argument of Periapsis</w:t>
      </w:r>
    </w:p>
    <w:p w14:paraId="5CC1BC1B" w14:textId="089D6EB8" w:rsidR="00067F4F" w:rsidRDefault="00067F4F" w:rsidP="00067F4F">
      <w:r>
        <w:t>The angular distance of the periapsis</w:t>
      </w:r>
      <w:r w:rsidR="00E03106">
        <w:t xml:space="preserve"> (shortest distance between satellite and Earth)</w:t>
      </w:r>
      <w:r>
        <w:t xml:space="preserve"> from the ascending node</w:t>
      </w:r>
    </w:p>
    <w:p w14:paraId="16E6C8AA" w14:textId="50A0B04F" w:rsidR="00067F4F" w:rsidRDefault="00067F4F" w:rsidP="00067F4F">
      <w:pPr>
        <w:pStyle w:val="Heading2"/>
      </w:pPr>
      <w:r>
        <w:lastRenderedPageBreak/>
        <w:t>Time of Periapsis Passage</w:t>
      </w:r>
    </w:p>
    <w:p w14:paraId="3F98B6A4" w14:textId="0614C341" w:rsidR="00067F4F" w:rsidRDefault="00E03106" w:rsidP="00067F4F">
      <w:r>
        <w:t>The time in which a satellite moves through its point of periapsis (shortest distance between satellite and Earth)</w:t>
      </w:r>
    </w:p>
    <w:p w14:paraId="7F4A80F8" w14:textId="53871038" w:rsidR="00067F4F" w:rsidRDefault="00067F4F" w:rsidP="00067F4F">
      <w:pPr>
        <w:pStyle w:val="Heading2"/>
      </w:pPr>
      <w:r>
        <w:t>Celestial Longitude of Ascending Node</w:t>
      </w:r>
    </w:p>
    <w:p w14:paraId="7F860809" w14:textId="1B6801E6" w:rsidR="00E03106" w:rsidRDefault="00E03106" w:rsidP="00E03106">
      <w:r>
        <w:t xml:space="preserve">The nodes celestial </w:t>
      </w:r>
      <w:r w:rsidR="00B7743C">
        <w:t>longitude:</w:t>
      </w:r>
      <w:r>
        <w:t xml:space="preserve"> celestial longitude is analogous to longitude on Earth and is measured in degrees </w:t>
      </w:r>
      <w:r w:rsidR="00E514F1">
        <w:t>counterclockwise</w:t>
      </w:r>
      <w:r>
        <w:t xml:space="preserve"> from zero with zero longitude being in the direction of the vernal equinox</w:t>
      </w:r>
    </w:p>
    <w:p w14:paraId="0106337F" w14:textId="6C1D2761" w:rsidR="00E514F1" w:rsidRDefault="00E514F1" w:rsidP="00E514F1">
      <w:pPr>
        <w:pStyle w:val="Heading1"/>
      </w:pPr>
      <w:r>
        <w:t>Atmospheric Windows</w:t>
      </w:r>
    </w:p>
    <w:p w14:paraId="21EDB756" w14:textId="79338269" w:rsidR="00EF0FAB" w:rsidRDefault="00E514F1" w:rsidP="00E514F1">
      <w:r w:rsidRPr="00E514F1">
        <w:t xml:space="preserve">Below 30 MHz, the ionosphere, at altitudes from around 100 to 500 km, absorbs and reflects signals. Above 30 GHz, the lower atmosphere or troposphere, below 10 km, absorbs radio signals due to oxygen and water </w:t>
      </w:r>
      <w:r w:rsidRPr="00E514F1">
        <w:t>vapor</w:t>
      </w:r>
      <w:r w:rsidRPr="00E514F1">
        <w:t>. Even between 20 and 30 GHz, there are some absorption bands that must be avoided</w:t>
      </w:r>
      <w:sdt>
        <w:sdtPr>
          <w:id w:val="-1498107357"/>
          <w:citation/>
        </w:sdtPr>
        <w:sdtContent>
          <w:r>
            <w:fldChar w:fldCharType="begin"/>
          </w:r>
          <w:r>
            <w:instrText xml:space="preserve"> CITATION Aus22 \l 1033 </w:instrText>
          </w:r>
          <w:r>
            <w:fldChar w:fldCharType="separate"/>
          </w:r>
          <w:r>
            <w:rPr>
              <w:noProof/>
            </w:rPr>
            <w:t xml:space="preserve"> </w:t>
          </w:r>
          <w:r w:rsidRPr="00E514F1">
            <w:rPr>
              <w:noProof/>
            </w:rPr>
            <w:t>[3]</w:t>
          </w:r>
          <w:r>
            <w:fldChar w:fldCharType="end"/>
          </w:r>
        </w:sdtContent>
      </w:sdt>
      <w:r w:rsidRPr="00E514F1">
        <w:t>.</w:t>
      </w:r>
    </w:p>
    <w:p w14:paraId="288F6999" w14:textId="025A11AA" w:rsidR="009755DE" w:rsidRPr="00E514F1" w:rsidRDefault="009755DE" w:rsidP="006973D8"/>
    <w:sectPr w:rsidR="009755DE" w:rsidRPr="00E51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D"/>
    <w:rsid w:val="00067F4F"/>
    <w:rsid w:val="0007408A"/>
    <w:rsid w:val="001565A8"/>
    <w:rsid w:val="00163F91"/>
    <w:rsid w:val="0019402F"/>
    <w:rsid w:val="001F4546"/>
    <w:rsid w:val="00282488"/>
    <w:rsid w:val="002E13F3"/>
    <w:rsid w:val="00426EAC"/>
    <w:rsid w:val="00617146"/>
    <w:rsid w:val="00630666"/>
    <w:rsid w:val="00660510"/>
    <w:rsid w:val="006973D8"/>
    <w:rsid w:val="009465F9"/>
    <w:rsid w:val="00947F81"/>
    <w:rsid w:val="009755DE"/>
    <w:rsid w:val="00A25457"/>
    <w:rsid w:val="00A27CEB"/>
    <w:rsid w:val="00A360AC"/>
    <w:rsid w:val="00A621AD"/>
    <w:rsid w:val="00A71BB2"/>
    <w:rsid w:val="00B578AE"/>
    <w:rsid w:val="00B7743C"/>
    <w:rsid w:val="00C37FC5"/>
    <w:rsid w:val="00D663BF"/>
    <w:rsid w:val="00DB1D4A"/>
    <w:rsid w:val="00E03106"/>
    <w:rsid w:val="00E514F1"/>
    <w:rsid w:val="00EA7577"/>
    <w:rsid w:val="00EF0FAB"/>
    <w:rsid w:val="00FC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187F"/>
  <w15:chartTrackingRefBased/>
  <w15:docId w15:val="{D76964B1-F615-40ED-8DC3-1DCD7A7A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4F"/>
    <w:rPr>
      <w:rFonts w:ascii="Open Sans" w:hAnsi="Open Sans"/>
    </w:rPr>
  </w:style>
  <w:style w:type="paragraph" w:styleId="Heading1">
    <w:name w:val="heading 1"/>
    <w:basedOn w:val="Normal"/>
    <w:next w:val="Normal"/>
    <w:link w:val="Heading1Char"/>
    <w:autoRedefine/>
    <w:uiPriority w:val="9"/>
    <w:qFormat/>
    <w:rsid w:val="00A25457"/>
    <w:pPr>
      <w:keepNext/>
      <w:keepLines/>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autoRedefine/>
    <w:uiPriority w:val="9"/>
    <w:unhideWhenUsed/>
    <w:qFormat/>
    <w:rsid w:val="00A25457"/>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autoRedefine/>
    <w:uiPriority w:val="9"/>
    <w:semiHidden/>
    <w:unhideWhenUsed/>
    <w:qFormat/>
    <w:rsid w:val="00A25457"/>
    <w:pPr>
      <w:keepNext/>
      <w:keepLines/>
      <w:spacing w:before="40" w:after="0"/>
      <w:outlineLvl w:val="2"/>
    </w:pPr>
    <w:rPr>
      <w:rFonts w:asciiTheme="majorHAnsi" w:eastAsiaTheme="majorEastAsia" w:hAnsiTheme="majorHAnsi" w:cstheme="majorBidi"/>
      <w:color w:val="00B0F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57"/>
    <w:rPr>
      <w:rFonts w:asciiTheme="majorHAnsi" w:eastAsiaTheme="majorEastAsia" w:hAnsiTheme="majorHAnsi" w:cstheme="majorBidi"/>
      <w:color w:val="FF0000"/>
      <w:sz w:val="32"/>
      <w:szCs w:val="32"/>
    </w:rPr>
  </w:style>
  <w:style w:type="character" w:customStyle="1" w:styleId="Heading2Char">
    <w:name w:val="Heading 2 Char"/>
    <w:basedOn w:val="DefaultParagraphFont"/>
    <w:link w:val="Heading2"/>
    <w:uiPriority w:val="9"/>
    <w:rsid w:val="00A25457"/>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A25457"/>
    <w:rPr>
      <w:color w:val="0563C1" w:themeColor="hyperlink"/>
      <w:u w:val="single"/>
    </w:rPr>
  </w:style>
  <w:style w:type="character" w:styleId="UnresolvedMention">
    <w:name w:val="Unresolved Mention"/>
    <w:basedOn w:val="DefaultParagraphFont"/>
    <w:uiPriority w:val="99"/>
    <w:semiHidden/>
    <w:unhideWhenUsed/>
    <w:rsid w:val="00A25457"/>
    <w:rPr>
      <w:color w:val="605E5C"/>
      <w:shd w:val="clear" w:color="auto" w:fill="E1DFDD"/>
    </w:rPr>
  </w:style>
  <w:style w:type="character" w:customStyle="1" w:styleId="Heading3Char">
    <w:name w:val="Heading 3 Char"/>
    <w:basedOn w:val="DefaultParagraphFont"/>
    <w:link w:val="Heading3"/>
    <w:uiPriority w:val="9"/>
    <w:semiHidden/>
    <w:rsid w:val="00A25457"/>
    <w:rPr>
      <w:rFonts w:asciiTheme="majorHAnsi" w:eastAsiaTheme="majorEastAsia" w:hAnsiTheme="majorHAnsi" w:cstheme="majorBidi"/>
      <w:color w:val="00B0F0"/>
      <w:sz w:val="24"/>
      <w:szCs w:val="24"/>
    </w:rPr>
  </w:style>
  <w:style w:type="paragraph" w:styleId="Bibliography">
    <w:name w:val="Bibliography"/>
    <w:basedOn w:val="Normal"/>
    <w:next w:val="Normal"/>
    <w:uiPriority w:val="37"/>
    <w:unhideWhenUsed/>
    <w:rsid w:val="00EA7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168">
      <w:bodyDiv w:val="1"/>
      <w:marLeft w:val="0"/>
      <w:marRight w:val="0"/>
      <w:marTop w:val="0"/>
      <w:marBottom w:val="0"/>
      <w:divBdr>
        <w:top w:val="none" w:sz="0" w:space="0" w:color="auto"/>
        <w:left w:val="none" w:sz="0" w:space="0" w:color="auto"/>
        <w:bottom w:val="none" w:sz="0" w:space="0" w:color="auto"/>
        <w:right w:val="none" w:sz="0" w:space="0" w:color="auto"/>
      </w:divBdr>
    </w:div>
    <w:div w:id="267782776">
      <w:bodyDiv w:val="1"/>
      <w:marLeft w:val="0"/>
      <w:marRight w:val="0"/>
      <w:marTop w:val="0"/>
      <w:marBottom w:val="0"/>
      <w:divBdr>
        <w:top w:val="none" w:sz="0" w:space="0" w:color="auto"/>
        <w:left w:val="none" w:sz="0" w:space="0" w:color="auto"/>
        <w:bottom w:val="none" w:sz="0" w:space="0" w:color="auto"/>
        <w:right w:val="none" w:sz="0" w:space="0" w:color="auto"/>
      </w:divBdr>
    </w:div>
    <w:div w:id="310016915">
      <w:bodyDiv w:val="1"/>
      <w:marLeft w:val="0"/>
      <w:marRight w:val="0"/>
      <w:marTop w:val="0"/>
      <w:marBottom w:val="0"/>
      <w:divBdr>
        <w:top w:val="none" w:sz="0" w:space="0" w:color="auto"/>
        <w:left w:val="none" w:sz="0" w:space="0" w:color="auto"/>
        <w:bottom w:val="none" w:sz="0" w:space="0" w:color="auto"/>
        <w:right w:val="none" w:sz="0" w:space="0" w:color="auto"/>
      </w:divBdr>
    </w:div>
    <w:div w:id="407726840">
      <w:bodyDiv w:val="1"/>
      <w:marLeft w:val="0"/>
      <w:marRight w:val="0"/>
      <w:marTop w:val="0"/>
      <w:marBottom w:val="0"/>
      <w:divBdr>
        <w:top w:val="none" w:sz="0" w:space="0" w:color="auto"/>
        <w:left w:val="none" w:sz="0" w:space="0" w:color="auto"/>
        <w:bottom w:val="none" w:sz="0" w:space="0" w:color="auto"/>
        <w:right w:val="none" w:sz="0" w:space="0" w:color="auto"/>
      </w:divBdr>
    </w:div>
    <w:div w:id="510028164">
      <w:bodyDiv w:val="1"/>
      <w:marLeft w:val="0"/>
      <w:marRight w:val="0"/>
      <w:marTop w:val="0"/>
      <w:marBottom w:val="0"/>
      <w:divBdr>
        <w:top w:val="none" w:sz="0" w:space="0" w:color="auto"/>
        <w:left w:val="none" w:sz="0" w:space="0" w:color="auto"/>
        <w:bottom w:val="none" w:sz="0" w:space="0" w:color="auto"/>
        <w:right w:val="none" w:sz="0" w:space="0" w:color="auto"/>
      </w:divBdr>
    </w:div>
    <w:div w:id="531648344">
      <w:bodyDiv w:val="1"/>
      <w:marLeft w:val="0"/>
      <w:marRight w:val="0"/>
      <w:marTop w:val="0"/>
      <w:marBottom w:val="0"/>
      <w:divBdr>
        <w:top w:val="none" w:sz="0" w:space="0" w:color="auto"/>
        <w:left w:val="none" w:sz="0" w:space="0" w:color="auto"/>
        <w:bottom w:val="none" w:sz="0" w:space="0" w:color="auto"/>
        <w:right w:val="none" w:sz="0" w:space="0" w:color="auto"/>
      </w:divBdr>
    </w:div>
    <w:div w:id="713967900">
      <w:bodyDiv w:val="1"/>
      <w:marLeft w:val="0"/>
      <w:marRight w:val="0"/>
      <w:marTop w:val="0"/>
      <w:marBottom w:val="0"/>
      <w:divBdr>
        <w:top w:val="none" w:sz="0" w:space="0" w:color="auto"/>
        <w:left w:val="none" w:sz="0" w:space="0" w:color="auto"/>
        <w:bottom w:val="none" w:sz="0" w:space="0" w:color="auto"/>
        <w:right w:val="none" w:sz="0" w:space="0" w:color="auto"/>
      </w:divBdr>
    </w:div>
    <w:div w:id="934441070">
      <w:bodyDiv w:val="1"/>
      <w:marLeft w:val="0"/>
      <w:marRight w:val="0"/>
      <w:marTop w:val="0"/>
      <w:marBottom w:val="0"/>
      <w:divBdr>
        <w:top w:val="none" w:sz="0" w:space="0" w:color="auto"/>
        <w:left w:val="none" w:sz="0" w:space="0" w:color="auto"/>
        <w:bottom w:val="none" w:sz="0" w:space="0" w:color="auto"/>
        <w:right w:val="none" w:sz="0" w:space="0" w:color="auto"/>
      </w:divBdr>
    </w:div>
    <w:div w:id="1046296457">
      <w:bodyDiv w:val="1"/>
      <w:marLeft w:val="0"/>
      <w:marRight w:val="0"/>
      <w:marTop w:val="0"/>
      <w:marBottom w:val="0"/>
      <w:divBdr>
        <w:top w:val="none" w:sz="0" w:space="0" w:color="auto"/>
        <w:left w:val="none" w:sz="0" w:space="0" w:color="auto"/>
        <w:bottom w:val="none" w:sz="0" w:space="0" w:color="auto"/>
        <w:right w:val="none" w:sz="0" w:space="0" w:color="auto"/>
      </w:divBdr>
    </w:div>
    <w:div w:id="1068961710">
      <w:bodyDiv w:val="1"/>
      <w:marLeft w:val="0"/>
      <w:marRight w:val="0"/>
      <w:marTop w:val="0"/>
      <w:marBottom w:val="0"/>
      <w:divBdr>
        <w:top w:val="none" w:sz="0" w:space="0" w:color="auto"/>
        <w:left w:val="none" w:sz="0" w:space="0" w:color="auto"/>
        <w:bottom w:val="none" w:sz="0" w:space="0" w:color="auto"/>
        <w:right w:val="none" w:sz="0" w:space="0" w:color="auto"/>
      </w:divBdr>
    </w:div>
    <w:div w:id="1258171488">
      <w:bodyDiv w:val="1"/>
      <w:marLeft w:val="0"/>
      <w:marRight w:val="0"/>
      <w:marTop w:val="0"/>
      <w:marBottom w:val="0"/>
      <w:divBdr>
        <w:top w:val="none" w:sz="0" w:space="0" w:color="auto"/>
        <w:left w:val="none" w:sz="0" w:space="0" w:color="auto"/>
        <w:bottom w:val="none" w:sz="0" w:space="0" w:color="auto"/>
        <w:right w:val="none" w:sz="0" w:space="0" w:color="auto"/>
      </w:divBdr>
    </w:div>
    <w:div w:id="1279802952">
      <w:bodyDiv w:val="1"/>
      <w:marLeft w:val="0"/>
      <w:marRight w:val="0"/>
      <w:marTop w:val="0"/>
      <w:marBottom w:val="0"/>
      <w:divBdr>
        <w:top w:val="none" w:sz="0" w:space="0" w:color="auto"/>
        <w:left w:val="none" w:sz="0" w:space="0" w:color="auto"/>
        <w:bottom w:val="none" w:sz="0" w:space="0" w:color="auto"/>
        <w:right w:val="none" w:sz="0" w:space="0" w:color="auto"/>
      </w:divBdr>
    </w:div>
    <w:div w:id="1474130748">
      <w:bodyDiv w:val="1"/>
      <w:marLeft w:val="0"/>
      <w:marRight w:val="0"/>
      <w:marTop w:val="0"/>
      <w:marBottom w:val="0"/>
      <w:divBdr>
        <w:top w:val="none" w:sz="0" w:space="0" w:color="auto"/>
        <w:left w:val="none" w:sz="0" w:space="0" w:color="auto"/>
        <w:bottom w:val="none" w:sz="0" w:space="0" w:color="auto"/>
        <w:right w:val="none" w:sz="0" w:space="0" w:color="auto"/>
      </w:divBdr>
    </w:div>
    <w:div w:id="1490706176">
      <w:bodyDiv w:val="1"/>
      <w:marLeft w:val="0"/>
      <w:marRight w:val="0"/>
      <w:marTop w:val="0"/>
      <w:marBottom w:val="0"/>
      <w:divBdr>
        <w:top w:val="none" w:sz="0" w:space="0" w:color="auto"/>
        <w:left w:val="none" w:sz="0" w:space="0" w:color="auto"/>
        <w:bottom w:val="none" w:sz="0" w:space="0" w:color="auto"/>
        <w:right w:val="none" w:sz="0" w:space="0" w:color="auto"/>
      </w:divBdr>
    </w:div>
    <w:div w:id="1520774177">
      <w:bodyDiv w:val="1"/>
      <w:marLeft w:val="0"/>
      <w:marRight w:val="0"/>
      <w:marTop w:val="0"/>
      <w:marBottom w:val="0"/>
      <w:divBdr>
        <w:top w:val="none" w:sz="0" w:space="0" w:color="auto"/>
        <w:left w:val="none" w:sz="0" w:space="0" w:color="auto"/>
        <w:bottom w:val="none" w:sz="0" w:space="0" w:color="auto"/>
        <w:right w:val="none" w:sz="0" w:space="0" w:color="auto"/>
      </w:divBdr>
    </w:div>
    <w:div w:id="1691760293">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212784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olarsystem.nasa.gov/basics/chapter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sim1</b:Tag>
    <b:SourceType>DocumentFromInternetSite</b:SourceType>
    <b:Guid>{5879AA91-EC7B-4D1E-9C16-055E93ADEB5D}</b:Guid>
    <b:Author>
      <b:Author>
        <b:Corporate>The University of Manchester</b:Corporate>
      </b:Author>
    </b:Author>
    <b:Title>Solar system simulation in MATLAB</b:Title>
    <b:Year>2015</b:Year>
    <b:Month>September</b:Month>
    <b:YearAccessed>2022</b:YearAccessed>
    <b:MonthAccessed>October</b:MonthAccessed>
    <b:DayAccessed>2</b:DayAccessed>
    <b:URL>https://personalpages.manchester.ac.uk/staff/paul.connolly/teaching/practicals/solar_system.html</b:URL>
    <b:RefOrder>5</b:RefOrder>
  </b:Source>
  <b:Source>
    <b:Tag>sim2</b:Tag>
    <b:SourceType>ElectronicSource</b:SourceType>
    <b:Guid>{DD70248E-0B56-4E52-81A2-87070A619D9D}</b:Guid>
    <b:Title>Two Body Orbit Propagation (non-spherical Earth)</b:Title>
    <b:Year>2022</b:Year>
    <b:Month>February</b:Month>
    <b:Day>10</b:Day>
    <b:YearAccessed>2022</b:YearAccessed>
    <b:MonthAccessed>October</b:MonthAccessed>
    <b:DayAccessed>3</b:DayAccessed>
    <b:URL>https://www.mathworks.com/matlabcentral/fileexchange/55777-two-body-orbit-propagation-non-spherical-earth</b:URL>
    <b:Author>
      <b:Author>
        <b:NameList>
          <b:Person>
            <b:Last>Mahooti</b:Last>
            <b:First>Meysam</b:First>
          </b:Person>
        </b:NameList>
      </b:Author>
    </b:Author>
    <b:Publisher>MATLAB Central File Exchange</b:Publisher>
    <b:Edition>version 1.1.1.0</b:Edition>
    <b:ShortTitle>Satellite Gravity Field Missions: Simulation Scenarios</b:ShortTitle>
    <b:RefOrder>6</b:RefOrder>
  </b:Source>
  <b:Source>
    <b:Tag>orbits1</b:Tag>
    <b:SourceType>Book</b:SourceType>
    <b:Guid>{8733CB7F-B78C-4543-A854-01B88552FBAF}</b:Guid>
    <b:Title>Innovations in Satellite Communications Technology</b:Title>
    <b:City>Hoboken</b:City>
    <b:Publisher>John Wiley &amp; Sons</b:Publisher>
    <b:Year>2015</b:Year>
    <b:Author>
      <b:Author>
        <b:NameList>
          <b:Person>
            <b:Last>Minoli</b:Last>
            <b:First>Daniel</b:First>
          </b:Person>
        </b:NameList>
      </b:Author>
    </b:Author>
    <b:StateProvince>NJ</b:StateProvince>
    <b:YearAccessed>2022</b:YearAccessed>
    <b:MonthAccessed>September</b:MonthAccessed>
    <b:DayAccessed>29</b:DayAccessed>
    <b:RefOrder>7</b:RefOrder>
  </b:Source>
  <b:Source>
    <b:Tag>overview1</b:Tag>
    <b:SourceType>Misc</b:SourceType>
    <b:Guid>{9B284E63-7553-4A31-ACD1-CF1DDB0F2790}</b:Guid>
    <b:Title>Overview of Satellite Communications</b:Title>
    <b:Author>
      <b:Author>
        <b:NameList>
          <b:Person>
            <b:Last>McClure</b:Last>
            <b:First>Dick</b:First>
          </b:Person>
        </b:NameList>
      </b:Author>
    </b:Author>
    <b:YearAccessed>2022</b:YearAccessed>
    <b:MonthAccessed>September</b:MonthAccessed>
    <b:DayAccessed>22</b:DayAccessed>
    <b:RefOrder>8</b:RefOrder>
  </b:Source>
  <b:Source>
    <b:Tag>Ipp17</b:Tag>
    <b:SourceType>Book</b:SourceType>
    <b:Guid>{7BC158E4-2D32-4591-909D-7A42891F98E0}</b:Guid>
    <b:Title>Satellite Communications Systems Engineering</b:Title>
    <b:Year>2017</b:Year>
    <b:Publisher>John Wiley &amp; Sons</b:Publisher>
    <b:Author>
      <b:Author>
        <b:NameList>
          <b:Person>
            <b:Last>Ippolito Jr.</b:Last>
            <b:First>Louis</b:First>
            <b:Middle>J.</b:Middle>
          </b:Person>
        </b:NameList>
      </b:Author>
    </b:Author>
    <b:Edition>2nd</b:Edition>
    <b:YearAccessed>2022</b:YearAccessed>
    <b:MonthAccessed>September</b:MonthAccessed>
    <b:DayAccessed>30</b:DayAccessed>
    <b:RefOrder>9</b:RefOrder>
  </b:Source>
  <b:Source>
    <b:Tag>Mai14</b:Tag>
    <b:SourceType>Book</b:SourceType>
    <b:Guid>{770FA35F-D891-4777-978E-B130A9F284B4}</b:Guid>
    <b:Author>
      <b:Author>
        <b:NameList>
          <b:Person>
            <b:Last>Maini</b:Last>
            <b:First>Anil</b:First>
            <b:Middle>K</b:Middle>
          </b:Person>
          <b:Person>
            <b:Last>Agrawal</b:Last>
            <b:First>Varsha</b:First>
          </b:Person>
        </b:NameList>
      </b:Author>
    </b:Author>
    <b:Title>Satellite Technology Principles and Applications</b:Title>
    <b:Year>2014</b:Year>
    <b:Edition>3rd</b:Edition>
    <b:YearAccessed>2022</b:YearAccessed>
    <b:MonthAccessed>October</b:MonthAccessed>
    <b:DayAccessed>2</b:DayAccessed>
    <b:RefOrder>10</b:RefOrder>
  </b:Source>
  <b:Source>
    <b:Tag>Bet16</b:Tag>
    <b:SourceType>Book</b:SourceType>
    <b:Guid>{38B4B911-8A96-4DD1-A0F3-EA200F94A4E9}</b:Guid>
    <b:Author>
      <b:Author>
        <b:NameList>
          <b:Person>
            <b:Last>Betz</b:Last>
            <b:First>John</b:First>
            <b:Middle>W.</b:Middle>
          </b:Person>
        </b:NameList>
      </b:Author>
    </b:Author>
    <b:Title>Engineering Satellite-Based Navigation and Timing</b:Title>
    <b:Year>2016</b:Year>
    <b:Publisher>IEEE Press</b:Publisher>
    <b:YearAccessed>2022</b:YearAccessed>
    <b:MonthAccessed>October</b:MonthAccessed>
    <b:DayAccessed>2</b:DayAccessed>
    <b:RefOrder>11</b:RefOrder>
  </b:Source>
  <b:Source>
    <b:Tag>Hin15</b:Tag>
    <b:SourceType>Book</b:SourceType>
    <b:Guid>{3847C190-C80B-4AF9-9D0D-833FC60DD471}</b:Guid>
    <b:Author>
      <b:Author>
        <b:NameList>
          <b:Person>
            <b:Last>Hintz</b:Last>
            <b:First>Gerald</b:First>
            <b:Middle>R.</b:Middle>
          </b:Person>
        </b:NameList>
      </b:Author>
    </b:Author>
    <b:Title>Orbital Mechanics and Astrodynamics</b:Title>
    <b:Year>2015</b:Year>
    <b:Publisher>Springer International Publishing</b:Publisher>
    <b:YearAccessed>2022</b:YearAccessed>
    <b:MonthAccessed>September</b:MonthAccessed>
    <b:DayAccessed>28</b:DayAccessed>
    <b:RefOrder>12</b:RefOrder>
  </b:Source>
  <b:Source>
    <b:Tag>Cur14</b:Tag>
    <b:SourceType>Book</b:SourceType>
    <b:Guid>{F354CB49-E806-4E19-B2FA-59146C91A60B}</b:Guid>
    <b:Author>
      <b:Author>
        <b:NameList>
          <b:Person>
            <b:Last>Curtis</b:Last>
            <b:First>Howard</b:First>
            <b:Middle>D.</b:Middle>
          </b:Person>
        </b:NameList>
      </b:Author>
    </b:Author>
    <b:Title>Orbital Mechanics for Engineering Students</b:Title>
    <b:Year>2014</b:Year>
    <b:Publisher>Elsevier Ltd.</b:Publisher>
    <b:Edition>3rd</b:Edition>
    <b:YearAccessed>2022</b:YearAccessed>
    <b:MonthAccessed>October</b:MonthAccessed>
    <b:DayAccessed>4</b:DayAccessed>
    <b:RefOrder>13</b:RefOrder>
  </b:Source>
  <b:Source>
    <b:Tag>How15</b:Tag>
    <b:SourceType>InternetSite</b:SourceType>
    <b:Guid>{EDB60965-6665-4E10-ACBA-420ACB30867A}</b:Guid>
    <b:Title>SPACE.com</b:Title>
    <b:Year>2015</b:Year>
    <b:Author>
      <b:Author>
        <b:NameList>
          <b:Person>
            <b:Last>Howell</b:Last>
            <b:First>Elizabeth</b:First>
          </b:Person>
        </b:NameList>
      </b:Author>
    </b:Author>
    <b:Month>April</b:Month>
    <b:Day>24</b:Day>
    <b:YearAccessed>2022</b:YearAccessed>
    <b:MonthAccessed>September</b:MonthAccessed>
    <b:DayAccessed>27</b:DayAccessed>
    <b:URL>https://www.space.com/29222-geosynchronous-orbit.html</b:URL>
    <b:RefOrder>1</b:RefOrder>
  </b:Source>
  <b:Source>
    <b:Tag>NAS22</b:Tag>
    <b:SourceType>InternetSite</b:SourceType>
    <b:Guid>{159F4D03-FF5D-4E19-825C-4C9CE869B749}</b:Guid>
    <b:Author>
      <b:Author>
        <b:Corporate>NASA Science</b:Corporate>
      </b:Author>
    </b:Author>
    <b:Title>NASA Science Solar System Exploration</b:Title>
    <b:YearAccessed>2022</b:YearAccessed>
    <b:MonthAccessed>October</b:MonthAccessed>
    <b:DayAccessed>12</b:DayAccessed>
    <b:URL>https://solarsystem.nasa.gov/basics/chapter5-1/#types</b:URL>
    <b:RefOrder>2</b:RefOrder>
  </b:Source>
  <b:Source>
    <b:Tag>Aus22</b:Tag>
    <b:SourceType>InternetSite</b:SourceType>
    <b:Guid>{E8B7FA26-0B18-498E-8AEE-B9FA0B7AAFBB}</b:Guid>
    <b:Title>Radio Frequencies for Space Communications</b:Title>
    <b:YearAccessed>2022</b:YearAccessed>
    <b:MonthAccessed>October</b:MonthAccessed>
    <b:DayAccessed>2</b:DayAccessed>
    <b:URL>https://www.spaceacademy.net.au/spacelink/radiospace.htm</b:URL>
    <b:Author>
      <b:Author>
        <b:Corporate>Australian Space Academy</b:Corporate>
      </b:Author>
    </b:Author>
    <b:RefOrder>4</b:RefOrder>
  </b:Source>
  <b:Source>
    <b:Tag>Bra13</b:Tag>
    <b:SourceType>InternetSite</b:SourceType>
    <b:Guid>{B53ABF62-27D5-407C-8B5C-F0DE43D6FCCB}</b:Guid>
    <b:Author>
      <b:Author>
        <b:NameList>
          <b:Person>
            <b:Last>Braeunig</b:Last>
            <b:First>Robert</b:First>
            <b:Middle>A.</b:Middle>
          </b:Person>
        </b:NameList>
      </b:Author>
    </b:Author>
    <b:Title>Rocket &amp; Space Technology: Orbital Mechanics</b:Title>
    <b:Year>2013</b:Year>
    <b:YearAccessed>2022</b:YearAccessed>
    <b:MonthAccessed>October</b:MonthAccessed>
    <b:DayAccessed>9</b:DayAccessed>
    <b:URL>http://www.braeunig.us/space/orbmech.htm</b:URL>
    <b:RefOrder>3</b:RefOrder>
  </b:Source>
  <b:Source>
    <b:Tag>RFW22</b:Tag>
    <b:SourceType>InternetSite</b:SourceType>
    <b:Guid>{EB37B4AE-4D69-4A37-A875-3602E630A3CA}</b:Guid>
    <b:Author>
      <b:Author>
        <b:Corporate>RF Wireless World</b:Corporate>
      </b:Author>
    </b:Author>
    <b:Title>Advantages and disadvantes of GEO | Geosynchronous orbit | Geostationary orbit</b:Title>
    <b:YearAccessed>2022</b:YearAccessed>
    <b:MonthAccessed>October</b:MonthAccessed>
    <b:DayAccessed>12</b:DayAccessed>
    <b:URL>https://www.rfwireless-world.com/Terminology/Advantages-and-Disadvantages-of-GEO-Geosynchronous-orbit.html</b:URL>
    <b:RefOrder>14</b:RefOrder>
  </b:Source>
  <b:Source>
    <b:Tag>Wit20</b:Tag>
    <b:SourceType>InternetSite</b:SourceType>
    <b:Guid>{F93E7ABE-9B20-4161-897A-E3B2953F6C45}</b:Guid>
    <b:Author>
      <b:Author>
        <b:NameList>
          <b:Person>
            <b:Last>Withington</b:Last>
            <b:First>Dr.</b:First>
            <b:Middle>Thomas</b:Middle>
          </b:Person>
        </b:NameList>
      </b:Author>
    </b:Author>
    <b:Title>Space on Budget</b:Title>
    <b:ProductionCompany>Armada International</b:ProductionCompany>
    <b:Year>2020</b:Year>
    <b:Month>March</b:Month>
    <b:Day>24</b:Day>
    <b:YearAccessed>2022</b:YearAccessed>
    <b:MonthAccessed>October</b:MonthAccessed>
    <b:DayAccessed>2</b:DayAccessed>
    <b:URL>https://www.armadainternational.com/2020/03/space-on-budget/</b:URL>
    <b:RefOrder>15</b:RefOrder>
  </b:Source>
</b:Sources>
</file>

<file path=customXml/itemProps1.xml><?xml version="1.0" encoding="utf-8"?>
<ds:datastoreItem xmlns:ds="http://schemas.openxmlformats.org/officeDocument/2006/customXml" ds:itemID="{266D7084-731A-4FF8-AC6F-3BEFB319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ECE5965 - Project 1 bibliography</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ECE5965 - Project 1 bibliography</dc:title>
  <dc:subject>Orbital Simulation</dc:subject>
  <dc:creator>Tim Holden</dc:creator>
  <cp:keywords/>
  <dc:description/>
  <cp:lastModifiedBy>Tim</cp:lastModifiedBy>
  <cp:revision>11</cp:revision>
  <dcterms:created xsi:type="dcterms:W3CDTF">2022-10-11T03:51:00Z</dcterms:created>
  <dcterms:modified xsi:type="dcterms:W3CDTF">2022-10-20T05:19:00Z</dcterms:modified>
</cp:coreProperties>
</file>